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977" w:firstLineChars="349"/>
        <w:rPr>
          <w:rFonts w:ascii="宋体" w:hAnsi="宋体"/>
          <w:color w:val="auto"/>
          <w:sz w:val="28"/>
          <w:szCs w:val="28"/>
          <w:highlight w:val="none"/>
        </w:rPr>
      </w:pPr>
      <w:bookmarkStart w:id="0" w:name="_Toc13047"/>
      <w:bookmarkStart w:id="1" w:name="_Toc24912"/>
      <w:bookmarkStart w:id="2" w:name="_Toc528773690"/>
    </w:p>
    <w:p>
      <w:pPr>
        <w:ind w:firstLine="560"/>
        <w:rPr>
          <w:rFonts w:ascii="宋体" w:hAnsi="宋体"/>
          <w:color w:val="auto"/>
          <w:sz w:val="28"/>
          <w:szCs w:val="28"/>
          <w:highlight w:val="none"/>
        </w:rPr>
      </w:pPr>
    </w:p>
    <w:p>
      <w:pPr>
        <w:ind w:firstLine="560"/>
        <w:rPr>
          <w:rFonts w:ascii="宋体" w:hAnsi="宋体"/>
          <w:color w:val="auto"/>
          <w:sz w:val="28"/>
          <w:szCs w:val="28"/>
          <w:highlight w:val="none"/>
        </w:rPr>
      </w:pPr>
    </w:p>
    <w:p>
      <w:pPr>
        <w:ind w:firstLine="560"/>
        <w:rPr>
          <w:rFonts w:ascii="宋体" w:hAnsi="宋体"/>
          <w:color w:val="auto"/>
          <w:sz w:val="28"/>
          <w:szCs w:val="28"/>
          <w:highlight w:val="none"/>
        </w:rPr>
      </w:pPr>
    </w:p>
    <w:p>
      <w:pPr>
        <w:spacing w:line="360" w:lineRule="auto"/>
        <w:ind w:firstLine="0" w:firstLineChars="0"/>
        <w:jc w:val="center"/>
        <w:rPr>
          <w:rFonts w:hint="eastAsia" w:ascii="黑体" w:hAnsi="宋体" w:eastAsia="黑体"/>
          <w:b/>
          <w:color w:val="auto"/>
          <w:sz w:val="68"/>
          <w:szCs w:val="68"/>
          <w:highlight w:val="none"/>
        </w:rPr>
      </w:pPr>
      <w:r>
        <w:rPr>
          <w:rFonts w:hint="eastAsia" w:ascii="黑体" w:hAnsi="宋体" w:eastAsia="黑体"/>
          <w:b/>
          <w:color w:val="auto"/>
          <w:sz w:val="68"/>
          <w:szCs w:val="68"/>
          <w:highlight w:val="none"/>
          <w:lang w:eastAsia="zh-CN"/>
        </w:rPr>
        <w:t>清大智创工业设计（台州）有限公司</w:t>
      </w:r>
      <w:r>
        <w:rPr>
          <w:rFonts w:hint="eastAsia" w:ascii="黑体" w:hAnsi="宋体" w:eastAsia="黑体"/>
          <w:b/>
          <w:color w:val="auto"/>
          <w:sz w:val="68"/>
          <w:szCs w:val="68"/>
          <w:highlight w:val="none"/>
          <w:lang w:val="en-US" w:eastAsia="zh-CN"/>
        </w:rPr>
        <w:t>10</w:t>
      </w:r>
      <w:r>
        <w:rPr>
          <w:rFonts w:hint="eastAsia" w:ascii="黑体" w:hAnsi="宋体" w:eastAsia="黑体"/>
          <w:b/>
          <w:color w:val="auto"/>
          <w:sz w:val="68"/>
          <w:szCs w:val="68"/>
          <w:highlight w:val="none"/>
        </w:rPr>
        <w:t>%股权</w:t>
      </w:r>
    </w:p>
    <w:p>
      <w:pPr>
        <w:spacing w:line="360" w:lineRule="auto"/>
        <w:ind w:firstLine="964"/>
        <w:jc w:val="center"/>
        <w:rPr>
          <w:rFonts w:ascii="黑体" w:hAnsi="宋体" w:eastAsia="黑体"/>
          <w:b/>
          <w:color w:val="auto"/>
          <w:sz w:val="48"/>
          <w:szCs w:val="48"/>
          <w:highlight w:val="none"/>
        </w:rPr>
      </w:pPr>
    </w:p>
    <w:p>
      <w:pPr>
        <w:spacing w:line="360" w:lineRule="auto"/>
        <w:ind w:firstLine="0" w:firstLineChars="0"/>
        <w:jc w:val="center"/>
        <w:rPr>
          <w:rFonts w:ascii="黑体" w:hAnsi="宋体" w:eastAsia="黑体"/>
          <w:b/>
          <w:color w:val="auto"/>
          <w:sz w:val="32"/>
          <w:szCs w:val="32"/>
          <w:highlight w:val="none"/>
        </w:rPr>
      </w:pPr>
      <w:r>
        <w:rPr>
          <w:rFonts w:hint="eastAsia" w:ascii="黑体" w:hAnsi="宋体" w:eastAsia="黑体"/>
          <w:b/>
          <w:color w:val="auto"/>
          <w:sz w:val="68"/>
          <w:szCs w:val="68"/>
          <w:highlight w:val="none"/>
        </w:rPr>
        <w:t>转 让 文 件</w:t>
      </w:r>
    </w:p>
    <w:p>
      <w:pPr>
        <w:spacing w:line="360" w:lineRule="auto"/>
        <w:ind w:firstLine="0" w:firstLineChars="0"/>
        <w:jc w:val="center"/>
        <w:rPr>
          <w:rFonts w:ascii="黑体" w:hAnsi="宋体" w:eastAsia="黑体"/>
          <w:b/>
          <w:color w:val="auto"/>
          <w:sz w:val="32"/>
          <w:szCs w:val="32"/>
          <w:highlight w:val="none"/>
          <w:shd w:val="clear" w:color="auto" w:fill="auto"/>
        </w:rPr>
      </w:pPr>
      <w:r>
        <w:rPr>
          <w:rFonts w:hint="eastAsia" w:ascii="黑体" w:hAnsi="宋体" w:eastAsia="黑体"/>
          <w:b/>
          <w:color w:val="auto"/>
          <w:sz w:val="32"/>
          <w:szCs w:val="32"/>
          <w:highlight w:val="none"/>
          <w:shd w:val="clear" w:color="auto" w:fill="auto"/>
        </w:rPr>
        <w:t>台交所挂〔20</w:t>
      </w:r>
      <w:r>
        <w:rPr>
          <w:rFonts w:ascii="黑体" w:hAnsi="宋体" w:eastAsia="黑体"/>
          <w:b/>
          <w:color w:val="auto"/>
          <w:sz w:val="32"/>
          <w:szCs w:val="32"/>
          <w:highlight w:val="none"/>
          <w:shd w:val="clear" w:color="auto" w:fill="auto"/>
        </w:rPr>
        <w:t>22</w:t>
      </w:r>
      <w:r>
        <w:rPr>
          <w:rFonts w:hint="eastAsia" w:ascii="黑体" w:hAnsi="宋体" w:eastAsia="黑体"/>
          <w:b/>
          <w:color w:val="auto"/>
          <w:sz w:val="32"/>
          <w:szCs w:val="32"/>
          <w:highlight w:val="none"/>
          <w:shd w:val="clear" w:color="auto" w:fill="auto"/>
        </w:rPr>
        <w:t>〕</w:t>
      </w:r>
      <w:r>
        <w:rPr>
          <w:rFonts w:hint="eastAsia" w:ascii="黑体" w:hAnsi="宋体" w:eastAsia="黑体"/>
          <w:b/>
          <w:color w:val="auto"/>
          <w:sz w:val="32"/>
          <w:szCs w:val="32"/>
          <w:highlight w:val="none"/>
          <w:shd w:val="clear" w:color="auto" w:fill="auto"/>
          <w:lang w:val="en-US" w:eastAsia="zh-CN"/>
        </w:rPr>
        <w:t>26</w:t>
      </w:r>
      <w:r>
        <w:rPr>
          <w:rFonts w:hint="eastAsia" w:ascii="黑体" w:hAnsi="宋体" w:eastAsia="黑体"/>
          <w:b/>
          <w:color w:val="auto"/>
          <w:sz w:val="32"/>
          <w:szCs w:val="32"/>
          <w:highlight w:val="none"/>
          <w:shd w:val="clear" w:color="auto" w:fill="auto"/>
        </w:rPr>
        <w:t>号</w:t>
      </w:r>
    </w:p>
    <w:p>
      <w:pPr>
        <w:spacing w:line="360" w:lineRule="auto"/>
        <w:ind w:firstLine="0" w:firstLineChars="0"/>
        <w:jc w:val="both"/>
        <w:rPr>
          <w:rFonts w:ascii="黑体" w:hAnsi="宋体" w:eastAsia="黑体"/>
          <w:b/>
          <w:color w:val="auto"/>
          <w:sz w:val="68"/>
          <w:szCs w:val="68"/>
          <w:highlight w:val="none"/>
        </w:rPr>
      </w:pPr>
    </w:p>
    <w:p>
      <w:pPr>
        <w:spacing w:line="360" w:lineRule="auto"/>
        <w:ind w:firstLine="560"/>
        <w:rPr>
          <w:rFonts w:ascii="宋体" w:hAnsi="宋体"/>
          <w:color w:val="auto"/>
          <w:sz w:val="28"/>
          <w:szCs w:val="28"/>
          <w:highlight w:val="none"/>
        </w:rPr>
      </w:pPr>
    </w:p>
    <w:p>
      <w:pPr>
        <w:ind w:firstLine="0" w:firstLineChars="0"/>
        <w:rPr>
          <w:rFonts w:ascii="宋体" w:hAnsi="宋体"/>
          <w:color w:val="auto"/>
          <w:sz w:val="28"/>
          <w:szCs w:val="28"/>
          <w:highlight w:val="none"/>
        </w:rPr>
      </w:pPr>
    </w:p>
    <w:p>
      <w:pPr>
        <w:ind w:firstLine="560"/>
        <w:rPr>
          <w:rFonts w:ascii="宋体" w:hAnsi="宋体"/>
          <w:color w:val="auto"/>
          <w:sz w:val="28"/>
          <w:szCs w:val="28"/>
          <w:highlight w:val="none"/>
        </w:rPr>
      </w:pPr>
    </w:p>
    <w:p>
      <w:pPr>
        <w:ind w:right="-693" w:rightChars="-330" w:firstLine="0" w:firstLineChars="0"/>
        <w:rPr>
          <w:rFonts w:ascii="宋体" w:hAnsi="宋体"/>
          <w:color w:val="auto"/>
          <w:sz w:val="28"/>
          <w:szCs w:val="28"/>
          <w:highlight w:val="none"/>
        </w:rPr>
      </w:pPr>
    </w:p>
    <w:p>
      <w:pPr>
        <w:ind w:left="-540" w:leftChars="-257" w:right="-693" w:rightChars="-330" w:firstLine="560"/>
        <w:rPr>
          <w:rFonts w:ascii="宋体" w:hAnsi="宋体"/>
          <w:color w:val="auto"/>
          <w:sz w:val="28"/>
          <w:szCs w:val="28"/>
          <w:highlight w:val="none"/>
        </w:rPr>
      </w:pPr>
    </w:p>
    <w:p>
      <w:pPr>
        <w:ind w:left="-540" w:leftChars="-257" w:right="-693" w:rightChars="-330" w:firstLine="560"/>
        <w:jc w:val="center"/>
        <w:rPr>
          <w:rFonts w:ascii="宋体" w:hAnsi="宋体"/>
          <w:color w:val="auto"/>
          <w:sz w:val="28"/>
          <w:szCs w:val="28"/>
          <w:highlight w:val="none"/>
        </w:rPr>
      </w:pPr>
    </w:p>
    <w:p>
      <w:pPr>
        <w:ind w:left="-540" w:leftChars="-257" w:right="-693" w:rightChars="-330" w:firstLine="560"/>
        <w:jc w:val="center"/>
        <w:rPr>
          <w:rFonts w:ascii="宋体" w:hAnsi="宋体"/>
          <w:color w:val="auto"/>
          <w:sz w:val="28"/>
          <w:szCs w:val="28"/>
          <w:highlight w:val="none"/>
        </w:rPr>
      </w:pPr>
    </w:p>
    <w:p>
      <w:pPr>
        <w:ind w:left="-540" w:leftChars="-257" w:right="-693" w:rightChars="-330" w:firstLine="560"/>
        <w:jc w:val="center"/>
        <w:rPr>
          <w:rFonts w:ascii="宋体" w:hAnsi="宋体"/>
          <w:color w:val="auto"/>
          <w:sz w:val="28"/>
          <w:szCs w:val="28"/>
          <w:highlight w:val="none"/>
        </w:rPr>
      </w:pPr>
    </w:p>
    <w:p>
      <w:pPr>
        <w:ind w:firstLine="0" w:firstLineChars="0"/>
        <w:jc w:val="center"/>
        <w:rPr>
          <w:rFonts w:hint="eastAsia" w:ascii="宋体" w:hAnsi="宋体"/>
          <w:b/>
          <w:color w:val="auto"/>
          <w:sz w:val="18"/>
          <w:szCs w:val="18"/>
          <w:highlight w:val="none"/>
        </w:rPr>
      </w:pPr>
      <w:r>
        <w:rPr>
          <w:rFonts w:hint="eastAsia" w:ascii="宋体" w:hAnsi="宋体"/>
          <w:b/>
          <w:color w:val="auto"/>
          <w:sz w:val="18"/>
          <w:szCs w:val="18"/>
          <w:highlight w:val="none"/>
        </w:rPr>
        <w:t>◎台州市产权交易所有限公司◎地址：台州市市府大道777号民泰银行5楼511室</w:t>
      </w:r>
    </w:p>
    <w:p>
      <w:pPr>
        <w:ind w:firstLine="0" w:firstLineChars="0"/>
        <w:jc w:val="center"/>
        <w:rPr>
          <w:rFonts w:ascii="宋体" w:hAnsi="宋体"/>
          <w:b/>
          <w:color w:val="auto"/>
          <w:sz w:val="18"/>
          <w:szCs w:val="18"/>
          <w:highlight w:val="none"/>
        </w:rPr>
      </w:pPr>
      <w:r>
        <w:rPr>
          <w:rFonts w:hint="eastAsia" w:ascii="宋体" w:hAnsi="宋体"/>
          <w:b/>
          <w:color w:val="auto"/>
          <w:sz w:val="18"/>
          <w:szCs w:val="18"/>
          <w:highlight w:val="none"/>
        </w:rPr>
        <w:t>◎电话：88685177 88685180◎网址：www.tzpre.com</w:t>
      </w:r>
    </w:p>
    <w:p>
      <w:pPr>
        <w:spacing w:line="720" w:lineRule="auto"/>
        <w:ind w:firstLine="562"/>
        <w:jc w:val="center"/>
        <w:rPr>
          <w:rFonts w:ascii="宋体" w:hAnsi="宋体"/>
          <w:b/>
          <w:bCs/>
          <w:color w:val="auto"/>
          <w:sz w:val="28"/>
          <w:szCs w:val="28"/>
          <w:highlight w:val="none"/>
        </w:rPr>
        <w:sectPr>
          <w:headerReference r:id="rId5" w:type="first"/>
          <w:footerReference r:id="rId8" w:type="first"/>
          <w:headerReference r:id="rId3" w:type="default"/>
          <w:footerReference r:id="rId6" w:type="default"/>
          <w:headerReference r:id="rId4" w:type="even"/>
          <w:footerReference r:id="rId7" w:type="even"/>
          <w:pgSz w:w="11906" w:h="16838"/>
          <w:pgMar w:top="1701" w:right="1474" w:bottom="1701" w:left="1587" w:header="851" w:footer="992" w:gutter="0"/>
          <w:pgNumType w:fmt="numberInDash"/>
          <w:cols w:space="720" w:num="1"/>
          <w:docGrid w:type="lines" w:linePitch="312" w:charSpace="0"/>
        </w:sectPr>
      </w:pPr>
    </w:p>
    <w:p>
      <w:pPr>
        <w:spacing w:line="720" w:lineRule="auto"/>
        <w:ind w:firstLine="0" w:firstLineChars="0"/>
        <w:jc w:val="center"/>
        <w:rPr>
          <w:rFonts w:ascii="黑体" w:hAnsi="宋体" w:eastAsia="黑体"/>
          <w:b/>
          <w:bCs/>
          <w:color w:val="auto"/>
          <w:sz w:val="84"/>
          <w:highlight w:val="none"/>
        </w:rPr>
      </w:pPr>
      <w:r>
        <w:rPr>
          <w:rFonts w:hint="eastAsia" w:ascii="黑体" w:hAnsi="宋体" w:eastAsia="黑体"/>
          <w:b/>
          <w:bCs/>
          <w:color w:val="auto"/>
          <w:sz w:val="84"/>
          <w:highlight w:val="none"/>
        </w:rPr>
        <w:t>目　</w:t>
      </w:r>
      <w:r>
        <w:rPr>
          <w:rFonts w:ascii="黑体" w:hAnsi="宋体" w:eastAsia="黑体"/>
          <w:b/>
          <w:bCs/>
          <w:color w:val="auto"/>
          <w:sz w:val="84"/>
          <w:highlight w:val="none"/>
        </w:rPr>
        <w:t xml:space="preserve"> 录</w:t>
      </w:r>
    </w:p>
    <w:p>
      <w:pPr>
        <w:spacing w:line="60" w:lineRule="auto"/>
        <w:ind w:firstLine="0" w:firstLineChars="0"/>
        <w:jc w:val="center"/>
        <w:rPr>
          <w:rFonts w:ascii="宋体" w:hAnsi="宋体"/>
          <w:b/>
          <w:color w:val="auto"/>
          <w:sz w:val="40"/>
          <w:szCs w:val="32"/>
          <w:highlight w:val="none"/>
        </w:rPr>
      </w:pPr>
      <w:bookmarkStart w:id="3" w:name="_Hlk92880319"/>
      <w:r>
        <w:rPr>
          <w:rFonts w:hint="eastAsia" w:ascii="宋体" w:hAnsi="宋体"/>
          <w:b/>
          <w:color w:val="auto"/>
          <w:sz w:val="40"/>
          <w:szCs w:val="32"/>
          <w:highlight w:val="none"/>
          <w:lang w:eastAsia="zh-CN"/>
        </w:rPr>
        <w:t>清大智创工业设计（台州）有限公司</w:t>
      </w:r>
      <w:r>
        <w:rPr>
          <w:rFonts w:hint="eastAsia" w:ascii="宋体" w:hAnsi="宋体"/>
          <w:b/>
          <w:color w:val="auto"/>
          <w:sz w:val="40"/>
          <w:szCs w:val="32"/>
          <w:highlight w:val="none"/>
          <w:lang w:val="en-US" w:eastAsia="zh-CN"/>
        </w:rPr>
        <w:t>10</w:t>
      </w:r>
      <w:r>
        <w:rPr>
          <w:rFonts w:hint="eastAsia" w:ascii="宋体" w:hAnsi="宋体"/>
          <w:b/>
          <w:color w:val="auto"/>
          <w:sz w:val="40"/>
          <w:szCs w:val="32"/>
          <w:highlight w:val="none"/>
        </w:rPr>
        <w:t>%股权转让</w:t>
      </w:r>
      <w:bookmarkEnd w:id="3"/>
    </w:p>
    <w:p>
      <w:pPr>
        <w:pStyle w:val="11"/>
        <w:tabs>
          <w:tab w:val="right" w:leader="dot" w:pos="8844"/>
        </w:tabs>
        <w:spacing w:line="720" w:lineRule="auto"/>
        <w:ind w:firstLine="0" w:firstLineChars="0"/>
        <w:rPr>
          <w:b/>
          <w:bCs/>
          <w:color w:val="auto"/>
          <w:sz w:val="32"/>
          <w:szCs w:val="32"/>
          <w:highlight w:val="none"/>
        </w:rPr>
      </w:pPr>
    </w:p>
    <w:p>
      <w:pPr>
        <w:pStyle w:val="11"/>
        <w:tabs>
          <w:tab w:val="right" w:leader="dot" w:pos="8844"/>
        </w:tabs>
        <w:spacing w:line="720" w:lineRule="auto"/>
        <w:ind w:firstLine="0" w:firstLineChars="0"/>
        <w:rPr>
          <w:color w:val="auto"/>
          <w:sz w:val="32"/>
          <w:szCs w:val="32"/>
          <w:highlight w:val="none"/>
        </w:rPr>
      </w:pPr>
      <w:r>
        <w:rPr>
          <w:b/>
          <w:bCs/>
          <w:color w:val="auto"/>
          <w:sz w:val="32"/>
          <w:szCs w:val="32"/>
          <w:highlight w:val="none"/>
        </w:rPr>
        <w:fldChar w:fldCharType="begin"/>
      </w:r>
      <w:r>
        <w:rPr>
          <w:b/>
          <w:bCs/>
          <w:color w:val="auto"/>
          <w:sz w:val="32"/>
          <w:szCs w:val="32"/>
          <w:highlight w:val="none"/>
        </w:rPr>
        <w:instrText xml:space="preserve"> TOC \o "1-3" \h \z \u </w:instrText>
      </w:r>
      <w:r>
        <w:rPr>
          <w:b/>
          <w:bCs/>
          <w:color w:val="auto"/>
          <w:sz w:val="32"/>
          <w:szCs w:val="32"/>
          <w:highlight w:val="none"/>
        </w:rPr>
        <w:fldChar w:fldCharType="separate"/>
      </w:r>
      <w:r>
        <w:rPr>
          <w:color w:val="auto"/>
          <w:highlight w:val="none"/>
        </w:rPr>
        <w:fldChar w:fldCharType="begin"/>
      </w:r>
      <w:r>
        <w:rPr>
          <w:color w:val="auto"/>
          <w:highlight w:val="none"/>
        </w:rPr>
        <w:instrText xml:space="preserve"> HYPERLINK \l "_Toc24912" </w:instrText>
      </w:r>
      <w:r>
        <w:rPr>
          <w:color w:val="auto"/>
          <w:highlight w:val="none"/>
        </w:rPr>
        <w:fldChar w:fldCharType="separate"/>
      </w:r>
      <w:r>
        <w:rPr>
          <w:rFonts w:hint="eastAsia"/>
          <w:color w:val="auto"/>
          <w:sz w:val="32"/>
          <w:szCs w:val="32"/>
          <w:highlight w:val="none"/>
        </w:rPr>
        <w:t>股权转让公告</w:t>
      </w:r>
      <w:r>
        <w:rPr>
          <w:color w:val="auto"/>
          <w:sz w:val="32"/>
          <w:szCs w:val="32"/>
          <w:highlight w:val="none"/>
        </w:rPr>
        <w:tab/>
      </w:r>
      <w:r>
        <w:rPr>
          <w:rFonts w:hint="eastAsia"/>
          <w:color w:val="auto"/>
          <w:sz w:val="32"/>
          <w:szCs w:val="32"/>
          <w:highlight w:val="none"/>
        </w:rPr>
        <w:t>3</w:t>
      </w:r>
      <w:r>
        <w:rPr>
          <w:rFonts w:hint="eastAsia"/>
          <w:color w:val="auto"/>
          <w:sz w:val="32"/>
          <w:szCs w:val="32"/>
          <w:highlight w:val="none"/>
        </w:rPr>
        <w:fldChar w:fldCharType="end"/>
      </w:r>
    </w:p>
    <w:p>
      <w:pPr>
        <w:pStyle w:val="11"/>
        <w:tabs>
          <w:tab w:val="right" w:leader="dot" w:pos="8844"/>
        </w:tabs>
        <w:spacing w:line="720" w:lineRule="auto"/>
        <w:ind w:firstLine="0" w:firstLineChars="0"/>
        <w:rPr>
          <w:rFonts w:ascii="Calibri" w:hAnsi="Calibri"/>
          <w:b/>
          <w:bCs/>
          <w:color w:val="auto"/>
          <w:kern w:val="44"/>
          <w:sz w:val="36"/>
          <w:szCs w:val="44"/>
          <w:highlight w:val="none"/>
        </w:rPr>
      </w:pPr>
      <w:r>
        <w:rPr>
          <w:color w:val="auto"/>
          <w:highlight w:val="none"/>
        </w:rPr>
        <w:fldChar w:fldCharType="begin"/>
      </w:r>
      <w:r>
        <w:rPr>
          <w:color w:val="auto"/>
          <w:highlight w:val="none"/>
        </w:rPr>
        <w:instrText xml:space="preserve"> HYPERLINK \l "_Toc14112" </w:instrText>
      </w:r>
      <w:r>
        <w:rPr>
          <w:color w:val="auto"/>
          <w:highlight w:val="none"/>
        </w:rPr>
        <w:fldChar w:fldCharType="separate"/>
      </w:r>
      <w:r>
        <w:rPr>
          <w:rFonts w:hint="eastAsia"/>
          <w:color w:val="auto"/>
          <w:sz w:val="32"/>
          <w:szCs w:val="32"/>
          <w:highlight w:val="none"/>
        </w:rPr>
        <w:t>转让须知</w:t>
      </w:r>
      <w:r>
        <w:rPr>
          <w:color w:val="auto"/>
          <w:sz w:val="32"/>
          <w:szCs w:val="32"/>
          <w:highlight w:val="none"/>
        </w:rPr>
        <w:tab/>
      </w:r>
      <w:r>
        <w:rPr>
          <w:rFonts w:hint="eastAsia"/>
          <w:color w:val="auto"/>
          <w:sz w:val="32"/>
          <w:szCs w:val="32"/>
          <w:highlight w:val="none"/>
        </w:rPr>
        <w:t>5</w:t>
      </w:r>
      <w:r>
        <w:rPr>
          <w:rFonts w:hint="eastAsia"/>
          <w:color w:val="auto"/>
          <w:sz w:val="32"/>
          <w:szCs w:val="32"/>
          <w:highlight w:val="none"/>
        </w:rPr>
        <w:fldChar w:fldCharType="end"/>
      </w:r>
    </w:p>
    <w:p>
      <w:pPr>
        <w:pStyle w:val="11"/>
        <w:tabs>
          <w:tab w:val="right" w:leader="dot" w:pos="8844"/>
        </w:tabs>
        <w:spacing w:line="720" w:lineRule="auto"/>
        <w:ind w:firstLine="0" w:firstLineChars="0"/>
        <w:rPr>
          <w:color w:val="auto"/>
          <w:highlight w:val="none"/>
        </w:rPr>
      </w:pPr>
      <w:r>
        <w:rPr>
          <w:color w:val="auto"/>
          <w:highlight w:val="none"/>
        </w:rPr>
        <w:fldChar w:fldCharType="begin"/>
      </w:r>
      <w:r>
        <w:rPr>
          <w:color w:val="auto"/>
          <w:highlight w:val="none"/>
        </w:rPr>
        <w:instrText xml:space="preserve"> HYPERLINK \l "_Toc6233" </w:instrText>
      </w:r>
      <w:r>
        <w:rPr>
          <w:color w:val="auto"/>
          <w:highlight w:val="none"/>
        </w:rPr>
        <w:fldChar w:fldCharType="separate"/>
      </w:r>
      <w:r>
        <w:rPr>
          <w:rFonts w:hint="eastAsia"/>
          <w:color w:val="auto"/>
          <w:sz w:val="32"/>
          <w:szCs w:val="32"/>
          <w:highlight w:val="none"/>
        </w:rPr>
        <w:t>网络竞价规则</w:t>
      </w:r>
      <w:r>
        <w:rPr>
          <w:color w:val="auto"/>
          <w:sz w:val="32"/>
          <w:szCs w:val="32"/>
          <w:highlight w:val="none"/>
        </w:rPr>
        <w:tab/>
      </w:r>
      <w:r>
        <w:rPr>
          <w:rFonts w:hint="eastAsia"/>
          <w:color w:val="auto"/>
          <w:sz w:val="32"/>
          <w:szCs w:val="32"/>
          <w:highlight w:val="none"/>
        </w:rPr>
        <w:t>1</w:t>
      </w:r>
      <w:r>
        <w:rPr>
          <w:rFonts w:hint="eastAsia"/>
          <w:color w:val="auto"/>
          <w:sz w:val="32"/>
          <w:szCs w:val="32"/>
          <w:highlight w:val="none"/>
        </w:rPr>
        <w:fldChar w:fldCharType="end"/>
      </w:r>
      <w:r>
        <w:rPr>
          <w:rFonts w:hint="eastAsia"/>
          <w:bCs/>
          <w:color w:val="auto"/>
          <w:sz w:val="32"/>
          <w:szCs w:val="32"/>
          <w:highlight w:val="none"/>
        </w:rPr>
        <w:t>2</w:t>
      </w:r>
    </w:p>
    <w:p>
      <w:pPr>
        <w:pStyle w:val="11"/>
        <w:tabs>
          <w:tab w:val="right" w:leader="dot" w:pos="8844"/>
        </w:tabs>
        <w:spacing w:line="720" w:lineRule="auto"/>
        <w:ind w:firstLine="0" w:firstLineChars="0"/>
        <w:rPr>
          <w:color w:val="auto"/>
          <w:sz w:val="32"/>
          <w:szCs w:val="32"/>
          <w:highlight w:val="none"/>
        </w:rPr>
      </w:pPr>
      <w:r>
        <w:rPr>
          <w:color w:val="auto"/>
          <w:highlight w:val="none"/>
        </w:rPr>
        <w:fldChar w:fldCharType="begin"/>
      </w:r>
      <w:r>
        <w:rPr>
          <w:color w:val="auto"/>
          <w:highlight w:val="none"/>
        </w:rPr>
        <w:instrText xml:space="preserve"> HYPERLINK \l "_Toc6233" </w:instrText>
      </w:r>
      <w:r>
        <w:rPr>
          <w:color w:val="auto"/>
          <w:highlight w:val="none"/>
        </w:rPr>
        <w:fldChar w:fldCharType="separate"/>
      </w:r>
      <w:r>
        <w:rPr>
          <w:rFonts w:hint="eastAsia"/>
          <w:color w:val="auto"/>
          <w:sz w:val="32"/>
          <w:szCs w:val="32"/>
          <w:highlight w:val="none"/>
        </w:rPr>
        <w:t>竞买申请书</w:t>
      </w:r>
      <w:r>
        <w:rPr>
          <w:color w:val="auto"/>
          <w:sz w:val="32"/>
          <w:szCs w:val="32"/>
          <w:highlight w:val="none"/>
        </w:rPr>
        <w:tab/>
      </w:r>
      <w:r>
        <w:rPr>
          <w:rFonts w:hint="eastAsia"/>
          <w:color w:val="auto"/>
          <w:sz w:val="32"/>
          <w:szCs w:val="32"/>
          <w:highlight w:val="none"/>
        </w:rPr>
        <w:t>1</w:t>
      </w:r>
      <w:r>
        <w:rPr>
          <w:rFonts w:hint="eastAsia"/>
          <w:color w:val="auto"/>
          <w:sz w:val="32"/>
          <w:szCs w:val="32"/>
          <w:highlight w:val="none"/>
        </w:rPr>
        <w:fldChar w:fldCharType="end"/>
      </w:r>
      <w:r>
        <w:rPr>
          <w:rFonts w:hint="eastAsia"/>
          <w:bCs/>
          <w:color w:val="auto"/>
          <w:sz w:val="32"/>
          <w:szCs w:val="32"/>
          <w:highlight w:val="none"/>
        </w:rPr>
        <w:t>6</w:t>
      </w:r>
    </w:p>
    <w:p>
      <w:pPr>
        <w:pStyle w:val="11"/>
        <w:tabs>
          <w:tab w:val="right" w:leader="dot" w:pos="8844"/>
        </w:tabs>
        <w:spacing w:line="720" w:lineRule="auto"/>
        <w:ind w:firstLine="0" w:firstLineChars="0"/>
        <w:rPr>
          <w:color w:val="auto"/>
          <w:sz w:val="32"/>
          <w:szCs w:val="32"/>
          <w:highlight w:val="none"/>
        </w:rPr>
      </w:pPr>
      <w:r>
        <w:rPr>
          <w:color w:val="auto"/>
          <w:highlight w:val="none"/>
        </w:rPr>
        <w:fldChar w:fldCharType="begin"/>
      </w:r>
      <w:r>
        <w:rPr>
          <w:color w:val="auto"/>
          <w:highlight w:val="none"/>
        </w:rPr>
        <w:instrText xml:space="preserve"> HYPERLINK \l "_Toc30560" </w:instrText>
      </w:r>
      <w:r>
        <w:rPr>
          <w:color w:val="auto"/>
          <w:highlight w:val="none"/>
        </w:rPr>
        <w:fldChar w:fldCharType="separate"/>
      </w:r>
      <w:r>
        <w:rPr>
          <w:rFonts w:hint="eastAsia"/>
          <w:color w:val="auto"/>
          <w:sz w:val="32"/>
          <w:szCs w:val="32"/>
          <w:highlight w:val="none"/>
        </w:rPr>
        <w:t>竞买人承诺函</w:t>
      </w:r>
      <w:r>
        <w:rPr>
          <w:color w:val="auto"/>
          <w:sz w:val="32"/>
          <w:szCs w:val="32"/>
          <w:highlight w:val="none"/>
        </w:rPr>
        <w:tab/>
      </w:r>
      <w:r>
        <w:rPr>
          <w:color w:val="auto"/>
          <w:sz w:val="32"/>
          <w:szCs w:val="32"/>
          <w:highlight w:val="none"/>
        </w:rPr>
        <w:fldChar w:fldCharType="end"/>
      </w:r>
      <w:r>
        <w:rPr>
          <w:rFonts w:hint="eastAsia"/>
          <w:color w:val="auto"/>
          <w:sz w:val="32"/>
          <w:szCs w:val="32"/>
          <w:highlight w:val="none"/>
        </w:rPr>
        <w:t>17</w:t>
      </w:r>
    </w:p>
    <w:p>
      <w:pPr>
        <w:pStyle w:val="11"/>
        <w:tabs>
          <w:tab w:val="right" w:leader="dot" w:pos="8844"/>
        </w:tabs>
        <w:spacing w:line="720" w:lineRule="auto"/>
        <w:ind w:firstLine="0" w:firstLineChars="0"/>
        <w:rPr>
          <w:rFonts w:hint="eastAsia" w:eastAsia="宋体"/>
          <w:color w:val="auto"/>
          <w:sz w:val="32"/>
          <w:szCs w:val="32"/>
          <w:highlight w:val="none"/>
          <w:lang w:eastAsia="zh-CN"/>
        </w:rPr>
      </w:pPr>
      <w:r>
        <w:rPr>
          <w:rFonts w:hint="eastAsia"/>
          <w:color w:val="auto"/>
          <w:sz w:val="32"/>
          <w:szCs w:val="32"/>
          <w:highlight w:val="none"/>
          <w:lang w:val="en-US" w:eastAsia="zh-CN"/>
        </w:rPr>
        <w:t>股权</w:t>
      </w:r>
      <w:r>
        <w:rPr>
          <w:color w:val="auto"/>
          <w:highlight w:val="none"/>
        </w:rPr>
        <w:fldChar w:fldCharType="begin"/>
      </w:r>
      <w:r>
        <w:rPr>
          <w:color w:val="auto"/>
          <w:highlight w:val="none"/>
        </w:rPr>
        <w:instrText xml:space="preserve"> HYPERLINK \l "_Toc6735" </w:instrText>
      </w:r>
      <w:r>
        <w:rPr>
          <w:color w:val="auto"/>
          <w:highlight w:val="none"/>
        </w:rPr>
        <w:fldChar w:fldCharType="separate"/>
      </w:r>
      <w:r>
        <w:rPr>
          <w:rFonts w:hint="eastAsia"/>
          <w:color w:val="auto"/>
          <w:sz w:val="32"/>
          <w:szCs w:val="32"/>
          <w:highlight w:val="none"/>
        </w:rPr>
        <w:t>转让合同</w:t>
      </w:r>
      <w:r>
        <w:rPr>
          <w:color w:val="auto"/>
          <w:sz w:val="32"/>
          <w:szCs w:val="32"/>
          <w:highlight w:val="none"/>
        </w:rPr>
        <w:tab/>
      </w:r>
      <w:r>
        <w:rPr>
          <w:color w:val="auto"/>
          <w:sz w:val="32"/>
          <w:szCs w:val="32"/>
          <w:highlight w:val="none"/>
        </w:rPr>
        <w:fldChar w:fldCharType="end"/>
      </w:r>
      <w:r>
        <w:rPr>
          <w:rFonts w:hint="eastAsia"/>
          <w:color w:val="auto"/>
          <w:sz w:val="32"/>
          <w:szCs w:val="32"/>
          <w:highlight w:val="none"/>
          <w:lang w:val="en-US" w:eastAsia="zh-CN"/>
        </w:rPr>
        <w:t>19</w:t>
      </w:r>
    </w:p>
    <w:p>
      <w:pPr>
        <w:pStyle w:val="11"/>
        <w:tabs>
          <w:tab w:val="right" w:leader="dot" w:pos="8844"/>
        </w:tabs>
        <w:spacing w:line="720" w:lineRule="auto"/>
        <w:ind w:firstLine="0" w:firstLineChars="0"/>
        <w:rPr>
          <w:rFonts w:hint="eastAsia" w:eastAsia="宋体"/>
          <w:color w:val="auto"/>
          <w:sz w:val="32"/>
          <w:szCs w:val="32"/>
          <w:highlight w:val="none"/>
          <w:lang w:eastAsia="zh-CN"/>
        </w:rPr>
      </w:pPr>
      <w:r>
        <w:rPr>
          <w:color w:val="auto"/>
          <w:highlight w:val="none"/>
        </w:rPr>
        <w:fldChar w:fldCharType="begin"/>
      </w:r>
      <w:r>
        <w:rPr>
          <w:color w:val="auto"/>
          <w:highlight w:val="none"/>
        </w:rPr>
        <w:instrText xml:space="preserve"> HYPERLINK \l "_Toc14269" </w:instrText>
      </w:r>
      <w:r>
        <w:rPr>
          <w:color w:val="auto"/>
          <w:highlight w:val="none"/>
        </w:rPr>
        <w:fldChar w:fldCharType="separate"/>
      </w:r>
      <w:r>
        <w:rPr>
          <w:rFonts w:hint="eastAsia"/>
          <w:color w:val="auto"/>
          <w:sz w:val="32"/>
          <w:szCs w:val="32"/>
          <w:highlight w:val="none"/>
        </w:rPr>
        <w:t>转让股权相关信息</w:t>
      </w:r>
      <w:r>
        <w:rPr>
          <w:color w:val="auto"/>
          <w:sz w:val="32"/>
          <w:szCs w:val="32"/>
          <w:highlight w:val="none"/>
        </w:rPr>
        <w:tab/>
      </w:r>
      <w:r>
        <w:rPr>
          <w:color w:val="auto"/>
          <w:sz w:val="32"/>
          <w:szCs w:val="32"/>
          <w:highlight w:val="none"/>
        </w:rPr>
        <w:fldChar w:fldCharType="end"/>
      </w:r>
      <w:r>
        <w:rPr>
          <w:rFonts w:hint="eastAsia"/>
          <w:color w:val="auto"/>
          <w:sz w:val="32"/>
          <w:szCs w:val="32"/>
          <w:highlight w:val="none"/>
        </w:rPr>
        <w:t>2</w:t>
      </w:r>
      <w:r>
        <w:rPr>
          <w:rFonts w:hint="eastAsia"/>
          <w:color w:val="auto"/>
          <w:sz w:val="32"/>
          <w:szCs w:val="32"/>
          <w:highlight w:val="none"/>
          <w:lang w:val="en-US" w:eastAsia="zh-CN"/>
        </w:rPr>
        <w:t>7</w:t>
      </w:r>
    </w:p>
    <w:p>
      <w:pPr>
        <w:pStyle w:val="11"/>
        <w:tabs>
          <w:tab w:val="right" w:leader="dot" w:pos="8844"/>
        </w:tabs>
        <w:spacing w:line="720" w:lineRule="auto"/>
        <w:ind w:firstLine="0" w:firstLineChars="0"/>
        <w:rPr>
          <w:rFonts w:hint="eastAsia" w:eastAsia="宋体"/>
          <w:color w:val="auto"/>
          <w:sz w:val="32"/>
          <w:szCs w:val="32"/>
          <w:highlight w:val="none"/>
          <w:lang w:eastAsia="zh-CN"/>
        </w:rPr>
      </w:pPr>
      <w:r>
        <w:rPr>
          <w:color w:val="auto"/>
          <w:highlight w:val="none"/>
        </w:rPr>
        <w:fldChar w:fldCharType="begin"/>
      </w:r>
      <w:r>
        <w:rPr>
          <w:color w:val="auto"/>
          <w:highlight w:val="none"/>
        </w:rPr>
        <w:instrText xml:space="preserve"> HYPERLINK \l "_Toc16293" </w:instrText>
      </w:r>
      <w:r>
        <w:rPr>
          <w:color w:val="auto"/>
          <w:highlight w:val="none"/>
        </w:rPr>
        <w:fldChar w:fldCharType="separate"/>
      </w:r>
      <w:r>
        <w:rPr>
          <w:rFonts w:hint="eastAsia"/>
          <w:color w:val="auto"/>
          <w:sz w:val="32"/>
          <w:szCs w:val="32"/>
          <w:highlight w:val="none"/>
        </w:rPr>
        <w:t>台州市产权交易所有限公司简介</w:t>
      </w:r>
      <w:r>
        <w:rPr>
          <w:color w:val="auto"/>
          <w:sz w:val="32"/>
          <w:szCs w:val="32"/>
          <w:highlight w:val="none"/>
        </w:rPr>
        <w:tab/>
      </w:r>
      <w:r>
        <w:rPr>
          <w:color w:val="auto"/>
          <w:sz w:val="32"/>
          <w:szCs w:val="32"/>
          <w:highlight w:val="none"/>
        </w:rPr>
        <w:fldChar w:fldCharType="end"/>
      </w:r>
      <w:r>
        <w:rPr>
          <w:rFonts w:hint="eastAsia"/>
          <w:color w:val="auto"/>
          <w:sz w:val="32"/>
          <w:szCs w:val="32"/>
          <w:highlight w:val="none"/>
        </w:rPr>
        <w:t>3</w:t>
      </w:r>
      <w:r>
        <w:rPr>
          <w:rFonts w:hint="eastAsia"/>
          <w:color w:val="auto"/>
          <w:sz w:val="32"/>
          <w:szCs w:val="32"/>
          <w:highlight w:val="none"/>
          <w:lang w:val="en-US" w:eastAsia="zh-CN"/>
        </w:rPr>
        <w:t>0</w:t>
      </w:r>
    </w:p>
    <w:p>
      <w:pPr>
        <w:spacing w:before="312" w:beforeLines="100" w:after="312" w:afterLines="100" w:line="480" w:lineRule="auto"/>
        <w:ind w:firstLine="0" w:firstLineChars="0"/>
        <w:rPr>
          <w:color w:val="auto"/>
          <w:sz w:val="32"/>
          <w:szCs w:val="32"/>
          <w:highlight w:val="none"/>
        </w:rPr>
      </w:pPr>
      <w:r>
        <w:rPr>
          <w:bCs/>
          <w:color w:val="auto"/>
          <w:sz w:val="32"/>
          <w:szCs w:val="32"/>
          <w:highlight w:val="none"/>
          <w:lang w:val="zh-CN"/>
        </w:rPr>
        <w:fldChar w:fldCharType="end"/>
      </w:r>
    </w:p>
    <w:p>
      <w:pPr>
        <w:ind w:firstLine="562"/>
        <w:rPr>
          <w:rFonts w:ascii="宋体" w:hAnsi="宋体"/>
          <w:b/>
          <w:bCs/>
          <w:color w:val="auto"/>
          <w:sz w:val="28"/>
          <w:szCs w:val="28"/>
          <w:highlight w:val="none"/>
        </w:rPr>
      </w:pPr>
    </w:p>
    <w:p>
      <w:pPr>
        <w:ind w:firstLine="562"/>
        <w:jc w:val="center"/>
        <w:rPr>
          <w:rFonts w:ascii="宋体" w:hAnsi="宋体"/>
          <w:b/>
          <w:color w:val="auto"/>
          <w:sz w:val="28"/>
          <w:szCs w:val="28"/>
          <w:highlight w:val="none"/>
        </w:rPr>
        <w:sectPr>
          <w:footerReference r:id="rId9" w:type="default"/>
          <w:pgSz w:w="11906" w:h="16838"/>
          <w:pgMar w:top="1440" w:right="1531" w:bottom="1327" w:left="1531" w:header="851" w:footer="992" w:gutter="0"/>
          <w:pgNumType w:fmt="numberInDash"/>
          <w:cols w:space="720" w:num="1"/>
          <w:docGrid w:type="lines" w:linePitch="312" w:charSpace="0"/>
        </w:sectPr>
      </w:pPr>
    </w:p>
    <w:p>
      <w:pPr>
        <w:keepNext/>
        <w:keepLines/>
        <w:spacing w:before="100" w:beforeAutospacing="1" w:after="100" w:afterAutospacing="1"/>
        <w:ind w:firstLine="0" w:firstLineChars="0"/>
        <w:jc w:val="center"/>
        <w:outlineLvl w:val="0"/>
        <w:rPr>
          <w:rFonts w:hint="eastAsia" w:ascii="黑体" w:hAnsi="黑体" w:eastAsia="黑体"/>
          <w:bCs/>
          <w:color w:val="auto"/>
          <w:sz w:val="28"/>
          <w:szCs w:val="28"/>
          <w:highlight w:val="none"/>
          <w:shd w:val="clear" w:color="auto" w:fill="auto"/>
        </w:rPr>
      </w:pPr>
      <w:r>
        <w:rPr>
          <w:rFonts w:hint="eastAsia" w:ascii="Calibri" w:hAnsi="Calibri"/>
          <w:b/>
          <w:bCs/>
          <w:color w:val="auto"/>
          <w:kern w:val="44"/>
          <w:sz w:val="36"/>
          <w:szCs w:val="44"/>
          <w:highlight w:val="none"/>
        </w:rPr>
        <w:t>股权转让公告</w:t>
      </w:r>
      <w:bookmarkEnd w:id="0"/>
      <w:bookmarkEnd w:id="1"/>
      <w:bookmarkEnd w:id="2"/>
    </w:p>
    <w:p>
      <w:pPr>
        <w:pStyle w:val="5"/>
        <w:ind w:firstLine="0" w:firstLineChars="0"/>
        <w:jc w:val="center"/>
        <w:rPr>
          <w:color w:val="auto"/>
          <w:highlight w:val="none"/>
        </w:rPr>
      </w:pPr>
      <w:r>
        <w:rPr>
          <w:rFonts w:hint="eastAsia" w:ascii="黑体" w:hAnsi="黑体" w:eastAsia="黑体"/>
          <w:bCs/>
          <w:color w:val="auto"/>
          <w:sz w:val="28"/>
          <w:szCs w:val="28"/>
          <w:highlight w:val="none"/>
          <w:shd w:val="clear" w:color="auto" w:fill="auto"/>
        </w:rPr>
        <w:t>台交所挂〔</w:t>
      </w:r>
      <w:r>
        <w:rPr>
          <w:rFonts w:ascii="黑体" w:hAnsi="黑体" w:eastAsia="黑体"/>
          <w:bCs/>
          <w:color w:val="auto"/>
          <w:sz w:val="28"/>
          <w:szCs w:val="28"/>
          <w:highlight w:val="none"/>
          <w:shd w:val="clear" w:color="auto" w:fill="auto"/>
        </w:rPr>
        <w:t>2022</w:t>
      </w:r>
      <w:r>
        <w:rPr>
          <w:rFonts w:hint="eastAsia" w:ascii="黑体" w:hAnsi="黑体" w:eastAsia="黑体"/>
          <w:bCs/>
          <w:color w:val="auto"/>
          <w:sz w:val="28"/>
          <w:szCs w:val="28"/>
          <w:highlight w:val="none"/>
          <w:shd w:val="clear" w:color="auto" w:fill="auto"/>
        </w:rPr>
        <w:t>〕</w:t>
      </w:r>
      <w:r>
        <w:rPr>
          <w:rFonts w:hint="eastAsia" w:ascii="黑体" w:hAnsi="黑体" w:eastAsia="黑体"/>
          <w:bCs/>
          <w:color w:val="auto"/>
          <w:sz w:val="28"/>
          <w:szCs w:val="28"/>
          <w:highlight w:val="none"/>
          <w:shd w:val="clear" w:color="auto" w:fill="auto"/>
          <w:lang w:val="en-US" w:eastAsia="zh-CN"/>
        </w:rPr>
        <w:t>26号</w:t>
      </w:r>
    </w:p>
    <w:p>
      <w:pPr>
        <w:ind w:firstLine="560"/>
        <w:rPr>
          <w:rFonts w:ascii="宋体" w:hAnsi="宋体"/>
          <w:color w:val="auto"/>
          <w:sz w:val="28"/>
          <w:szCs w:val="28"/>
          <w:highlight w:val="none"/>
          <w:u w:val="none"/>
        </w:rPr>
      </w:pPr>
      <w:r>
        <w:rPr>
          <w:rFonts w:hint="eastAsia" w:ascii="宋体" w:hAnsi="宋体"/>
          <w:color w:val="auto"/>
          <w:sz w:val="28"/>
          <w:szCs w:val="28"/>
          <w:highlight w:val="none"/>
        </w:rPr>
        <w:t>受有关单位委托，台州市产权交易所有限公司（以下简称产交所）</w:t>
      </w:r>
      <w:r>
        <w:rPr>
          <w:rFonts w:hint="eastAsia" w:ascii="宋体" w:hAnsi="宋体"/>
          <w:color w:val="auto"/>
          <w:sz w:val="28"/>
          <w:szCs w:val="28"/>
          <w:highlight w:val="none"/>
          <w:u w:val="none"/>
        </w:rPr>
        <w:t>对</w:t>
      </w:r>
      <w:bookmarkStart w:id="4" w:name="_Hlk527011094"/>
      <w:bookmarkStart w:id="5" w:name="_Hlk526956940"/>
      <w:r>
        <w:rPr>
          <w:rFonts w:hint="eastAsia" w:ascii="宋体" w:hAnsi="宋体"/>
          <w:color w:val="auto"/>
          <w:sz w:val="28"/>
          <w:szCs w:val="28"/>
          <w:highlight w:val="none"/>
          <w:u w:val="none"/>
          <w:lang w:eastAsia="zh-CN"/>
        </w:rPr>
        <w:t>台州浙华科技开发有限公司</w:t>
      </w:r>
      <w:r>
        <w:rPr>
          <w:rFonts w:hint="eastAsia" w:ascii="宋体" w:hAnsi="宋体"/>
          <w:color w:val="auto"/>
          <w:sz w:val="28"/>
          <w:szCs w:val="28"/>
          <w:highlight w:val="none"/>
          <w:u w:val="none"/>
        </w:rPr>
        <w:t>持有的</w:t>
      </w:r>
      <w:bookmarkEnd w:id="4"/>
      <w:bookmarkEnd w:id="5"/>
      <w:r>
        <w:rPr>
          <w:rFonts w:hint="eastAsia"/>
          <w:sz w:val="28"/>
          <w:szCs w:val="28"/>
          <w:highlight w:val="none"/>
          <w:u w:val="none"/>
          <w:lang w:eastAsia="zh-CN"/>
        </w:rPr>
        <w:t>清大智创工业设计（台州）有限公司</w:t>
      </w:r>
      <w:r>
        <w:rPr>
          <w:rFonts w:hint="eastAsia"/>
          <w:sz w:val="28"/>
          <w:szCs w:val="28"/>
          <w:highlight w:val="none"/>
          <w:u w:val="none"/>
          <w:lang w:val="en-US" w:eastAsia="zh-CN"/>
        </w:rPr>
        <w:t>10</w:t>
      </w:r>
      <w:r>
        <w:rPr>
          <w:rFonts w:hint="eastAsia"/>
          <w:sz w:val="28"/>
          <w:szCs w:val="28"/>
          <w:highlight w:val="none"/>
          <w:u w:val="none"/>
          <w:lang w:eastAsia="zh-CN"/>
        </w:rPr>
        <w:t>%股权进行公开转让</w:t>
      </w:r>
      <w:r>
        <w:rPr>
          <w:rFonts w:hint="eastAsia" w:ascii="宋体" w:hAnsi="宋体"/>
          <w:color w:val="auto"/>
          <w:sz w:val="28"/>
          <w:szCs w:val="28"/>
          <w:highlight w:val="none"/>
          <w:u w:val="none"/>
        </w:rPr>
        <w:t>，具体事宜公告如下：</w:t>
      </w:r>
    </w:p>
    <w:p>
      <w:pPr>
        <w:numPr>
          <w:ilvl w:val="0"/>
          <w:numId w:val="1"/>
        </w:numPr>
        <w:ind w:left="0" w:firstLine="562"/>
        <w:jc w:val="left"/>
        <w:rPr>
          <w:rFonts w:ascii="宋体" w:hAnsi="宋体"/>
          <w:b/>
          <w:color w:val="auto"/>
          <w:sz w:val="28"/>
          <w:szCs w:val="28"/>
          <w:highlight w:val="none"/>
        </w:rPr>
      </w:pPr>
      <w:r>
        <w:rPr>
          <w:rFonts w:hint="eastAsia" w:ascii="宋体" w:hAnsi="宋体"/>
          <w:b/>
          <w:color w:val="auto"/>
          <w:sz w:val="28"/>
          <w:szCs w:val="28"/>
          <w:highlight w:val="none"/>
        </w:rPr>
        <w:t>转让标的、底价及保证金</w:t>
      </w:r>
    </w:p>
    <w:p>
      <w:pPr>
        <w:ind w:firstLine="560"/>
        <w:rPr>
          <w:rFonts w:ascii="宋体" w:hAnsi="宋体"/>
          <w:color w:val="auto"/>
          <w:sz w:val="28"/>
          <w:szCs w:val="28"/>
          <w:highlight w:val="none"/>
        </w:rPr>
      </w:pPr>
      <w:r>
        <w:rPr>
          <w:rFonts w:hint="eastAsia" w:ascii="宋体" w:hAnsi="宋体"/>
          <w:color w:val="auto"/>
          <w:sz w:val="28"/>
          <w:szCs w:val="28"/>
          <w:highlight w:val="none"/>
        </w:rPr>
        <w:t>本</w:t>
      </w:r>
      <w:r>
        <w:rPr>
          <w:rFonts w:hint="eastAsia" w:asciiTheme="minorEastAsia" w:hAnsiTheme="minorEastAsia" w:eastAsiaTheme="minorEastAsia" w:cstheme="minorEastAsia"/>
          <w:color w:val="auto"/>
          <w:sz w:val="28"/>
          <w:szCs w:val="28"/>
          <w:highlight w:val="none"/>
        </w:rPr>
        <w:t>次转让标的为</w:t>
      </w:r>
      <w:bookmarkStart w:id="45" w:name="_GoBack"/>
      <w:r>
        <w:rPr>
          <w:rFonts w:hint="eastAsia" w:asciiTheme="minorEastAsia" w:hAnsiTheme="minorEastAsia" w:eastAsiaTheme="minorEastAsia" w:cstheme="minorEastAsia"/>
          <w:color w:val="auto"/>
          <w:sz w:val="28"/>
          <w:szCs w:val="28"/>
          <w:highlight w:val="none"/>
          <w:lang w:val="en-US" w:eastAsia="zh-CN"/>
        </w:rPr>
        <w:t>台</w:t>
      </w:r>
      <w:r>
        <w:rPr>
          <w:rFonts w:hint="eastAsia" w:ascii="宋体" w:hAnsi="宋体"/>
          <w:color w:val="auto"/>
          <w:sz w:val="28"/>
          <w:szCs w:val="28"/>
          <w:highlight w:val="none"/>
          <w:u w:val="none"/>
          <w:lang w:eastAsia="zh-CN"/>
        </w:rPr>
        <w:t>州浙华科技开发有限公司</w:t>
      </w:r>
      <w:r>
        <w:rPr>
          <w:rFonts w:hint="eastAsia" w:ascii="宋体" w:hAnsi="宋体"/>
          <w:color w:val="auto"/>
          <w:sz w:val="28"/>
          <w:szCs w:val="28"/>
          <w:highlight w:val="none"/>
          <w:u w:val="none"/>
        </w:rPr>
        <w:t>持有的</w:t>
      </w:r>
      <w:r>
        <w:rPr>
          <w:rFonts w:hint="eastAsia"/>
          <w:sz w:val="28"/>
          <w:szCs w:val="28"/>
          <w:highlight w:val="none"/>
          <w:u w:val="none"/>
          <w:lang w:eastAsia="zh-CN"/>
        </w:rPr>
        <w:t>清大智创工业设计（台州）有限公司</w:t>
      </w:r>
      <w:r>
        <w:rPr>
          <w:rFonts w:hint="eastAsia"/>
          <w:sz w:val="28"/>
          <w:szCs w:val="28"/>
          <w:highlight w:val="none"/>
          <w:u w:val="none"/>
          <w:lang w:val="en-US" w:eastAsia="zh-CN"/>
        </w:rPr>
        <w:t>10</w:t>
      </w:r>
      <w:r>
        <w:rPr>
          <w:rFonts w:hint="eastAsia"/>
          <w:sz w:val="28"/>
          <w:szCs w:val="28"/>
          <w:highlight w:val="none"/>
          <w:u w:val="none"/>
          <w:lang w:eastAsia="zh-CN"/>
        </w:rPr>
        <w:t>%股权</w:t>
      </w:r>
      <w:bookmarkEnd w:id="45"/>
      <w:r>
        <w:rPr>
          <w:rFonts w:hint="eastAsia" w:asciiTheme="minorEastAsia" w:hAnsiTheme="minorEastAsia" w:eastAsiaTheme="minorEastAsia" w:cstheme="minorEastAsia"/>
          <w:color w:val="auto"/>
          <w:sz w:val="28"/>
          <w:szCs w:val="28"/>
          <w:highlight w:val="none"/>
        </w:rPr>
        <w:t>，转让底价</w:t>
      </w:r>
      <w:r>
        <w:rPr>
          <w:rFonts w:hint="eastAsia" w:asciiTheme="minorEastAsia" w:hAnsiTheme="minorEastAsia" w:eastAsiaTheme="minorEastAsia" w:cstheme="minorEastAsia"/>
          <w:color w:val="auto"/>
          <w:sz w:val="28"/>
          <w:szCs w:val="28"/>
          <w:highlight w:val="none"/>
          <w:lang w:val="en-US" w:eastAsia="zh-CN"/>
        </w:rPr>
        <w:t>10万</w:t>
      </w:r>
      <w:r>
        <w:rPr>
          <w:rFonts w:hint="eastAsia" w:asciiTheme="minorEastAsia" w:hAnsiTheme="minorEastAsia" w:eastAsiaTheme="minorEastAsia" w:cstheme="minorEastAsia"/>
          <w:color w:val="auto"/>
          <w:sz w:val="28"/>
          <w:szCs w:val="28"/>
          <w:highlight w:val="none"/>
        </w:rPr>
        <w:t>元人民币（不设保留价），竞买保证金</w:t>
      </w:r>
      <w:r>
        <w:rPr>
          <w:rFonts w:hint="eastAsia" w:asciiTheme="minorEastAsia" w:hAnsiTheme="minorEastAsia" w:eastAsiaTheme="minorEastAsia" w:cstheme="minorEastAsia"/>
          <w:color w:val="auto"/>
          <w:sz w:val="28"/>
          <w:szCs w:val="28"/>
          <w:highlight w:val="none"/>
          <w:lang w:val="en-US" w:eastAsia="zh-CN"/>
        </w:rPr>
        <w:t>2万</w:t>
      </w:r>
      <w:r>
        <w:rPr>
          <w:rFonts w:hint="eastAsia" w:asciiTheme="minorEastAsia" w:hAnsiTheme="minorEastAsia" w:eastAsiaTheme="minorEastAsia" w:cstheme="minorEastAsia"/>
          <w:color w:val="auto"/>
          <w:sz w:val="28"/>
          <w:szCs w:val="28"/>
          <w:highlight w:val="none"/>
        </w:rPr>
        <w:t>元人民币。</w:t>
      </w:r>
    </w:p>
    <w:p>
      <w:pPr>
        <w:numPr>
          <w:ilvl w:val="0"/>
          <w:numId w:val="1"/>
        </w:numPr>
        <w:ind w:left="0" w:firstLine="562"/>
        <w:rPr>
          <w:rFonts w:ascii="宋体" w:hAnsi="宋体"/>
          <w:b/>
          <w:color w:val="auto"/>
          <w:sz w:val="28"/>
          <w:szCs w:val="28"/>
          <w:highlight w:val="none"/>
        </w:rPr>
      </w:pPr>
      <w:r>
        <w:rPr>
          <w:rFonts w:hint="eastAsia" w:ascii="宋体" w:hAnsi="宋体"/>
          <w:b/>
          <w:color w:val="auto"/>
          <w:sz w:val="28"/>
          <w:szCs w:val="28"/>
          <w:highlight w:val="none"/>
        </w:rPr>
        <w:t>转让方式</w:t>
      </w:r>
    </w:p>
    <w:p>
      <w:pPr>
        <w:numPr>
          <w:ilvl w:val="255"/>
          <w:numId w:val="0"/>
        </w:numPr>
        <w:ind w:left="420" w:leftChars="200"/>
        <w:rPr>
          <w:rFonts w:ascii="宋体" w:hAnsi="宋体"/>
          <w:b/>
          <w:color w:val="auto"/>
          <w:sz w:val="28"/>
          <w:szCs w:val="28"/>
          <w:highlight w:val="none"/>
        </w:rPr>
      </w:pPr>
      <w:r>
        <w:rPr>
          <w:rFonts w:hint="eastAsia" w:ascii="宋体" w:hAnsi="宋体"/>
          <w:color w:val="auto"/>
          <w:sz w:val="28"/>
          <w:szCs w:val="28"/>
          <w:highlight w:val="none"/>
        </w:rPr>
        <w:t>网络多次性竞价，价高者得。</w:t>
      </w:r>
    </w:p>
    <w:p>
      <w:pPr>
        <w:numPr>
          <w:ilvl w:val="0"/>
          <w:numId w:val="1"/>
        </w:numPr>
        <w:ind w:left="0" w:firstLine="562"/>
        <w:rPr>
          <w:rFonts w:ascii="宋体" w:hAnsi="宋体"/>
          <w:b/>
          <w:color w:val="auto"/>
          <w:sz w:val="28"/>
          <w:szCs w:val="28"/>
          <w:highlight w:val="none"/>
        </w:rPr>
      </w:pPr>
      <w:r>
        <w:rPr>
          <w:rFonts w:hint="eastAsia" w:ascii="宋体" w:hAnsi="宋体"/>
          <w:b/>
          <w:color w:val="auto"/>
          <w:sz w:val="28"/>
          <w:szCs w:val="28"/>
          <w:highlight w:val="none"/>
        </w:rPr>
        <w:t>付款方式</w:t>
      </w:r>
    </w:p>
    <w:p>
      <w:pPr>
        <w:tabs>
          <w:tab w:val="left" w:pos="6960"/>
        </w:tabs>
        <w:ind w:firstLine="560" w:firstLineChars="0"/>
        <w:jc w:val="left"/>
        <w:rPr>
          <w:rFonts w:ascii="宋体" w:hAnsi="宋体"/>
          <w:color w:val="auto"/>
          <w:sz w:val="28"/>
          <w:szCs w:val="28"/>
          <w:highlight w:val="none"/>
        </w:rPr>
      </w:pPr>
      <w:r>
        <w:rPr>
          <w:rFonts w:hint="eastAsia" w:ascii="宋体" w:hAnsi="宋体"/>
          <w:color w:val="auto"/>
          <w:sz w:val="28"/>
          <w:szCs w:val="28"/>
          <w:highlight w:val="none"/>
        </w:rPr>
        <w:t>受让方应在《股权转让合同》签订之日起五个工作日内一次性付清本次股权转让款。</w:t>
      </w:r>
    </w:p>
    <w:p>
      <w:pPr>
        <w:numPr>
          <w:ilvl w:val="0"/>
          <w:numId w:val="1"/>
        </w:numPr>
        <w:ind w:left="0" w:firstLine="562"/>
        <w:rPr>
          <w:rFonts w:ascii="宋体" w:hAnsi="宋体"/>
          <w:b/>
          <w:color w:val="auto"/>
          <w:sz w:val="28"/>
          <w:szCs w:val="28"/>
          <w:highlight w:val="none"/>
        </w:rPr>
      </w:pPr>
      <w:r>
        <w:rPr>
          <w:rFonts w:hint="eastAsia" w:ascii="宋体" w:hAnsi="宋体"/>
          <w:b/>
          <w:color w:val="auto"/>
          <w:sz w:val="28"/>
          <w:szCs w:val="28"/>
          <w:highlight w:val="none"/>
        </w:rPr>
        <w:t>竞买人条件</w:t>
      </w:r>
    </w:p>
    <w:p>
      <w:pPr>
        <w:numPr>
          <w:ilvl w:val="-1"/>
          <w:numId w:val="0"/>
        </w:numPr>
        <w:tabs>
          <w:tab w:val="left" w:pos="1050"/>
        </w:tabs>
        <w:ind w:left="420" w:leftChars="200" w:firstLine="0" w:firstLineChars="0"/>
        <w:rPr>
          <w:rFonts w:ascii="宋体" w:hAnsi="宋体"/>
          <w:color w:val="auto"/>
          <w:sz w:val="28"/>
          <w:szCs w:val="28"/>
          <w:highlight w:val="none"/>
        </w:rPr>
      </w:pPr>
      <w:bookmarkStart w:id="6" w:name="_Hlk497643561"/>
      <w:bookmarkStart w:id="7" w:name="_Hlk9510541"/>
      <w:bookmarkStart w:id="8" w:name="_Hlk9530446"/>
      <w:r>
        <w:rPr>
          <w:rFonts w:hint="eastAsia" w:ascii="宋体" w:hAnsi="宋体"/>
          <w:color w:val="auto"/>
          <w:sz w:val="28"/>
          <w:szCs w:val="28"/>
          <w:highlight w:val="none"/>
        </w:rPr>
        <w:t>具有良好的商业信用及支付能力的境内企业、其他组织或自然人。</w:t>
      </w:r>
    </w:p>
    <w:bookmarkEnd w:id="6"/>
    <w:bookmarkEnd w:id="7"/>
    <w:bookmarkEnd w:id="8"/>
    <w:p>
      <w:pPr>
        <w:numPr>
          <w:ilvl w:val="0"/>
          <w:numId w:val="1"/>
        </w:numPr>
        <w:ind w:left="0" w:firstLine="562"/>
        <w:rPr>
          <w:rFonts w:ascii="宋体" w:hAnsi="宋体"/>
          <w:bCs/>
          <w:color w:val="auto"/>
          <w:sz w:val="28"/>
          <w:szCs w:val="28"/>
          <w:highlight w:val="none"/>
        </w:rPr>
      </w:pPr>
      <w:r>
        <w:rPr>
          <w:rFonts w:hint="eastAsia" w:ascii="宋体" w:hAnsi="宋体"/>
          <w:b/>
          <w:color w:val="auto"/>
          <w:sz w:val="28"/>
          <w:szCs w:val="28"/>
          <w:highlight w:val="none"/>
        </w:rPr>
        <w:t>报名须知</w:t>
      </w:r>
    </w:p>
    <w:p>
      <w:pPr>
        <w:numPr>
          <w:ilvl w:val="0"/>
          <w:numId w:val="0"/>
        </w:numPr>
        <w:ind w:firstLine="560" w:firstLineChars="200"/>
        <w:rPr>
          <w:rFonts w:ascii="宋体" w:hAnsi="宋体"/>
          <w:bCs/>
          <w:color w:val="auto"/>
          <w:sz w:val="28"/>
          <w:szCs w:val="28"/>
          <w:highlight w:val="none"/>
        </w:rPr>
      </w:pPr>
      <w:r>
        <w:rPr>
          <w:rFonts w:hint="eastAsia" w:ascii="宋体" w:hAnsi="宋体"/>
          <w:bCs/>
          <w:color w:val="auto"/>
          <w:sz w:val="28"/>
          <w:szCs w:val="28"/>
          <w:highlight w:val="none"/>
        </w:rPr>
        <w:t>凡报名的企业须持营业执照复印件(或单位有效证明文件)、单位法定代表人身份证、委托代理人身份证、法定代表人委托书</w:t>
      </w:r>
      <w:r>
        <w:rPr>
          <w:rFonts w:hint="eastAsia" w:ascii="宋体" w:hAnsi="宋体"/>
          <w:bCs/>
          <w:color w:val="auto"/>
          <w:sz w:val="28"/>
          <w:szCs w:val="28"/>
          <w:highlight w:val="none"/>
          <w:lang w:val="en-US" w:eastAsia="zh-CN"/>
        </w:rPr>
        <w:t>；</w:t>
      </w:r>
      <w:r>
        <w:rPr>
          <w:rFonts w:hint="eastAsia" w:ascii="宋体" w:hAnsi="宋体"/>
          <w:bCs/>
          <w:color w:val="auto"/>
          <w:sz w:val="28"/>
          <w:szCs w:val="28"/>
          <w:highlight w:val="none"/>
        </w:rPr>
        <w:t>自然人须持本人身份证明及相关资料。竞买人应在报名时缴付保证金</w:t>
      </w:r>
      <w:r>
        <w:rPr>
          <w:rFonts w:hint="eastAsia" w:ascii="宋体" w:hAnsi="宋体"/>
          <w:bCs/>
          <w:color w:val="auto"/>
          <w:sz w:val="28"/>
          <w:szCs w:val="28"/>
          <w:highlight w:val="none"/>
          <w:lang w:val="en-US" w:eastAsia="zh-CN"/>
        </w:rPr>
        <w:t>2</w:t>
      </w:r>
      <w:r>
        <w:rPr>
          <w:rFonts w:hint="eastAsia" w:ascii="宋体" w:hAnsi="宋体"/>
          <w:bCs/>
          <w:color w:val="auto"/>
          <w:sz w:val="28"/>
          <w:szCs w:val="28"/>
          <w:highlight w:val="none"/>
        </w:rPr>
        <w:t>万元人民币。原股东在同等条件下享有优先购买权。</w:t>
      </w:r>
    </w:p>
    <w:p>
      <w:pPr>
        <w:numPr>
          <w:ilvl w:val="0"/>
          <w:numId w:val="1"/>
        </w:numPr>
        <w:ind w:left="0" w:firstLine="562"/>
        <w:rPr>
          <w:rFonts w:ascii="宋体" w:hAnsi="宋体"/>
          <w:b/>
          <w:bCs/>
          <w:color w:val="auto"/>
          <w:sz w:val="28"/>
          <w:szCs w:val="28"/>
          <w:highlight w:val="none"/>
        </w:rPr>
      </w:pPr>
      <w:r>
        <w:rPr>
          <w:rFonts w:hint="eastAsia" w:ascii="宋体" w:hAnsi="宋体"/>
          <w:b/>
          <w:bCs/>
          <w:color w:val="auto"/>
          <w:sz w:val="28"/>
          <w:szCs w:val="28"/>
          <w:highlight w:val="none"/>
        </w:rPr>
        <w:t>实行网络报名：</w:t>
      </w:r>
      <w:r>
        <w:rPr>
          <w:rFonts w:hint="eastAsia" w:ascii="宋体" w:hAnsi="宋体"/>
          <w:color w:val="auto"/>
          <w:sz w:val="28"/>
          <w:szCs w:val="28"/>
          <w:highlight w:val="none"/>
        </w:rPr>
        <w:t>台州市公共资源交易网（https://tzztb.zjtz.gov.cn/tzcms/）</w:t>
      </w:r>
      <w:r>
        <w:rPr>
          <w:rFonts w:hint="eastAsia" w:ascii="宋体" w:hAnsi="宋体"/>
          <w:color w:val="auto"/>
          <w:sz w:val="28"/>
          <w:szCs w:val="28"/>
          <w:highlight w:val="none"/>
          <w:lang w:val="en-US" w:eastAsia="zh-CN"/>
        </w:rPr>
        <w:t>后进行</w:t>
      </w:r>
      <w:r>
        <w:rPr>
          <w:rFonts w:hint="eastAsia" w:ascii="宋体" w:hAnsi="宋体"/>
          <w:color w:val="auto"/>
          <w:sz w:val="28"/>
          <w:szCs w:val="28"/>
          <w:highlight w:val="none"/>
        </w:rPr>
        <w:t>资格确认。</w:t>
      </w:r>
    </w:p>
    <w:p>
      <w:pPr>
        <w:widowControl/>
        <w:shd w:val="clear" w:color="auto" w:fill="FFFFFF"/>
        <w:ind w:firstLine="562"/>
        <w:rPr>
          <w:rFonts w:ascii="宋体" w:hAnsi="宋体" w:cs="宋体"/>
          <w:color w:val="auto"/>
          <w:kern w:val="0"/>
          <w:sz w:val="28"/>
          <w:szCs w:val="28"/>
          <w:highlight w:val="none"/>
        </w:rPr>
      </w:pPr>
      <w:r>
        <w:rPr>
          <w:rFonts w:hint="eastAsia" w:ascii="宋体" w:hAnsi="宋体" w:cs="宋体"/>
          <w:b/>
          <w:color w:val="auto"/>
          <w:kern w:val="0"/>
          <w:sz w:val="28"/>
          <w:szCs w:val="28"/>
          <w:highlight w:val="none"/>
        </w:rPr>
        <w:t>报名时间和资格确认时间</w:t>
      </w:r>
      <w:r>
        <w:rPr>
          <w:rFonts w:hint="eastAsia" w:ascii="宋体" w:hAnsi="宋体" w:cs="宋体"/>
          <w:color w:val="auto"/>
          <w:kern w:val="0"/>
          <w:sz w:val="28"/>
          <w:szCs w:val="28"/>
          <w:highlight w:val="none"/>
        </w:rPr>
        <w:t>：</w:t>
      </w:r>
      <w:r>
        <w:rPr>
          <w:rFonts w:hint="eastAsia" w:ascii="宋体" w:hAnsi="宋体" w:cs="宋体"/>
          <w:color w:val="auto"/>
          <w:kern w:val="0"/>
          <w:sz w:val="28"/>
          <w:szCs w:val="28"/>
          <w:highlight w:val="none"/>
          <w:lang w:eastAsia="zh-CN"/>
        </w:rPr>
        <w:t>2022年6月2日</w:t>
      </w:r>
      <w:r>
        <w:rPr>
          <w:rFonts w:hint="eastAsia" w:ascii="宋体" w:hAnsi="宋体" w:cs="宋体"/>
          <w:color w:val="auto"/>
          <w:kern w:val="0"/>
          <w:sz w:val="28"/>
          <w:szCs w:val="28"/>
          <w:highlight w:val="none"/>
        </w:rPr>
        <w:t>至</w:t>
      </w:r>
      <w:r>
        <w:rPr>
          <w:rFonts w:hint="eastAsia" w:ascii="宋体" w:hAnsi="宋体" w:cs="宋体"/>
          <w:color w:val="auto"/>
          <w:kern w:val="0"/>
          <w:sz w:val="28"/>
          <w:szCs w:val="28"/>
          <w:highlight w:val="none"/>
          <w:lang w:eastAsia="zh-CN"/>
        </w:rPr>
        <w:t>2022年6月30日</w:t>
      </w:r>
      <w:r>
        <w:rPr>
          <w:rFonts w:hint="eastAsia" w:ascii="宋体" w:hAnsi="宋体" w:cs="宋体"/>
          <w:color w:val="auto"/>
          <w:kern w:val="0"/>
          <w:sz w:val="28"/>
          <w:szCs w:val="28"/>
          <w:highlight w:val="none"/>
        </w:rPr>
        <w:t>下午4：00前（上午8：30－11：30，下午14：00－16：00时，节假日除外）。</w:t>
      </w:r>
    </w:p>
    <w:p>
      <w:pPr>
        <w:numPr>
          <w:ilvl w:val="0"/>
          <w:numId w:val="1"/>
        </w:numPr>
        <w:wordWrap w:val="0"/>
        <w:ind w:left="0" w:firstLine="562"/>
        <w:rPr>
          <w:rFonts w:ascii="宋体" w:hAnsi="宋体"/>
          <w:b/>
          <w:color w:val="auto"/>
          <w:sz w:val="28"/>
          <w:szCs w:val="28"/>
          <w:highlight w:val="none"/>
        </w:rPr>
      </w:pPr>
      <w:bookmarkStart w:id="9" w:name="_Hlk10111476"/>
      <w:r>
        <w:rPr>
          <w:rFonts w:hint="eastAsia" w:asciiTheme="minorEastAsia" w:hAnsiTheme="minorEastAsia" w:eastAsiaTheme="minorEastAsia" w:cstheme="minorEastAsia"/>
          <w:b/>
          <w:bCs/>
          <w:color w:val="auto"/>
          <w:sz w:val="28"/>
          <w:szCs w:val="28"/>
          <w:highlight w:val="none"/>
        </w:rPr>
        <w:t>自由（挂牌）报价时间：</w:t>
      </w:r>
      <w:r>
        <w:rPr>
          <w:rFonts w:hint="eastAsia" w:asciiTheme="minorEastAsia" w:hAnsiTheme="minorEastAsia" w:eastAsiaTheme="minorEastAsia" w:cstheme="minorEastAsia"/>
          <w:b/>
          <w:bCs/>
          <w:color w:val="auto"/>
          <w:kern w:val="0"/>
          <w:sz w:val="28"/>
          <w:szCs w:val="28"/>
          <w:highlight w:val="none"/>
          <w:lang w:eastAsia="zh-CN"/>
        </w:rPr>
        <w:t>2022年6月2日</w:t>
      </w:r>
      <w:r>
        <w:rPr>
          <w:rFonts w:hint="eastAsia" w:asciiTheme="minorEastAsia" w:hAnsiTheme="minorEastAsia" w:eastAsiaTheme="minorEastAsia" w:cstheme="minorEastAsia"/>
          <w:b/>
          <w:bCs/>
          <w:color w:val="auto"/>
          <w:kern w:val="0"/>
          <w:sz w:val="28"/>
          <w:szCs w:val="28"/>
          <w:highlight w:val="none"/>
        </w:rPr>
        <w:t>至</w:t>
      </w:r>
      <w:r>
        <w:rPr>
          <w:rFonts w:hint="eastAsia" w:asciiTheme="minorEastAsia" w:hAnsiTheme="minorEastAsia" w:eastAsiaTheme="minorEastAsia" w:cstheme="minorEastAsia"/>
          <w:b/>
          <w:bCs/>
          <w:color w:val="auto"/>
          <w:kern w:val="0"/>
          <w:sz w:val="28"/>
          <w:szCs w:val="28"/>
          <w:highlight w:val="none"/>
          <w:lang w:eastAsia="zh-CN"/>
        </w:rPr>
        <w:t>2022年7月1日</w:t>
      </w:r>
      <w:r>
        <w:rPr>
          <w:rFonts w:hint="eastAsia" w:asciiTheme="minorEastAsia" w:hAnsiTheme="minorEastAsia" w:eastAsiaTheme="minorEastAsia" w:cstheme="minorEastAsia"/>
          <w:b/>
          <w:bCs/>
          <w:color w:val="auto"/>
          <w:kern w:val="0"/>
          <w:sz w:val="28"/>
          <w:szCs w:val="28"/>
          <w:highlight w:val="none"/>
        </w:rPr>
        <w:t>9:30时（竞买人报名审核后方可报价）；</w:t>
      </w:r>
    </w:p>
    <w:p>
      <w:pPr>
        <w:wordWrap w:val="0"/>
        <w:ind w:firstLine="562"/>
        <w:rPr>
          <w:rFonts w:ascii="宋体" w:hAnsi="宋体"/>
          <w:b/>
          <w:color w:val="auto"/>
          <w:sz w:val="28"/>
          <w:szCs w:val="28"/>
          <w:highlight w:val="none"/>
        </w:rPr>
      </w:pPr>
      <w:r>
        <w:rPr>
          <w:rFonts w:hint="eastAsia" w:asciiTheme="minorEastAsia" w:hAnsiTheme="minorEastAsia" w:eastAsiaTheme="minorEastAsia" w:cstheme="minorEastAsia"/>
          <w:b/>
          <w:bCs/>
          <w:color w:val="auto"/>
          <w:sz w:val="28"/>
          <w:szCs w:val="28"/>
          <w:highlight w:val="none"/>
        </w:rPr>
        <w:t>限时报价开始时间：</w:t>
      </w:r>
      <w:r>
        <w:rPr>
          <w:rFonts w:hint="eastAsia" w:asciiTheme="minorEastAsia" w:hAnsiTheme="minorEastAsia" w:eastAsiaTheme="minorEastAsia" w:cstheme="minorEastAsia"/>
          <w:b/>
          <w:bCs/>
          <w:color w:val="auto"/>
          <w:sz w:val="28"/>
          <w:szCs w:val="28"/>
          <w:highlight w:val="none"/>
          <w:lang w:eastAsia="zh-CN"/>
        </w:rPr>
        <w:t>2022年7月1日</w:t>
      </w:r>
      <w:r>
        <w:rPr>
          <w:rFonts w:hint="eastAsia" w:asciiTheme="minorEastAsia" w:hAnsiTheme="minorEastAsia" w:eastAsiaTheme="minorEastAsia" w:cstheme="minorEastAsia"/>
          <w:b/>
          <w:bCs/>
          <w:color w:val="auto"/>
          <w:sz w:val="28"/>
          <w:szCs w:val="28"/>
          <w:highlight w:val="none"/>
        </w:rPr>
        <w:t>（星期五）9：30时。</w:t>
      </w:r>
    </w:p>
    <w:bookmarkEnd w:id="9"/>
    <w:p>
      <w:pPr>
        <w:numPr>
          <w:ilvl w:val="0"/>
          <w:numId w:val="1"/>
        </w:numPr>
        <w:wordWrap w:val="0"/>
        <w:ind w:left="0" w:firstLine="562"/>
        <w:rPr>
          <w:rFonts w:ascii="宋体" w:hAnsi="宋体"/>
          <w:b/>
          <w:bCs/>
          <w:color w:val="auto"/>
          <w:sz w:val="28"/>
          <w:szCs w:val="28"/>
          <w:highlight w:val="none"/>
        </w:rPr>
      </w:pPr>
      <w:r>
        <w:rPr>
          <w:rFonts w:hint="eastAsia" w:ascii="宋体" w:hAnsi="宋体"/>
          <w:b/>
          <w:bCs/>
          <w:color w:val="auto"/>
          <w:sz w:val="28"/>
          <w:szCs w:val="28"/>
          <w:highlight w:val="none"/>
        </w:rPr>
        <w:t>联系人：潘女士       电话：0576-88685180</w:t>
      </w:r>
    </w:p>
    <w:p>
      <w:pPr>
        <w:pStyle w:val="2"/>
        <w:ind w:left="0" w:leftChars="0" w:firstLine="562" w:firstLineChars="200"/>
        <w:rPr>
          <w:rFonts w:hint="eastAsia" w:eastAsia="宋体"/>
          <w:lang w:eastAsia="zh-CN"/>
        </w:rPr>
      </w:pPr>
      <w:r>
        <w:rPr>
          <w:rFonts w:hint="eastAsia" w:ascii="宋体" w:hAnsi="宋体" w:cs="宋体"/>
          <w:b/>
          <w:color w:val="auto"/>
          <w:kern w:val="0"/>
          <w:sz w:val="28"/>
          <w:szCs w:val="28"/>
          <w:highlight w:val="none"/>
          <w:lang w:val="en-US" w:eastAsia="zh-CN"/>
        </w:rPr>
        <w:t>联系</w:t>
      </w:r>
      <w:r>
        <w:rPr>
          <w:rFonts w:hint="eastAsia" w:ascii="宋体" w:hAnsi="宋体" w:cs="宋体"/>
          <w:b/>
          <w:color w:val="auto"/>
          <w:kern w:val="0"/>
          <w:sz w:val="28"/>
          <w:szCs w:val="28"/>
          <w:highlight w:val="none"/>
        </w:rPr>
        <w:t>地址</w:t>
      </w:r>
      <w:r>
        <w:rPr>
          <w:rFonts w:hint="eastAsia" w:ascii="宋体" w:hAnsi="宋体" w:cs="宋体"/>
          <w:color w:val="auto"/>
          <w:kern w:val="0"/>
          <w:sz w:val="28"/>
          <w:szCs w:val="28"/>
          <w:highlight w:val="none"/>
        </w:rPr>
        <w:t>：台州市产权交易所（台州市市府大道777号浙江民泰商业银行五楼511室）</w:t>
      </w:r>
      <w:r>
        <w:rPr>
          <w:rFonts w:hint="eastAsia" w:ascii="宋体" w:hAnsi="宋体" w:cs="宋体"/>
          <w:color w:val="auto"/>
          <w:kern w:val="0"/>
          <w:sz w:val="28"/>
          <w:szCs w:val="28"/>
          <w:highlight w:val="none"/>
          <w:lang w:eastAsia="zh-CN"/>
        </w:rPr>
        <w:t>。</w:t>
      </w:r>
    </w:p>
    <w:p>
      <w:pPr>
        <w:numPr>
          <w:ilvl w:val="0"/>
          <w:numId w:val="1"/>
        </w:numPr>
        <w:wordWrap w:val="0"/>
        <w:ind w:left="0" w:firstLine="560"/>
        <w:rPr>
          <w:rFonts w:ascii="宋体" w:hAnsi="宋体"/>
          <w:b/>
          <w:bCs/>
          <w:color w:val="auto"/>
          <w:sz w:val="28"/>
          <w:szCs w:val="28"/>
          <w:highlight w:val="none"/>
        </w:rPr>
      </w:pPr>
      <w:r>
        <w:rPr>
          <w:rFonts w:hint="eastAsia" w:ascii="宋体" w:hAnsi="宋体"/>
          <w:color w:val="auto"/>
          <w:sz w:val="28"/>
          <w:szCs w:val="28"/>
          <w:highlight w:val="none"/>
        </w:rPr>
        <w:t>具体情况详见转让须知。</w:t>
      </w:r>
    </w:p>
    <w:p>
      <w:pPr>
        <w:ind w:firstLine="560"/>
        <w:rPr>
          <w:rFonts w:hint="default" w:ascii="宋体" w:hAnsi="宋体" w:eastAsia="宋体" w:cs="宋体"/>
          <w:bCs/>
          <w:color w:val="auto"/>
          <w:kern w:val="0"/>
          <w:sz w:val="28"/>
          <w:szCs w:val="28"/>
          <w:highlight w:val="none"/>
          <w:lang w:val="en-US" w:eastAsia="zh-CN"/>
        </w:rPr>
      </w:pPr>
      <w:r>
        <w:rPr>
          <w:rFonts w:hint="eastAsia" w:ascii="宋体" w:hAnsi="宋体"/>
          <w:color w:val="auto"/>
          <w:sz w:val="28"/>
          <w:szCs w:val="28"/>
          <w:highlight w:val="none"/>
        </w:rPr>
        <w:t>详</w:t>
      </w:r>
      <w:r>
        <w:rPr>
          <w:rFonts w:hint="eastAsia" w:ascii="宋体" w:hAnsi="宋体" w:cs="宋体"/>
          <w:bCs/>
          <w:color w:val="auto"/>
          <w:kern w:val="0"/>
          <w:sz w:val="28"/>
          <w:szCs w:val="28"/>
          <w:highlight w:val="none"/>
        </w:rPr>
        <w:t>情</w:t>
      </w:r>
      <w:r>
        <w:rPr>
          <w:rFonts w:hint="eastAsia" w:ascii="宋体" w:hAnsi="宋体" w:cs="宋体"/>
          <w:bCs/>
          <w:color w:val="auto"/>
          <w:kern w:val="0"/>
          <w:sz w:val="28"/>
          <w:szCs w:val="28"/>
          <w:highlight w:val="none"/>
          <w:lang w:eastAsia="zh-CN"/>
        </w:rPr>
        <w:t>登录</w:t>
      </w:r>
      <w:r>
        <w:rPr>
          <w:rFonts w:hint="eastAsia" w:ascii="宋体" w:hAnsi="宋体" w:cs="宋体"/>
          <w:bCs/>
          <w:color w:val="auto"/>
          <w:kern w:val="0"/>
          <w:sz w:val="28"/>
          <w:szCs w:val="28"/>
          <w:highlight w:val="none"/>
        </w:rPr>
        <w:t>www.tzpre.com</w:t>
      </w:r>
      <w:r>
        <w:rPr>
          <w:rFonts w:hint="eastAsia" w:ascii="宋体" w:hAnsi="宋体" w:cs="宋体"/>
          <w:bCs/>
          <w:color w:val="auto"/>
          <w:kern w:val="0"/>
          <w:sz w:val="28"/>
          <w:szCs w:val="28"/>
          <w:highlight w:val="none"/>
          <w:lang w:val="en-US" w:eastAsia="zh-CN"/>
        </w:rPr>
        <w:t xml:space="preserve">  </w:t>
      </w:r>
    </w:p>
    <w:p>
      <w:pPr>
        <w:pStyle w:val="5"/>
        <w:ind w:firstLine="1680" w:firstLineChars="800"/>
        <w:rPr>
          <w:color w:val="auto"/>
          <w:highlight w:val="none"/>
        </w:rPr>
      </w:pPr>
      <w:r>
        <w:rPr>
          <w:color w:val="auto"/>
          <w:highlight w:val="none"/>
          <w:shd w:val="clear" w:color="auto" w:fill="auto"/>
        </w:rPr>
        <w:fldChar w:fldCharType="begin"/>
      </w:r>
      <w:r>
        <w:rPr>
          <w:color w:val="auto"/>
          <w:highlight w:val="none"/>
          <w:shd w:val="clear" w:color="auto" w:fill="auto"/>
        </w:rPr>
        <w:instrText xml:space="preserve"> HYPERLINK "https://tzztb.zjtz.gov.cn/tzcms/" </w:instrText>
      </w:r>
      <w:r>
        <w:rPr>
          <w:color w:val="auto"/>
          <w:highlight w:val="none"/>
          <w:shd w:val="clear" w:color="auto" w:fill="auto"/>
        </w:rPr>
        <w:fldChar w:fldCharType="separate"/>
      </w:r>
      <w:r>
        <w:rPr>
          <w:rStyle w:val="16"/>
          <w:rFonts w:asciiTheme="minorEastAsia" w:hAnsiTheme="minorEastAsia" w:eastAsiaTheme="minorEastAsia" w:cstheme="minorEastAsia"/>
          <w:bCs/>
          <w:color w:val="auto"/>
          <w:sz w:val="28"/>
          <w:szCs w:val="28"/>
          <w:highlight w:val="none"/>
          <w:shd w:val="clear" w:color="auto" w:fill="auto"/>
        </w:rPr>
        <w:t>https://tzztb.zjtz.gov.cn/tzcms/</w:t>
      </w:r>
      <w:r>
        <w:rPr>
          <w:rStyle w:val="16"/>
          <w:rFonts w:asciiTheme="minorEastAsia" w:hAnsiTheme="minorEastAsia" w:eastAsiaTheme="minorEastAsia" w:cstheme="minorEastAsia"/>
          <w:bCs/>
          <w:color w:val="auto"/>
          <w:sz w:val="28"/>
          <w:szCs w:val="28"/>
          <w:highlight w:val="none"/>
          <w:shd w:val="clear" w:color="auto" w:fill="auto"/>
        </w:rPr>
        <w:fldChar w:fldCharType="end"/>
      </w:r>
    </w:p>
    <w:p>
      <w:pPr>
        <w:pStyle w:val="5"/>
        <w:rPr>
          <w:color w:val="auto"/>
          <w:highlight w:val="none"/>
        </w:rPr>
      </w:pPr>
    </w:p>
    <w:p>
      <w:pPr>
        <w:ind w:firstLineChars="0"/>
        <w:jc w:val="right"/>
        <w:rPr>
          <w:rFonts w:ascii="宋体" w:hAnsi="宋体"/>
          <w:color w:val="auto"/>
          <w:sz w:val="28"/>
          <w:szCs w:val="28"/>
          <w:highlight w:val="none"/>
        </w:rPr>
      </w:pPr>
      <w:r>
        <w:rPr>
          <w:rFonts w:hint="eastAsia" w:ascii="宋体" w:hAnsi="宋体"/>
          <w:color w:val="auto"/>
          <w:sz w:val="28"/>
          <w:szCs w:val="28"/>
          <w:highlight w:val="none"/>
        </w:rPr>
        <w:t>台州市产权交易所有限公司</w:t>
      </w:r>
    </w:p>
    <w:p>
      <w:pPr>
        <w:ind w:firstLine="560"/>
        <w:jc w:val="right"/>
        <w:rPr>
          <w:rFonts w:ascii="宋体" w:hAnsi="宋体"/>
          <w:color w:val="auto"/>
          <w:sz w:val="28"/>
          <w:szCs w:val="28"/>
          <w:highlight w:val="none"/>
        </w:rPr>
        <w:sectPr>
          <w:pgSz w:w="11906" w:h="16838"/>
          <w:pgMar w:top="1440" w:right="1800" w:bottom="1440" w:left="1800" w:header="851" w:footer="992" w:gutter="0"/>
          <w:cols w:space="425" w:num="1"/>
          <w:docGrid w:type="lines" w:linePitch="312" w:charSpace="0"/>
        </w:sectPr>
      </w:pPr>
      <w:r>
        <w:rPr>
          <w:rFonts w:hint="eastAsia" w:ascii="宋体" w:hAnsi="宋体"/>
          <w:color w:val="auto"/>
          <w:sz w:val="28"/>
          <w:szCs w:val="28"/>
          <w:highlight w:val="none"/>
        </w:rPr>
        <w:t>202</w:t>
      </w:r>
      <w:r>
        <w:rPr>
          <w:rFonts w:hint="eastAsia" w:ascii="宋体" w:hAnsi="宋体"/>
          <w:color w:val="auto"/>
          <w:sz w:val="28"/>
          <w:szCs w:val="28"/>
          <w:highlight w:val="none"/>
          <w:lang w:val="en-US" w:eastAsia="zh-CN"/>
        </w:rPr>
        <w:t>2</w:t>
      </w:r>
      <w:r>
        <w:rPr>
          <w:rFonts w:hint="eastAsia" w:ascii="宋体" w:hAnsi="宋体"/>
          <w:color w:val="auto"/>
          <w:sz w:val="28"/>
          <w:szCs w:val="28"/>
          <w:highlight w:val="none"/>
        </w:rPr>
        <w:t>年</w:t>
      </w:r>
      <w:r>
        <w:rPr>
          <w:rFonts w:hint="eastAsia" w:ascii="宋体" w:hAnsi="宋体"/>
          <w:color w:val="auto"/>
          <w:sz w:val="28"/>
          <w:szCs w:val="28"/>
          <w:highlight w:val="none"/>
          <w:lang w:val="en-US" w:eastAsia="zh-CN"/>
        </w:rPr>
        <w:t>6月2日</w:t>
      </w:r>
    </w:p>
    <w:p>
      <w:pPr>
        <w:spacing w:line="430" w:lineRule="exact"/>
        <w:ind w:firstLine="0" w:firstLineChars="0"/>
        <w:jc w:val="center"/>
        <w:rPr>
          <w:rFonts w:ascii="宋体" w:hAnsi="宋体"/>
          <w:b/>
          <w:color w:val="auto"/>
          <w:sz w:val="32"/>
          <w:szCs w:val="32"/>
          <w:highlight w:val="none"/>
        </w:rPr>
      </w:pPr>
      <w:bookmarkStart w:id="10" w:name="_Hlk527013137"/>
      <w:r>
        <w:rPr>
          <w:rFonts w:hint="eastAsia" w:ascii="宋体" w:hAnsi="宋体"/>
          <w:b/>
          <w:color w:val="auto"/>
          <w:sz w:val="32"/>
          <w:szCs w:val="32"/>
          <w:highlight w:val="none"/>
          <w:lang w:val="en-US" w:eastAsia="zh-CN"/>
        </w:rPr>
        <w:t>清大智创工业设计（台州）有限公司10%股</w:t>
      </w:r>
      <w:r>
        <w:rPr>
          <w:rFonts w:hint="eastAsia" w:ascii="宋体" w:hAnsi="宋体"/>
          <w:b/>
          <w:color w:val="auto"/>
          <w:sz w:val="32"/>
          <w:szCs w:val="32"/>
          <w:highlight w:val="none"/>
        </w:rPr>
        <w:t>权</w:t>
      </w:r>
      <w:bookmarkEnd w:id="10"/>
    </w:p>
    <w:p>
      <w:pPr>
        <w:keepNext/>
        <w:keepLines/>
        <w:spacing w:before="100" w:beforeAutospacing="1" w:after="100" w:afterAutospacing="1" w:line="360" w:lineRule="auto"/>
        <w:ind w:firstLine="0" w:firstLineChars="0"/>
        <w:jc w:val="center"/>
        <w:outlineLvl w:val="0"/>
        <w:rPr>
          <w:rFonts w:ascii="Calibri" w:hAnsi="Calibri"/>
          <w:b/>
          <w:bCs/>
          <w:color w:val="auto"/>
          <w:kern w:val="44"/>
          <w:sz w:val="32"/>
          <w:szCs w:val="44"/>
          <w:highlight w:val="none"/>
        </w:rPr>
      </w:pPr>
      <w:bookmarkStart w:id="11" w:name="_Toc5069"/>
      <w:bookmarkStart w:id="12" w:name="_Toc14112"/>
      <w:bookmarkStart w:id="13" w:name="_Toc528773691"/>
      <w:r>
        <w:rPr>
          <w:rFonts w:hint="eastAsia" w:ascii="Calibri" w:hAnsi="Calibri"/>
          <w:b/>
          <w:bCs/>
          <w:color w:val="auto"/>
          <w:kern w:val="44"/>
          <w:sz w:val="32"/>
          <w:szCs w:val="44"/>
          <w:highlight w:val="none"/>
        </w:rPr>
        <w:t>转让须知</w:t>
      </w:r>
      <w:bookmarkEnd w:id="11"/>
      <w:bookmarkEnd w:id="12"/>
      <w:bookmarkEnd w:id="13"/>
    </w:p>
    <w:p>
      <w:pPr>
        <w:spacing w:line="600" w:lineRule="exact"/>
        <w:ind w:firstLine="560"/>
        <w:rPr>
          <w:rFonts w:ascii="宋体" w:hAnsi="宋体"/>
          <w:color w:val="auto"/>
          <w:sz w:val="28"/>
          <w:szCs w:val="28"/>
          <w:highlight w:val="none"/>
        </w:rPr>
      </w:pPr>
      <w:r>
        <w:rPr>
          <w:rFonts w:hint="eastAsia" w:ascii="宋体" w:hAnsi="宋体"/>
          <w:color w:val="auto"/>
          <w:sz w:val="28"/>
          <w:szCs w:val="28"/>
          <w:highlight w:val="none"/>
        </w:rPr>
        <w:t>受</w:t>
      </w:r>
      <w:r>
        <w:rPr>
          <w:rFonts w:hint="eastAsia" w:ascii="宋体" w:hAnsi="宋体"/>
          <w:color w:val="auto"/>
          <w:sz w:val="28"/>
          <w:szCs w:val="28"/>
          <w:highlight w:val="none"/>
          <w:lang w:eastAsia="zh-CN"/>
        </w:rPr>
        <w:t>台州浙华科技开发有限公司</w:t>
      </w:r>
      <w:r>
        <w:rPr>
          <w:rFonts w:hint="eastAsia" w:ascii="宋体" w:hAnsi="宋体"/>
          <w:color w:val="auto"/>
          <w:sz w:val="28"/>
          <w:szCs w:val="28"/>
          <w:highlight w:val="none"/>
        </w:rPr>
        <w:t>委托，公开转让其所持有的</w:t>
      </w:r>
      <w:r>
        <w:rPr>
          <w:rFonts w:hint="eastAsia"/>
          <w:sz w:val="28"/>
          <w:szCs w:val="28"/>
          <w:highlight w:val="none"/>
          <w:u w:val="none"/>
          <w:lang w:eastAsia="zh-CN"/>
        </w:rPr>
        <w:t>清大智创工业设计（台州）有限公司</w:t>
      </w:r>
      <w:r>
        <w:rPr>
          <w:rFonts w:hint="eastAsia" w:ascii="宋体" w:hAnsi="宋体"/>
          <w:color w:val="auto"/>
          <w:sz w:val="28"/>
          <w:szCs w:val="28"/>
          <w:highlight w:val="none"/>
          <w:lang w:val="en-US" w:eastAsia="zh-CN"/>
        </w:rPr>
        <w:t>10</w:t>
      </w:r>
      <w:r>
        <w:rPr>
          <w:rFonts w:hint="eastAsia" w:ascii="宋体" w:hAnsi="宋体"/>
          <w:color w:val="auto"/>
          <w:sz w:val="28"/>
          <w:szCs w:val="28"/>
          <w:highlight w:val="none"/>
        </w:rPr>
        <w:t>%股权。现将有关事项告知意向受让人，请认真阅读与遵守。</w:t>
      </w:r>
    </w:p>
    <w:p>
      <w:pPr>
        <w:spacing w:line="600" w:lineRule="exact"/>
        <w:ind w:firstLine="560"/>
        <w:jc w:val="left"/>
        <w:rPr>
          <w:rFonts w:ascii="宋体" w:hAnsi="宋体"/>
          <w:color w:val="auto"/>
          <w:sz w:val="28"/>
          <w:szCs w:val="28"/>
          <w:highlight w:val="none"/>
        </w:rPr>
      </w:pPr>
      <w:r>
        <w:rPr>
          <w:rFonts w:hint="eastAsia" w:ascii="宋体" w:hAnsi="宋体"/>
          <w:color w:val="auto"/>
          <w:sz w:val="28"/>
          <w:szCs w:val="28"/>
          <w:highlight w:val="none"/>
        </w:rPr>
        <w:t>一、转让标的底价及保证金</w:t>
      </w:r>
    </w:p>
    <w:p>
      <w:pPr>
        <w:ind w:firstLine="560"/>
        <w:rPr>
          <w:rFonts w:ascii="宋体" w:hAnsi="宋体"/>
          <w:color w:val="auto"/>
          <w:sz w:val="28"/>
          <w:szCs w:val="28"/>
          <w:highlight w:val="none"/>
        </w:rPr>
      </w:pPr>
      <w:r>
        <w:rPr>
          <w:rFonts w:hint="eastAsia" w:asciiTheme="minorEastAsia" w:hAnsiTheme="minorEastAsia" w:eastAsiaTheme="minorEastAsia" w:cstheme="minorEastAsia"/>
          <w:color w:val="auto"/>
          <w:sz w:val="28"/>
          <w:szCs w:val="28"/>
          <w:highlight w:val="none"/>
        </w:rPr>
        <w:t>本次转让标的为</w:t>
      </w:r>
      <w:r>
        <w:rPr>
          <w:rFonts w:hint="eastAsia" w:ascii="宋体" w:hAnsi="宋体"/>
          <w:color w:val="auto"/>
          <w:sz w:val="28"/>
          <w:szCs w:val="28"/>
          <w:highlight w:val="none"/>
          <w:lang w:eastAsia="zh-CN"/>
        </w:rPr>
        <w:t>台州浙华科技开发有限公司</w:t>
      </w:r>
      <w:r>
        <w:rPr>
          <w:rFonts w:hint="eastAsia" w:asciiTheme="minorEastAsia" w:hAnsiTheme="minorEastAsia" w:eastAsiaTheme="minorEastAsia" w:cstheme="minorEastAsia"/>
          <w:color w:val="auto"/>
          <w:sz w:val="28"/>
          <w:szCs w:val="28"/>
          <w:highlight w:val="none"/>
        </w:rPr>
        <w:t>持有的</w:t>
      </w:r>
      <w:r>
        <w:rPr>
          <w:rFonts w:hint="eastAsia"/>
          <w:sz w:val="28"/>
          <w:szCs w:val="28"/>
          <w:highlight w:val="none"/>
          <w:u w:val="none"/>
          <w:lang w:eastAsia="zh-CN"/>
        </w:rPr>
        <w:t>清大智创工业设计（台州）有限公司</w:t>
      </w:r>
      <w:r>
        <w:rPr>
          <w:rFonts w:hint="eastAsia" w:ascii="宋体" w:hAnsi="宋体"/>
          <w:color w:val="auto"/>
          <w:sz w:val="28"/>
          <w:szCs w:val="28"/>
          <w:highlight w:val="none"/>
          <w:lang w:val="en-US" w:eastAsia="zh-CN"/>
        </w:rPr>
        <w:t>10</w:t>
      </w:r>
      <w:r>
        <w:rPr>
          <w:rFonts w:hint="eastAsia" w:ascii="宋体" w:hAnsi="宋体"/>
          <w:color w:val="auto"/>
          <w:sz w:val="28"/>
          <w:szCs w:val="28"/>
          <w:highlight w:val="none"/>
        </w:rPr>
        <w:t>%股权</w:t>
      </w:r>
      <w:r>
        <w:rPr>
          <w:rFonts w:hint="eastAsia" w:asciiTheme="minorEastAsia" w:hAnsiTheme="minorEastAsia" w:eastAsiaTheme="minorEastAsia" w:cstheme="minorEastAsia"/>
          <w:color w:val="auto"/>
          <w:sz w:val="28"/>
          <w:szCs w:val="28"/>
          <w:highlight w:val="none"/>
        </w:rPr>
        <w:t>，转让底价</w:t>
      </w:r>
      <w:r>
        <w:rPr>
          <w:rFonts w:hint="eastAsia" w:asciiTheme="minorEastAsia" w:hAnsiTheme="minorEastAsia" w:eastAsiaTheme="minorEastAsia" w:cstheme="minorEastAsia"/>
          <w:color w:val="auto"/>
          <w:sz w:val="28"/>
          <w:szCs w:val="28"/>
          <w:highlight w:val="none"/>
          <w:lang w:val="en-US" w:eastAsia="zh-CN"/>
        </w:rPr>
        <w:t>10万</w:t>
      </w:r>
      <w:r>
        <w:rPr>
          <w:rFonts w:hint="eastAsia" w:asciiTheme="minorEastAsia" w:hAnsiTheme="minorEastAsia" w:eastAsiaTheme="minorEastAsia" w:cstheme="minorEastAsia"/>
          <w:color w:val="auto"/>
          <w:sz w:val="28"/>
          <w:szCs w:val="28"/>
          <w:highlight w:val="none"/>
        </w:rPr>
        <w:t>元人民币（不设保留价），竞买保证金</w:t>
      </w:r>
      <w:r>
        <w:rPr>
          <w:rFonts w:hint="eastAsia" w:asciiTheme="minorEastAsia" w:hAnsiTheme="minorEastAsia" w:eastAsiaTheme="minorEastAsia" w:cstheme="minorEastAsia"/>
          <w:color w:val="auto"/>
          <w:sz w:val="28"/>
          <w:szCs w:val="28"/>
          <w:highlight w:val="none"/>
          <w:lang w:val="en-US" w:eastAsia="zh-CN"/>
        </w:rPr>
        <w:t>2万</w:t>
      </w:r>
      <w:r>
        <w:rPr>
          <w:rFonts w:hint="eastAsia" w:asciiTheme="minorEastAsia" w:hAnsiTheme="minorEastAsia" w:eastAsiaTheme="minorEastAsia" w:cstheme="minorEastAsia"/>
          <w:color w:val="auto"/>
          <w:sz w:val="28"/>
          <w:szCs w:val="28"/>
          <w:highlight w:val="none"/>
        </w:rPr>
        <w:t>元人民币。</w:t>
      </w:r>
    </w:p>
    <w:p>
      <w:pPr>
        <w:spacing w:line="600" w:lineRule="exact"/>
        <w:ind w:firstLine="560"/>
        <w:rPr>
          <w:rFonts w:ascii="宋体" w:hAnsi="宋体"/>
          <w:color w:val="auto"/>
          <w:sz w:val="28"/>
          <w:szCs w:val="28"/>
          <w:highlight w:val="none"/>
        </w:rPr>
      </w:pPr>
      <w:r>
        <w:rPr>
          <w:rFonts w:hint="eastAsia" w:ascii="宋体" w:hAnsi="宋体"/>
          <w:color w:val="auto"/>
          <w:sz w:val="28"/>
          <w:szCs w:val="28"/>
          <w:highlight w:val="none"/>
        </w:rPr>
        <w:t>二、本次股权转让行为已经必要的内部决策和批准程序，资产评估已经</w:t>
      </w:r>
      <w:r>
        <w:rPr>
          <w:rFonts w:hint="eastAsia" w:ascii="宋体" w:hAnsi="宋体"/>
          <w:color w:val="auto"/>
          <w:sz w:val="28"/>
          <w:szCs w:val="28"/>
          <w:highlight w:val="none"/>
          <w:lang w:val="en-US" w:eastAsia="zh-CN"/>
        </w:rPr>
        <w:t>浙江清华长三角研究院</w:t>
      </w:r>
      <w:r>
        <w:rPr>
          <w:rFonts w:hint="eastAsia" w:ascii="宋体" w:hAnsi="宋体"/>
          <w:color w:val="auto"/>
          <w:sz w:val="28"/>
          <w:szCs w:val="28"/>
          <w:highlight w:val="none"/>
        </w:rPr>
        <w:t>备案，</w:t>
      </w:r>
      <w:bookmarkStart w:id="14" w:name="待定03"/>
      <w:r>
        <w:rPr>
          <w:rFonts w:hint="eastAsia" w:ascii="宋体" w:hAnsi="宋体"/>
          <w:color w:val="auto"/>
          <w:sz w:val="28"/>
          <w:szCs w:val="28"/>
          <w:highlight w:val="none"/>
        </w:rPr>
        <w:t>转让行为已</w:t>
      </w:r>
      <w:r>
        <w:rPr>
          <w:rFonts w:hint="eastAsia" w:ascii="宋体" w:hAnsi="宋体"/>
          <w:color w:val="auto"/>
          <w:sz w:val="28"/>
          <w:szCs w:val="28"/>
          <w:highlight w:val="none"/>
          <w:lang w:val="en-US" w:eastAsia="zh-CN"/>
        </w:rPr>
        <w:t>经浙江浙华投资有限公司股东决议通过</w:t>
      </w:r>
      <w:r>
        <w:rPr>
          <w:rFonts w:hint="eastAsia" w:ascii="宋体" w:hAnsi="宋体"/>
          <w:color w:val="auto"/>
          <w:sz w:val="28"/>
          <w:szCs w:val="28"/>
          <w:highlight w:val="none"/>
        </w:rPr>
        <w:t>。</w:t>
      </w:r>
      <w:bookmarkEnd w:id="14"/>
    </w:p>
    <w:p>
      <w:pPr>
        <w:spacing w:line="600" w:lineRule="exact"/>
        <w:ind w:firstLine="560"/>
        <w:rPr>
          <w:rFonts w:ascii="宋体" w:hAnsi="宋体"/>
          <w:color w:val="auto"/>
          <w:sz w:val="28"/>
          <w:szCs w:val="28"/>
          <w:highlight w:val="none"/>
        </w:rPr>
      </w:pPr>
      <w:r>
        <w:rPr>
          <w:rFonts w:hint="eastAsia" w:ascii="宋体" w:hAnsi="宋体"/>
          <w:color w:val="auto"/>
          <w:sz w:val="28"/>
          <w:szCs w:val="28"/>
          <w:highlight w:val="none"/>
        </w:rPr>
        <w:t>三、企业基本情况</w:t>
      </w:r>
    </w:p>
    <w:p>
      <w:pPr>
        <w:spacing w:line="600" w:lineRule="exact"/>
        <w:ind w:firstLine="560"/>
        <w:rPr>
          <w:rFonts w:ascii="宋体" w:hAnsi="宋体"/>
          <w:color w:val="auto"/>
          <w:sz w:val="28"/>
          <w:szCs w:val="28"/>
          <w:highlight w:val="none"/>
        </w:rPr>
      </w:pPr>
      <w:r>
        <w:rPr>
          <w:rFonts w:hint="eastAsia" w:ascii="宋体" w:hAnsi="宋体"/>
          <w:color w:val="auto"/>
          <w:sz w:val="28"/>
          <w:szCs w:val="28"/>
          <w:highlight w:val="none"/>
        </w:rPr>
        <w:t>1、公司注册情况</w:t>
      </w:r>
    </w:p>
    <w:p>
      <w:pPr>
        <w:spacing w:line="600" w:lineRule="exact"/>
        <w:ind w:firstLine="638" w:firstLineChars="228"/>
        <w:rPr>
          <w:rFonts w:hint="eastAsia" w:ascii="宋体" w:hAnsi="宋体" w:eastAsia="宋体" w:cs="宋体"/>
          <w:i w:val="0"/>
          <w:caps w:val="0"/>
          <w:color w:val="444444"/>
          <w:spacing w:val="0"/>
          <w:sz w:val="28"/>
          <w:szCs w:val="28"/>
          <w:highlight w:val="none"/>
          <w:shd w:val="clear" w:fill="FFFFFF"/>
        </w:rPr>
      </w:pPr>
      <w:bookmarkStart w:id="15" w:name="_Hlk92891630"/>
      <w:r>
        <w:rPr>
          <w:rFonts w:hint="eastAsia"/>
          <w:sz w:val="28"/>
          <w:szCs w:val="28"/>
          <w:highlight w:val="none"/>
          <w:u w:val="none"/>
          <w:lang w:eastAsia="zh-CN"/>
        </w:rPr>
        <w:t>清大智创工业设计（台州）有限公司</w:t>
      </w:r>
      <w:r>
        <w:rPr>
          <w:rFonts w:hint="eastAsia" w:ascii="宋体" w:hAnsi="宋体"/>
          <w:color w:val="auto"/>
          <w:sz w:val="28"/>
          <w:szCs w:val="28"/>
          <w:highlight w:val="none"/>
        </w:rPr>
        <w:t>（以下简称“</w:t>
      </w:r>
      <w:r>
        <w:rPr>
          <w:rFonts w:hint="eastAsia" w:ascii="宋体" w:hAnsi="宋体"/>
          <w:color w:val="auto"/>
          <w:sz w:val="28"/>
          <w:szCs w:val="28"/>
          <w:highlight w:val="none"/>
          <w:lang w:eastAsia="zh-CN"/>
        </w:rPr>
        <w:t>清大智创</w:t>
      </w:r>
      <w:r>
        <w:rPr>
          <w:rFonts w:hint="eastAsia" w:ascii="宋体" w:hAnsi="宋体"/>
          <w:color w:val="auto"/>
          <w:sz w:val="28"/>
          <w:szCs w:val="28"/>
          <w:highlight w:val="none"/>
        </w:rPr>
        <w:t>”）成立于20</w:t>
      </w:r>
      <w:r>
        <w:rPr>
          <w:rFonts w:hint="eastAsia" w:ascii="宋体" w:hAnsi="宋体"/>
          <w:color w:val="auto"/>
          <w:sz w:val="28"/>
          <w:szCs w:val="28"/>
          <w:highlight w:val="none"/>
          <w:lang w:val="en-US" w:eastAsia="zh-CN"/>
        </w:rPr>
        <w:t>19</w:t>
      </w:r>
      <w:r>
        <w:rPr>
          <w:rFonts w:hint="eastAsia" w:ascii="宋体" w:hAnsi="宋体"/>
          <w:color w:val="auto"/>
          <w:sz w:val="28"/>
          <w:szCs w:val="28"/>
          <w:highlight w:val="none"/>
        </w:rPr>
        <w:t>年</w:t>
      </w:r>
      <w:r>
        <w:rPr>
          <w:rFonts w:hint="eastAsia" w:ascii="宋体" w:hAnsi="宋体"/>
          <w:color w:val="auto"/>
          <w:sz w:val="28"/>
          <w:szCs w:val="28"/>
          <w:highlight w:val="none"/>
          <w:lang w:val="en-US" w:eastAsia="zh-CN"/>
        </w:rPr>
        <w:t>8</w:t>
      </w:r>
      <w:r>
        <w:rPr>
          <w:rFonts w:hint="eastAsia" w:ascii="宋体" w:hAnsi="宋体"/>
          <w:color w:val="auto"/>
          <w:sz w:val="28"/>
          <w:szCs w:val="28"/>
          <w:highlight w:val="none"/>
        </w:rPr>
        <w:t>月</w:t>
      </w:r>
      <w:r>
        <w:rPr>
          <w:rFonts w:hint="eastAsia" w:ascii="宋体" w:hAnsi="宋体"/>
          <w:color w:val="auto"/>
          <w:sz w:val="28"/>
          <w:szCs w:val="28"/>
          <w:highlight w:val="none"/>
          <w:lang w:val="en-US" w:eastAsia="zh-CN"/>
        </w:rPr>
        <w:t>1</w:t>
      </w:r>
      <w:r>
        <w:rPr>
          <w:rFonts w:ascii="宋体" w:hAnsi="宋体"/>
          <w:color w:val="auto"/>
          <w:sz w:val="28"/>
          <w:szCs w:val="28"/>
          <w:highlight w:val="none"/>
        </w:rPr>
        <w:t>6</w:t>
      </w:r>
      <w:r>
        <w:rPr>
          <w:rFonts w:hint="eastAsia" w:ascii="宋体" w:hAnsi="宋体"/>
          <w:color w:val="auto"/>
          <w:sz w:val="28"/>
          <w:szCs w:val="28"/>
          <w:highlight w:val="none"/>
        </w:rPr>
        <w:t>日，注册资本</w:t>
      </w:r>
      <w:r>
        <w:rPr>
          <w:rFonts w:hint="eastAsia" w:ascii="宋体" w:hAnsi="宋体"/>
          <w:color w:val="auto"/>
          <w:sz w:val="28"/>
          <w:szCs w:val="28"/>
          <w:highlight w:val="none"/>
          <w:lang w:val="en-US" w:eastAsia="zh-CN"/>
        </w:rPr>
        <w:t>100</w:t>
      </w:r>
      <w:r>
        <w:rPr>
          <w:rFonts w:hint="eastAsia" w:ascii="宋体" w:hAnsi="宋体"/>
          <w:color w:val="auto"/>
          <w:sz w:val="28"/>
          <w:szCs w:val="28"/>
          <w:highlight w:val="none"/>
        </w:rPr>
        <w:t>万元，统一社会信用代码为91331021MA2DWQ5934，法定代表人为</w:t>
      </w:r>
      <w:r>
        <w:rPr>
          <w:rFonts w:hint="eastAsia" w:ascii="宋体" w:hAnsi="宋体"/>
          <w:color w:val="auto"/>
          <w:sz w:val="28"/>
          <w:szCs w:val="28"/>
          <w:highlight w:val="none"/>
          <w:lang w:eastAsia="zh-CN"/>
        </w:rPr>
        <w:t>李培</w:t>
      </w:r>
      <w:r>
        <w:rPr>
          <w:rFonts w:hint="eastAsia" w:ascii="宋体" w:hAnsi="宋体"/>
          <w:color w:val="auto"/>
          <w:sz w:val="28"/>
          <w:szCs w:val="28"/>
          <w:highlight w:val="none"/>
        </w:rPr>
        <w:t>；经营范围：</w:t>
      </w:r>
      <w:bookmarkEnd w:id="15"/>
      <w:r>
        <w:rPr>
          <w:rFonts w:hint="eastAsia" w:ascii="宋体" w:hAnsi="宋体" w:eastAsia="宋体" w:cs="宋体"/>
          <w:i w:val="0"/>
          <w:caps w:val="0"/>
          <w:color w:val="444444"/>
          <w:spacing w:val="0"/>
          <w:sz w:val="28"/>
          <w:szCs w:val="28"/>
          <w:highlight w:val="none"/>
          <w:shd w:val="clear" w:fill="FFFFFF"/>
        </w:rPr>
        <w:t>工业设计服务，多媒体设计服务，包装装潢设计服务，模型设计服务，美术图案设计服务，体育产品设计服务，市场营销策划，应用软件开发，大型活动组织服务，展览服务。（依法须经批准的项目，经相关部门批准后方可开展经营活动）</w:t>
      </w:r>
    </w:p>
    <w:p>
      <w:pPr>
        <w:spacing w:line="600" w:lineRule="exact"/>
        <w:ind w:firstLine="638" w:firstLineChars="228"/>
        <w:rPr>
          <w:rFonts w:ascii="宋体" w:hAnsi="宋体"/>
          <w:color w:val="auto"/>
          <w:sz w:val="28"/>
          <w:szCs w:val="28"/>
          <w:highlight w:val="none"/>
        </w:rPr>
      </w:pPr>
      <w:r>
        <w:rPr>
          <w:rFonts w:hint="eastAsia" w:ascii="宋体" w:hAnsi="宋体"/>
          <w:color w:val="auto"/>
          <w:sz w:val="28"/>
          <w:szCs w:val="28"/>
          <w:highlight w:val="none"/>
        </w:rPr>
        <w:t>2、公司经营情况</w:t>
      </w:r>
    </w:p>
    <w:p>
      <w:pPr>
        <w:pStyle w:val="3"/>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lang w:eastAsia="zh-CN"/>
        </w:rPr>
        <w:t>清大智创</w:t>
      </w:r>
      <w:r>
        <w:rPr>
          <w:rFonts w:hint="eastAsia" w:ascii="宋体" w:hAnsi="宋体" w:cs="宋体"/>
          <w:color w:val="auto"/>
          <w:sz w:val="28"/>
          <w:szCs w:val="28"/>
          <w:highlight w:val="none"/>
        </w:rPr>
        <w:t>自成立至今，一直处于营业状态。</w:t>
      </w:r>
    </w:p>
    <w:p>
      <w:pPr>
        <w:autoSpaceDE w:val="0"/>
        <w:autoSpaceDN w:val="0"/>
        <w:adjustRightInd w:val="0"/>
        <w:spacing w:before="156" w:beforeLines="50" w:line="600" w:lineRule="exact"/>
        <w:ind w:firstLine="560"/>
        <w:rPr>
          <w:rFonts w:ascii="宋体" w:hAnsi="宋体"/>
          <w:color w:val="auto"/>
          <w:sz w:val="28"/>
          <w:szCs w:val="28"/>
          <w:highlight w:val="none"/>
        </w:rPr>
      </w:pPr>
      <w:r>
        <w:rPr>
          <w:rFonts w:ascii="宋体" w:hAnsi="宋体"/>
          <w:color w:val="auto"/>
          <w:sz w:val="28"/>
          <w:szCs w:val="28"/>
          <w:highlight w:val="none"/>
        </w:rPr>
        <w:t>3</w:t>
      </w:r>
      <w:r>
        <w:rPr>
          <w:rFonts w:hint="eastAsia" w:ascii="宋体" w:hAnsi="宋体"/>
          <w:color w:val="auto"/>
          <w:sz w:val="28"/>
          <w:szCs w:val="28"/>
          <w:highlight w:val="none"/>
        </w:rPr>
        <w:t>、公司股权结构</w:t>
      </w:r>
    </w:p>
    <w:p>
      <w:pPr>
        <w:autoSpaceDE w:val="0"/>
        <w:autoSpaceDN w:val="0"/>
        <w:adjustRightInd w:val="0"/>
        <w:spacing w:before="156" w:beforeLines="50" w:line="600" w:lineRule="exact"/>
        <w:ind w:firstLine="560"/>
        <w:rPr>
          <w:rFonts w:hint="eastAsia" w:ascii="宋体" w:hAnsi="宋体" w:cs="宋体"/>
          <w:color w:val="auto"/>
          <w:sz w:val="28"/>
          <w:szCs w:val="28"/>
          <w:highlight w:val="none"/>
        </w:rPr>
      </w:pPr>
      <w:r>
        <w:rPr>
          <w:rFonts w:hint="eastAsia" w:ascii="宋体" w:hAnsi="宋体"/>
          <w:color w:val="auto"/>
          <w:sz w:val="28"/>
          <w:szCs w:val="28"/>
          <w:highlight w:val="none"/>
          <w:lang w:eastAsia="zh-CN"/>
        </w:rPr>
        <w:t>清大智创</w:t>
      </w:r>
      <w:r>
        <w:rPr>
          <w:rFonts w:hint="eastAsia" w:ascii="宋体" w:hAnsi="宋体" w:cs="宋体"/>
          <w:color w:val="auto"/>
          <w:sz w:val="28"/>
          <w:szCs w:val="28"/>
          <w:highlight w:val="none"/>
        </w:rPr>
        <w:t>现有股权结构如下：</w:t>
      </w:r>
    </w:p>
    <w:tbl>
      <w:tblPr>
        <w:tblStyle w:val="14"/>
        <w:tblW w:w="86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75"/>
        <w:gridCol w:w="3598"/>
        <w:gridCol w:w="1513"/>
        <w:gridCol w:w="1513"/>
        <w:gridCol w:w="11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63" w:hRule="atLeast"/>
          <w:jc w:val="center"/>
        </w:trPr>
        <w:tc>
          <w:tcPr>
            <w:tcW w:w="875" w:type="dxa"/>
            <w:noWrap w:val="0"/>
            <w:vAlign w:val="center"/>
          </w:tcPr>
          <w:p>
            <w:pPr>
              <w:ind w:firstLine="0" w:firstLineChars="0"/>
              <w:jc w:val="center"/>
              <w:rPr>
                <w:rFonts w:hint="eastAsia" w:asciiTheme="minorEastAsia" w:hAnsiTheme="minorEastAsia" w:eastAsiaTheme="minorEastAsia" w:cstheme="minorEastAsia"/>
                <w:sz w:val="32"/>
                <w:szCs w:val="32"/>
                <w:highlight w:val="none"/>
              </w:rPr>
            </w:pPr>
            <w:r>
              <w:rPr>
                <w:rFonts w:hint="eastAsia" w:asciiTheme="minorEastAsia" w:hAnsiTheme="minorEastAsia" w:eastAsiaTheme="minorEastAsia" w:cstheme="minorEastAsia"/>
                <w:b/>
                <w:snapToGrid w:val="0"/>
                <w:color w:val="000000"/>
                <w:kern w:val="0"/>
                <w:sz w:val="24"/>
                <w:highlight w:val="none"/>
              </w:rPr>
              <w:t>序号</w:t>
            </w:r>
          </w:p>
        </w:tc>
        <w:tc>
          <w:tcPr>
            <w:tcW w:w="3598" w:type="dxa"/>
            <w:noWrap w:val="0"/>
            <w:tcMar>
              <w:left w:w="28" w:type="dxa"/>
              <w:right w:w="28" w:type="dxa"/>
            </w:tcMar>
            <w:vAlign w:val="center"/>
          </w:tcPr>
          <w:p>
            <w:pPr>
              <w:widowControl/>
              <w:autoSpaceDE w:val="0"/>
              <w:autoSpaceDN w:val="0"/>
              <w:adjustRightInd w:val="0"/>
              <w:jc w:val="center"/>
              <w:rPr>
                <w:rFonts w:hint="eastAsia" w:asciiTheme="minorEastAsia" w:hAnsiTheme="minorEastAsia" w:eastAsiaTheme="minorEastAsia" w:cstheme="minorEastAsia"/>
                <w:b/>
                <w:snapToGrid w:val="0"/>
                <w:color w:val="000000"/>
                <w:kern w:val="0"/>
                <w:sz w:val="24"/>
                <w:highlight w:val="none"/>
              </w:rPr>
            </w:pPr>
            <w:r>
              <w:rPr>
                <w:rFonts w:hint="eastAsia" w:asciiTheme="minorEastAsia" w:hAnsiTheme="minorEastAsia" w:eastAsiaTheme="minorEastAsia" w:cstheme="minorEastAsia"/>
                <w:b/>
                <w:snapToGrid w:val="0"/>
                <w:color w:val="000000"/>
                <w:kern w:val="0"/>
                <w:sz w:val="24"/>
                <w:highlight w:val="none"/>
              </w:rPr>
              <w:t>股东名称</w:t>
            </w:r>
          </w:p>
        </w:tc>
        <w:tc>
          <w:tcPr>
            <w:tcW w:w="1513" w:type="dxa"/>
            <w:noWrap w:val="0"/>
            <w:tcMar>
              <w:left w:w="28" w:type="dxa"/>
              <w:right w:w="28" w:type="dxa"/>
            </w:tcMar>
            <w:vAlign w:val="center"/>
          </w:tcPr>
          <w:p>
            <w:pPr>
              <w:widowControl/>
              <w:autoSpaceDE w:val="0"/>
              <w:autoSpaceDN w:val="0"/>
              <w:adjustRightInd w:val="0"/>
              <w:jc w:val="center"/>
              <w:rPr>
                <w:rFonts w:hint="eastAsia" w:asciiTheme="minorEastAsia" w:hAnsiTheme="minorEastAsia" w:eastAsiaTheme="minorEastAsia" w:cstheme="minorEastAsia"/>
                <w:b/>
                <w:snapToGrid w:val="0"/>
                <w:color w:val="000000"/>
                <w:kern w:val="0"/>
                <w:sz w:val="24"/>
                <w:highlight w:val="none"/>
              </w:rPr>
            </w:pPr>
            <w:r>
              <w:rPr>
                <w:rFonts w:hint="eastAsia" w:asciiTheme="minorEastAsia" w:hAnsiTheme="minorEastAsia" w:eastAsiaTheme="minorEastAsia" w:cstheme="minorEastAsia"/>
                <w:b/>
                <w:snapToGrid w:val="0"/>
                <w:color w:val="000000"/>
                <w:kern w:val="0"/>
                <w:sz w:val="24"/>
                <w:highlight w:val="none"/>
              </w:rPr>
              <w:t>认缴出资额</w:t>
            </w:r>
          </w:p>
          <w:p>
            <w:pPr>
              <w:widowControl/>
              <w:autoSpaceDE w:val="0"/>
              <w:autoSpaceDN w:val="0"/>
              <w:adjustRightInd w:val="0"/>
              <w:jc w:val="center"/>
              <w:rPr>
                <w:rFonts w:hint="eastAsia" w:asciiTheme="minorEastAsia" w:hAnsiTheme="minorEastAsia" w:eastAsiaTheme="minorEastAsia" w:cstheme="minorEastAsia"/>
                <w:b/>
                <w:snapToGrid w:val="0"/>
                <w:color w:val="000000"/>
                <w:kern w:val="0"/>
                <w:sz w:val="24"/>
                <w:highlight w:val="none"/>
              </w:rPr>
            </w:pPr>
            <w:r>
              <w:rPr>
                <w:rFonts w:hint="eastAsia" w:asciiTheme="minorEastAsia" w:hAnsiTheme="minorEastAsia" w:eastAsiaTheme="minorEastAsia" w:cstheme="minorEastAsia"/>
                <w:b/>
                <w:snapToGrid w:val="0"/>
                <w:color w:val="000000"/>
                <w:kern w:val="0"/>
                <w:sz w:val="24"/>
                <w:highlight w:val="none"/>
              </w:rPr>
              <w:t>（万元）</w:t>
            </w:r>
          </w:p>
        </w:tc>
        <w:tc>
          <w:tcPr>
            <w:tcW w:w="1513" w:type="dxa"/>
            <w:noWrap w:val="0"/>
            <w:tcMar>
              <w:left w:w="28" w:type="dxa"/>
              <w:right w:w="28" w:type="dxa"/>
            </w:tcMar>
            <w:vAlign w:val="top"/>
          </w:tcPr>
          <w:p>
            <w:pPr>
              <w:widowControl/>
              <w:autoSpaceDE w:val="0"/>
              <w:autoSpaceDN w:val="0"/>
              <w:adjustRightInd w:val="0"/>
              <w:jc w:val="center"/>
              <w:rPr>
                <w:rFonts w:hint="eastAsia" w:asciiTheme="minorEastAsia" w:hAnsiTheme="minorEastAsia" w:eastAsiaTheme="minorEastAsia" w:cstheme="minorEastAsia"/>
                <w:b/>
                <w:snapToGrid w:val="0"/>
                <w:color w:val="000000"/>
                <w:kern w:val="0"/>
                <w:sz w:val="24"/>
                <w:highlight w:val="none"/>
              </w:rPr>
            </w:pPr>
            <w:r>
              <w:rPr>
                <w:rFonts w:hint="eastAsia" w:asciiTheme="minorEastAsia" w:hAnsiTheme="minorEastAsia" w:eastAsiaTheme="minorEastAsia" w:cstheme="minorEastAsia"/>
                <w:b/>
                <w:snapToGrid w:val="0"/>
                <w:color w:val="000000"/>
                <w:kern w:val="0"/>
                <w:sz w:val="24"/>
                <w:highlight w:val="none"/>
              </w:rPr>
              <w:t>实缴出资额</w:t>
            </w:r>
          </w:p>
          <w:p>
            <w:pPr>
              <w:widowControl/>
              <w:autoSpaceDE w:val="0"/>
              <w:autoSpaceDN w:val="0"/>
              <w:adjustRightInd w:val="0"/>
              <w:jc w:val="center"/>
              <w:rPr>
                <w:rFonts w:hint="eastAsia" w:asciiTheme="minorEastAsia" w:hAnsiTheme="minorEastAsia" w:eastAsiaTheme="minorEastAsia" w:cstheme="minorEastAsia"/>
                <w:b/>
                <w:snapToGrid w:val="0"/>
                <w:color w:val="000000"/>
                <w:kern w:val="0"/>
                <w:sz w:val="24"/>
                <w:highlight w:val="none"/>
              </w:rPr>
            </w:pPr>
            <w:r>
              <w:rPr>
                <w:rFonts w:hint="eastAsia" w:asciiTheme="minorEastAsia" w:hAnsiTheme="minorEastAsia" w:eastAsiaTheme="minorEastAsia" w:cstheme="minorEastAsia"/>
                <w:b/>
                <w:snapToGrid w:val="0"/>
                <w:color w:val="000000"/>
                <w:kern w:val="0"/>
                <w:sz w:val="24"/>
                <w:highlight w:val="none"/>
              </w:rPr>
              <w:t>（万元）</w:t>
            </w:r>
          </w:p>
        </w:tc>
        <w:tc>
          <w:tcPr>
            <w:tcW w:w="1175" w:type="dxa"/>
            <w:noWrap w:val="0"/>
            <w:tcMar>
              <w:left w:w="28" w:type="dxa"/>
              <w:right w:w="28" w:type="dxa"/>
            </w:tcMar>
            <w:vAlign w:val="center"/>
          </w:tcPr>
          <w:p>
            <w:pPr>
              <w:widowControl/>
              <w:autoSpaceDE w:val="0"/>
              <w:autoSpaceDN w:val="0"/>
              <w:adjustRightInd w:val="0"/>
              <w:jc w:val="center"/>
              <w:rPr>
                <w:rFonts w:hint="eastAsia" w:asciiTheme="minorEastAsia" w:hAnsiTheme="minorEastAsia" w:eastAsiaTheme="minorEastAsia" w:cstheme="minorEastAsia"/>
                <w:b/>
                <w:snapToGrid w:val="0"/>
                <w:color w:val="000000"/>
                <w:kern w:val="0"/>
                <w:sz w:val="24"/>
                <w:highlight w:val="none"/>
              </w:rPr>
            </w:pPr>
            <w:r>
              <w:rPr>
                <w:rFonts w:hint="eastAsia" w:asciiTheme="minorEastAsia" w:hAnsiTheme="minorEastAsia" w:eastAsiaTheme="minorEastAsia" w:cstheme="minorEastAsia"/>
                <w:b/>
                <w:snapToGrid w:val="0"/>
                <w:color w:val="000000"/>
                <w:kern w:val="0"/>
                <w:sz w:val="24"/>
                <w:highlight w:val="none"/>
              </w:rPr>
              <w:t>持股比例</w:t>
            </w:r>
          </w:p>
          <w:p>
            <w:pPr>
              <w:widowControl/>
              <w:autoSpaceDE w:val="0"/>
              <w:autoSpaceDN w:val="0"/>
              <w:adjustRightInd w:val="0"/>
              <w:jc w:val="center"/>
              <w:rPr>
                <w:rFonts w:hint="eastAsia" w:asciiTheme="minorEastAsia" w:hAnsiTheme="minorEastAsia" w:eastAsiaTheme="minorEastAsia" w:cstheme="minorEastAsia"/>
                <w:b/>
                <w:snapToGrid w:val="0"/>
                <w:color w:val="000000"/>
                <w:kern w:val="0"/>
                <w:sz w:val="24"/>
                <w:highlight w:val="none"/>
              </w:rPr>
            </w:pPr>
            <w:r>
              <w:rPr>
                <w:rFonts w:hint="eastAsia" w:asciiTheme="minorEastAsia" w:hAnsiTheme="minorEastAsia" w:eastAsiaTheme="minorEastAsia" w:cstheme="minorEastAsia"/>
                <w:b/>
                <w:snapToGrid w:val="0"/>
                <w:color w:val="000000"/>
                <w:kern w:val="0"/>
                <w:sz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63" w:hRule="atLeast"/>
          <w:jc w:val="center"/>
        </w:trPr>
        <w:tc>
          <w:tcPr>
            <w:tcW w:w="875" w:type="dxa"/>
            <w:noWrap w:val="0"/>
            <w:vAlign w:val="center"/>
          </w:tcPr>
          <w:p>
            <w:pPr>
              <w:widowControl/>
              <w:autoSpaceDE w:val="0"/>
              <w:autoSpaceDN w:val="0"/>
              <w:adjustRightInd w:val="0"/>
              <w:jc w:val="center"/>
              <w:rPr>
                <w:rFonts w:hint="eastAsia" w:asciiTheme="minorEastAsia" w:hAnsiTheme="minorEastAsia" w:eastAsiaTheme="minorEastAsia" w:cstheme="minorEastAsia"/>
                <w:snapToGrid w:val="0"/>
                <w:color w:val="000000"/>
                <w:kern w:val="0"/>
                <w:sz w:val="24"/>
                <w:highlight w:val="none"/>
              </w:rPr>
            </w:pPr>
            <w:r>
              <w:rPr>
                <w:rFonts w:hint="eastAsia" w:asciiTheme="minorEastAsia" w:hAnsiTheme="minorEastAsia" w:eastAsiaTheme="minorEastAsia" w:cstheme="minorEastAsia"/>
                <w:snapToGrid w:val="0"/>
                <w:color w:val="000000"/>
                <w:kern w:val="0"/>
                <w:sz w:val="24"/>
                <w:highlight w:val="none"/>
              </w:rPr>
              <w:t>1</w:t>
            </w:r>
          </w:p>
        </w:tc>
        <w:tc>
          <w:tcPr>
            <w:tcW w:w="3598" w:type="dxa"/>
            <w:noWrap w:val="0"/>
            <w:tcMar>
              <w:left w:w="28" w:type="dxa"/>
              <w:right w:w="28" w:type="dxa"/>
            </w:tcMar>
            <w:vAlign w:val="center"/>
          </w:tcPr>
          <w:p>
            <w:pPr>
              <w:widowControl/>
              <w:autoSpaceDE w:val="0"/>
              <w:autoSpaceDN w:val="0"/>
              <w:adjustRightInd w:val="0"/>
              <w:jc w:val="center"/>
              <w:rPr>
                <w:rFonts w:hint="eastAsia" w:asciiTheme="minorEastAsia" w:hAnsiTheme="minorEastAsia" w:eastAsiaTheme="minorEastAsia" w:cstheme="minorEastAsia"/>
                <w:snapToGrid w:val="0"/>
                <w:color w:val="000000"/>
                <w:kern w:val="0"/>
                <w:sz w:val="24"/>
                <w:highlight w:val="none"/>
                <w:lang w:eastAsia="zh-CN"/>
              </w:rPr>
            </w:pPr>
            <w:r>
              <w:rPr>
                <w:rFonts w:hint="eastAsia" w:asciiTheme="minorEastAsia" w:hAnsiTheme="minorEastAsia" w:eastAsiaTheme="minorEastAsia" w:cstheme="minorEastAsia"/>
                <w:snapToGrid w:val="0"/>
                <w:color w:val="000000"/>
                <w:kern w:val="0"/>
                <w:sz w:val="24"/>
                <w:highlight w:val="none"/>
                <w:lang w:eastAsia="zh-CN"/>
              </w:rPr>
              <w:t>李培</w:t>
            </w:r>
          </w:p>
        </w:tc>
        <w:tc>
          <w:tcPr>
            <w:tcW w:w="1513" w:type="dxa"/>
            <w:noWrap w:val="0"/>
            <w:tcMar>
              <w:left w:w="28" w:type="dxa"/>
              <w:right w:w="28" w:type="dxa"/>
            </w:tcMar>
            <w:vAlign w:val="center"/>
          </w:tcPr>
          <w:p>
            <w:pPr>
              <w:widowControl/>
              <w:autoSpaceDE w:val="0"/>
              <w:autoSpaceDN w:val="0"/>
              <w:adjustRightInd w:val="0"/>
              <w:jc w:val="center"/>
              <w:rPr>
                <w:rFonts w:hint="eastAsia" w:asciiTheme="minorEastAsia" w:hAnsiTheme="minorEastAsia" w:eastAsiaTheme="minorEastAsia" w:cstheme="minorEastAsia"/>
                <w:snapToGrid w:val="0"/>
                <w:color w:val="000000"/>
                <w:kern w:val="0"/>
                <w:sz w:val="24"/>
                <w:highlight w:val="none"/>
                <w:lang w:val="en-US" w:eastAsia="zh-CN"/>
              </w:rPr>
            </w:pPr>
            <w:r>
              <w:rPr>
                <w:rFonts w:hint="eastAsia" w:asciiTheme="minorEastAsia" w:hAnsiTheme="minorEastAsia" w:eastAsiaTheme="minorEastAsia" w:cstheme="minorEastAsia"/>
                <w:snapToGrid w:val="0"/>
                <w:color w:val="000000"/>
                <w:kern w:val="0"/>
                <w:sz w:val="24"/>
                <w:highlight w:val="none"/>
                <w:lang w:val="en-US" w:eastAsia="zh-CN"/>
              </w:rPr>
              <w:t>90</w:t>
            </w:r>
          </w:p>
        </w:tc>
        <w:tc>
          <w:tcPr>
            <w:tcW w:w="1513" w:type="dxa"/>
            <w:noWrap w:val="0"/>
            <w:tcMar>
              <w:left w:w="28" w:type="dxa"/>
              <w:right w:w="28" w:type="dxa"/>
            </w:tcMar>
            <w:vAlign w:val="center"/>
          </w:tcPr>
          <w:p>
            <w:pPr>
              <w:widowControl/>
              <w:autoSpaceDE w:val="0"/>
              <w:autoSpaceDN w:val="0"/>
              <w:adjustRightInd w:val="0"/>
              <w:jc w:val="center"/>
              <w:rPr>
                <w:rFonts w:hint="eastAsia" w:asciiTheme="minorEastAsia" w:hAnsiTheme="minorEastAsia" w:eastAsiaTheme="minorEastAsia" w:cstheme="minorEastAsia"/>
                <w:snapToGrid w:val="0"/>
                <w:color w:val="000000"/>
                <w:kern w:val="0"/>
                <w:sz w:val="24"/>
                <w:highlight w:val="none"/>
                <w:lang w:eastAsia="zh-CN"/>
              </w:rPr>
            </w:pPr>
            <w:r>
              <w:rPr>
                <w:rFonts w:hint="eastAsia" w:asciiTheme="minorEastAsia" w:hAnsiTheme="minorEastAsia" w:eastAsiaTheme="minorEastAsia" w:cstheme="minorEastAsia"/>
                <w:snapToGrid w:val="0"/>
                <w:color w:val="000000"/>
                <w:kern w:val="0"/>
                <w:sz w:val="24"/>
                <w:highlight w:val="none"/>
                <w:lang w:val="en-US" w:eastAsia="zh-CN"/>
              </w:rPr>
              <w:t>0</w:t>
            </w:r>
          </w:p>
        </w:tc>
        <w:tc>
          <w:tcPr>
            <w:tcW w:w="1175" w:type="dxa"/>
            <w:noWrap w:val="0"/>
            <w:tcMar>
              <w:left w:w="28" w:type="dxa"/>
              <w:right w:w="28" w:type="dxa"/>
            </w:tcMar>
            <w:vAlign w:val="center"/>
          </w:tcPr>
          <w:p>
            <w:pPr>
              <w:widowControl/>
              <w:autoSpaceDE w:val="0"/>
              <w:autoSpaceDN w:val="0"/>
              <w:adjustRightInd w:val="0"/>
              <w:jc w:val="center"/>
              <w:rPr>
                <w:rFonts w:hint="eastAsia" w:asciiTheme="minorEastAsia" w:hAnsiTheme="minorEastAsia" w:eastAsiaTheme="minorEastAsia" w:cstheme="minorEastAsia"/>
                <w:snapToGrid w:val="0"/>
                <w:color w:val="000000"/>
                <w:kern w:val="0"/>
                <w:sz w:val="24"/>
                <w:highlight w:val="none"/>
                <w:lang w:val="en-US" w:eastAsia="zh-CN"/>
              </w:rPr>
            </w:pPr>
            <w:r>
              <w:rPr>
                <w:rFonts w:hint="eastAsia" w:asciiTheme="minorEastAsia" w:hAnsiTheme="minorEastAsia" w:eastAsiaTheme="minorEastAsia" w:cstheme="minorEastAsia"/>
                <w:snapToGrid w:val="0"/>
                <w:color w:val="000000"/>
                <w:kern w:val="0"/>
                <w:sz w:val="24"/>
                <w:highlight w:val="none"/>
                <w:lang w:val="en-US" w:eastAsia="zh-CN"/>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63" w:hRule="atLeast"/>
          <w:jc w:val="center"/>
        </w:trPr>
        <w:tc>
          <w:tcPr>
            <w:tcW w:w="875" w:type="dxa"/>
            <w:noWrap w:val="0"/>
            <w:vAlign w:val="center"/>
          </w:tcPr>
          <w:p>
            <w:pPr>
              <w:widowControl/>
              <w:autoSpaceDE w:val="0"/>
              <w:autoSpaceDN w:val="0"/>
              <w:adjustRightInd w:val="0"/>
              <w:jc w:val="center"/>
              <w:rPr>
                <w:rFonts w:hint="eastAsia" w:asciiTheme="minorEastAsia" w:hAnsiTheme="minorEastAsia" w:eastAsiaTheme="minorEastAsia" w:cstheme="minorEastAsia"/>
                <w:snapToGrid w:val="0"/>
                <w:color w:val="000000"/>
                <w:kern w:val="0"/>
                <w:sz w:val="24"/>
                <w:highlight w:val="none"/>
              </w:rPr>
            </w:pPr>
            <w:r>
              <w:rPr>
                <w:rFonts w:hint="eastAsia" w:asciiTheme="minorEastAsia" w:hAnsiTheme="minorEastAsia" w:eastAsiaTheme="minorEastAsia" w:cstheme="minorEastAsia"/>
                <w:snapToGrid w:val="0"/>
                <w:color w:val="000000"/>
                <w:kern w:val="0"/>
                <w:sz w:val="24"/>
                <w:highlight w:val="none"/>
              </w:rPr>
              <w:t>2</w:t>
            </w:r>
          </w:p>
        </w:tc>
        <w:tc>
          <w:tcPr>
            <w:tcW w:w="3598" w:type="dxa"/>
            <w:noWrap w:val="0"/>
            <w:tcMar>
              <w:left w:w="28" w:type="dxa"/>
              <w:right w:w="28" w:type="dxa"/>
            </w:tcMar>
            <w:vAlign w:val="center"/>
          </w:tcPr>
          <w:p>
            <w:pPr>
              <w:widowControl/>
              <w:autoSpaceDE w:val="0"/>
              <w:autoSpaceDN w:val="0"/>
              <w:adjustRightInd w:val="0"/>
              <w:jc w:val="center"/>
              <w:rPr>
                <w:rFonts w:hint="eastAsia" w:asciiTheme="minorEastAsia" w:hAnsiTheme="minorEastAsia" w:eastAsiaTheme="minorEastAsia" w:cstheme="minorEastAsia"/>
                <w:snapToGrid w:val="0"/>
                <w:color w:val="000000"/>
                <w:kern w:val="0"/>
                <w:sz w:val="24"/>
                <w:highlight w:val="none"/>
                <w:lang w:eastAsia="zh-CN"/>
              </w:rPr>
            </w:pPr>
            <w:r>
              <w:rPr>
                <w:rFonts w:hint="eastAsia" w:asciiTheme="minorEastAsia" w:hAnsiTheme="minorEastAsia" w:eastAsiaTheme="minorEastAsia" w:cstheme="minorEastAsia"/>
                <w:snapToGrid w:val="0"/>
                <w:color w:val="000000"/>
                <w:kern w:val="0"/>
                <w:sz w:val="24"/>
                <w:highlight w:val="none"/>
                <w:lang w:eastAsia="zh-CN"/>
              </w:rPr>
              <w:t>台州浙华科技开发有限公司</w:t>
            </w:r>
          </w:p>
        </w:tc>
        <w:tc>
          <w:tcPr>
            <w:tcW w:w="1513" w:type="dxa"/>
            <w:noWrap w:val="0"/>
            <w:tcMar>
              <w:left w:w="28" w:type="dxa"/>
              <w:right w:w="28" w:type="dxa"/>
            </w:tcMar>
            <w:vAlign w:val="center"/>
          </w:tcPr>
          <w:p>
            <w:pPr>
              <w:widowControl/>
              <w:autoSpaceDE w:val="0"/>
              <w:autoSpaceDN w:val="0"/>
              <w:adjustRightInd w:val="0"/>
              <w:jc w:val="center"/>
              <w:rPr>
                <w:rFonts w:hint="eastAsia" w:asciiTheme="minorEastAsia" w:hAnsiTheme="minorEastAsia" w:eastAsiaTheme="minorEastAsia" w:cstheme="minorEastAsia"/>
                <w:snapToGrid w:val="0"/>
                <w:color w:val="000000"/>
                <w:kern w:val="0"/>
                <w:sz w:val="24"/>
                <w:highlight w:val="none"/>
                <w:lang w:val="en-US" w:eastAsia="zh-CN"/>
              </w:rPr>
            </w:pPr>
            <w:r>
              <w:rPr>
                <w:rFonts w:hint="eastAsia" w:asciiTheme="minorEastAsia" w:hAnsiTheme="minorEastAsia" w:eastAsiaTheme="minorEastAsia" w:cstheme="minorEastAsia"/>
                <w:snapToGrid w:val="0"/>
                <w:color w:val="000000"/>
                <w:kern w:val="0"/>
                <w:sz w:val="24"/>
                <w:highlight w:val="none"/>
                <w:lang w:val="en-US" w:eastAsia="zh-CN"/>
              </w:rPr>
              <w:t>10</w:t>
            </w:r>
          </w:p>
        </w:tc>
        <w:tc>
          <w:tcPr>
            <w:tcW w:w="1513" w:type="dxa"/>
            <w:noWrap w:val="0"/>
            <w:tcMar>
              <w:left w:w="28" w:type="dxa"/>
              <w:right w:w="28" w:type="dxa"/>
            </w:tcMar>
            <w:vAlign w:val="center"/>
          </w:tcPr>
          <w:p>
            <w:pPr>
              <w:widowControl/>
              <w:autoSpaceDE w:val="0"/>
              <w:autoSpaceDN w:val="0"/>
              <w:adjustRightInd w:val="0"/>
              <w:jc w:val="center"/>
              <w:rPr>
                <w:rFonts w:hint="eastAsia" w:asciiTheme="minorEastAsia" w:hAnsiTheme="minorEastAsia" w:eastAsiaTheme="minorEastAsia" w:cstheme="minorEastAsia"/>
                <w:snapToGrid w:val="0"/>
                <w:color w:val="000000"/>
                <w:kern w:val="0"/>
                <w:sz w:val="24"/>
                <w:highlight w:val="none"/>
                <w:lang w:eastAsia="zh-CN"/>
              </w:rPr>
            </w:pPr>
            <w:r>
              <w:rPr>
                <w:rFonts w:hint="eastAsia" w:asciiTheme="minorEastAsia" w:hAnsiTheme="minorEastAsia" w:eastAsiaTheme="minorEastAsia" w:cstheme="minorEastAsia"/>
                <w:snapToGrid w:val="0"/>
                <w:color w:val="000000"/>
                <w:kern w:val="0"/>
                <w:sz w:val="24"/>
                <w:highlight w:val="none"/>
                <w:lang w:val="en-US" w:eastAsia="zh-CN"/>
              </w:rPr>
              <w:t>0</w:t>
            </w:r>
          </w:p>
        </w:tc>
        <w:tc>
          <w:tcPr>
            <w:tcW w:w="1175" w:type="dxa"/>
            <w:noWrap w:val="0"/>
            <w:tcMar>
              <w:left w:w="28" w:type="dxa"/>
              <w:right w:w="28" w:type="dxa"/>
            </w:tcMar>
            <w:vAlign w:val="center"/>
          </w:tcPr>
          <w:p>
            <w:pPr>
              <w:widowControl/>
              <w:autoSpaceDE w:val="0"/>
              <w:autoSpaceDN w:val="0"/>
              <w:adjustRightInd w:val="0"/>
              <w:jc w:val="center"/>
              <w:rPr>
                <w:rFonts w:hint="eastAsia" w:asciiTheme="minorEastAsia" w:hAnsiTheme="minorEastAsia" w:eastAsiaTheme="minorEastAsia" w:cstheme="minorEastAsia"/>
                <w:snapToGrid w:val="0"/>
                <w:color w:val="000000"/>
                <w:kern w:val="0"/>
                <w:sz w:val="24"/>
                <w:highlight w:val="none"/>
                <w:lang w:val="en-US" w:eastAsia="zh-CN"/>
              </w:rPr>
            </w:pPr>
            <w:r>
              <w:rPr>
                <w:rFonts w:hint="eastAsia" w:asciiTheme="minorEastAsia" w:hAnsiTheme="minorEastAsia" w:eastAsiaTheme="minorEastAsia" w:cstheme="minorEastAsia"/>
                <w:snapToGrid w:val="0"/>
                <w:color w:val="000000"/>
                <w:kern w:val="0"/>
                <w:sz w:val="24"/>
                <w:highlight w:val="none"/>
                <w:lang w:val="en-US" w:eastAsia="zh-CN"/>
              </w:rPr>
              <w:t>10</w:t>
            </w:r>
          </w:p>
        </w:tc>
      </w:tr>
    </w:tbl>
    <w:p>
      <w:pPr>
        <w:pStyle w:val="2"/>
        <w:rPr>
          <w:highlight w:val="none"/>
        </w:rPr>
      </w:pPr>
    </w:p>
    <w:p>
      <w:pPr>
        <w:numPr>
          <w:ilvl w:val="0"/>
          <w:numId w:val="2"/>
        </w:numPr>
        <w:ind w:firstLine="560"/>
        <w:rPr>
          <w:rFonts w:ascii="宋体" w:hAnsi="宋体" w:cs="宋体"/>
          <w:color w:val="auto"/>
          <w:sz w:val="28"/>
          <w:szCs w:val="28"/>
          <w:highlight w:val="none"/>
        </w:rPr>
      </w:pPr>
      <w:r>
        <w:rPr>
          <w:rFonts w:hint="eastAsia" w:ascii="宋体" w:hAnsi="宋体" w:cs="宋体"/>
          <w:color w:val="auto"/>
          <w:sz w:val="28"/>
          <w:szCs w:val="28"/>
          <w:highlight w:val="none"/>
        </w:rPr>
        <w:t>公司资产、负债情况</w:t>
      </w:r>
    </w:p>
    <w:p>
      <w:pPr>
        <w:pStyle w:val="5"/>
        <w:numPr>
          <w:ilvl w:val="0"/>
          <w:numId w:val="3"/>
        </w:numPr>
        <w:ind w:firstLine="560"/>
        <w:rPr>
          <w:rFonts w:hint="eastAsia" w:ascii="宋体" w:hAnsi="宋体" w:cs="宋体"/>
          <w:color w:val="auto"/>
          <w:sz w:val="28"/>
          <w:szCs w:val="28"/>
          <w:highlight w:val="none"/>
        </w:rPr>
      </w:pPr>
      <w:r>
        <w:rPr>
          <w:rFonts w:hint="eastAsia" w:ascii="宋体" w:hAnsi="宋体" w:cs="宋体"/>
          <w:color w:val="auto"/>
          <w:sz w:val="28"/>
          <w:szCs w:val="28"/>
          <w:highlight w:val="none"/>
        </w:rPr>
        <w:t>财务数据</w:t>
      </w:r>
    </w:p>
    <w:tbl>
      <w:tblPr>
        <w:tblStyle w:val="14"/>
        <w:tblW w:w="9545" w:type="dxa"/>
        <w:tblInd w:w="1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067"/>
        <w:gridCol w:w="1939"/>
        <w:gridCol w:w="1963"/>
        <w:gridCol w:w="1793"/>
        <w:gridCol w:w="17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trPr>
        <w:tc>
          <w:tcPr>
            <w:tcW w:w="2067" w:type="dxa"/>
            <w:vMerge w:val="restart"/>
            <w:vAlign w:val="center"/>
          </w:tcPr>
          <w:p>
            <w:pPr>
              <w:ind w:firstLine="422"/>
              <w:jc w:val="center"/>
              <w:rPr>
                <w:rFonts w:ascii="宋体" w:hAnsi="宋体"/>
                <w:b/>
                <w:color w:val="auto"/>
                <w:szCs w:val="21"/>
                <w:highlight w:val="none"/>
              </w:rPr>
            </w:pPr>
            <w:r>
              <w:rPr>
                <w:rFonts w:hint="eastAsia" w:ascii="宋体" w:hAnsi="宋体"/>
                <w:b/>
                <w:color w:val="auto"/>
                <w:szCs w:val="21"/>
                <w:highlight w:val="none"/>
              </w:rPr>
              <w:t>主要财务指标</w:t>
            </w:r>
          </w:p>
          <w:p>
            <w:pPr>
              <w:ind w:firstLine="422"/>
              <w:jc w:val="center"/>
              <w:rPr>
                <w:rFonts w:ascii="宋体" w:hAnsi="宋体"/>
                <w:b/>
                <w:color w:val="auto"/>
                <w:szCs w:val="21"/>
                <w:highlight w:val="none"/>
              </w:rPr>
            </w:pPr>
            <w:r>
              <w:rPr>
                <w:rFonts w:hint="eastAsia" w:ascii="宋体" w:hAnsi="宋体"/>
                <w:b/>
                <w:color w:val="auto"/>
                <w:szCs w:val="21"/>
                <w:highlight w:val="none"/>
              </w:rPr>
              <w:t>（单位：人民币元）</w:t>
            </w:r>
          </w:p>
        </w:tc>
        <w:tc>
          <w:tcPr>
            <w:tcW w:w="7478" w:type="dxa"/>
            <w:gridSpan w:val="4"/>
            <w:vAlign w:val="center"/>
          </w:tcPr>
          <w:p>
            <w:pPr>
              <w:ind w:firstLine="422"/>
              <w:jc w:val="center"/>
              <w:rPr>
                <w:rFonts w:ascii="宋体" w:hAnsi="宋体"/>
                <w:color w:val="auto"/>
                <w:szCs w:val="21"/>
                <w:highlight w:val="none"/>
              </w:rPr>
            </w:pPr>
            <w:r>
              <w:rPr>
                <w:rFonts w:hint="eastAsia" w:ascii="宋体" w:hAnsi="宋体"/>
                <w:b/>
                <w:bCs/>
                <w:color w:val="auto"/>
                <w:szCs w:val="21"/>
                <w:highlight w:val="none"/>
              </w:rPr>
              <w:t>以下数据出自审计报告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trPr>
        <w:tc>
          <w:tcPr>
            <w:tcW w:w="2067" w:type="dxa"/>
            <w:vMerge w:val="continue"/>
            <w:vAlign w:val="center"/>
          </w:tcPr>
          <w:p>
            <w:pPr>
              <w:ind w:firstLine="422"/>
              <w:jc w:val="center"/>
              <w:rPr>
                <w:rFonts w:ascii="宋体" w:hAnsi="宋体"/>
                <w:b/>
                <w:color w:val="auto"/>
                <w:szCs w:val="21"/>
                <w:highlight w:val="none"/>
              </w:rPr>
            </w:pPr>
          </w:p>
        </w:tc>
        <w:tc>
          <w:tcPr>
            <w:tcW w:w="1939" w:type="dxa"/>
            <w:vAlign w:val="center"/>
          </w:tcPr>
          <w:p>
            <w:pPr>
              <w:ind w:firstLine="422"/>
              <w:jc w:val="center"/>
              <w:rPr>
                <w:rFonts w:ascii="宋体" w:hAnsi="宋体"/>
                <w:b/>
                <w:color w:val="auto"/>
                <w:szCs w:val="21"/>
                <w:highlight w:val="none"/>
              </w:rPr>
            </w:pPr>
            <w:r>
              <w:rPr>
                <w:rFonts w:hint="eastAsia" w:ascii="宋体" w:hAnsi="宋体"/>
                <w:b/>
                <w:color w:val="auto"/>
                <w:szCs w:val="21"/>
                <w:highlight w:val="none"/>
              </w:rPr>
              <w:t>年度日期</w:t>
            </w:r>
          </w:p>
        </w:tc>
        <w:tc>
          <w:tcPr>
            <w:tcW w:w="1963" w:type="dxa"/>
            <w:vAlign w:val="center"/>
          </w:tcPr>
          <w:p>
            <w:pPr>
              <w:ind w:firstLine="422"/>
              <w:jc w:val="center"/>
              <w:rPr>
                <w:rFonts w:ascii="宋体" w:hAnsi="宋体"/>
                <w:b/>
                <w:color w:val="auto"/>
                <w:szCs w:val="21"/>
                <w:highlight w:val="none"/>
              </w:rPr>
            </w:pPr>
            <w:r>
              <w:rPr>
                <w:rFonts w:hint="eastAsia" w:ascii="宋体" w:hAnsi="宋体"/>
                <w:b/>
                <w:color w:val="auto"/>
                <w:szCs w:val="21"/>
                <w:highlight w:val="none"/>
              </w:rPr>
              <w:t>资产总计</w:t>
            </w:r>
          </w:p>
        </w:tc>
        <w:tc>
          <w:tcPr>
            <w:tcW w:w="1793" w:type="dxa"/>
            <w:vAlign w:val="center"/>
          </w:tcPr>
          <w:p>
            <w:pPr>
              <w:ind w:firstLine="422"/>
              <w:jc w:val="center"/>
              <w:rPr>
                <w:rFonts w:ascii="宋体" w:hAnsi="宋体"/>
                <w:b/>
                <w:color w:val="auto"/>
                <w:szCs w:val="21"/>
                <w:highlight w:val="none"/>
              </w:rPr>
            </w:pPr>
            <w:r>
              <w:rPr>
                <w:rFonts w:hint="eastAsia" w:ascii="宋体" w:hAnsi="宋体"/>
                <w:b/>
                <w:color w:val="auto"/>
                <w:szCs w:val="21"/>
                <w:highlight w:val="none"/>
              </w:rPr>
              <w:t>负债总计</w:t>
            </w:r>
          </w:p>
        </w:tc>
        <w:tc>
          <w:tcPr>
            <w:tcW w:w="1783" w:type="dxa"/>
            <w:vAlign w:val="center"/>
          </w:tcPr>
          <w:p>
            <w:pPr>
              <w:ind w:firstLine="422"/>
              <w:jc w:val="center"/>
              <w:rPr>
                <w:rFonts w:ascii="宋体" w:hAnsi="宋体"/>
                <w:b/>
                <w:color w:val="auto"/>
                <w:szCs w:val="21"/>
                <w:highlight w:val="none"/>
              </w:rPr>
            </w:pPr>
            <w:r>
              <w:rPr>
                <w:rFonts w:hint="eastAsia" w:ascii="宋体" w:hAnsi="宋体"/>
                <w:b/>
                <w:color w:val="auto"/>
                <w:szCs w:val="21"/>
                <w:highlight w:val="none"/>
              </w:rPr>
              <w:t>所有者权益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trPr>
        <w:tc>
          <w:tcPr>
            <w:tcW w:w="2067" w:type="dxa"/>
            <w:vMerge w:val="continue"/>
            <w:vAlign w:val="center"/>
          </w:tcPr>
          <w:p>
            <w:pPr>
              <w:ind w:firstLine="422"/>
              <w:jc w:val="center"/>
              <w:rPr>
                <w:rFonts w:ascii="宋体" w:hAnsi="宋体"/>
                <w:b/>
                <w:color w:val="auto"/>
                <w:szCs w:val="21"/>
                <w:highlight w:val="none"/>
              </w:rPr>
            </w:pPr>
          </w:p>
        </w:tc>
        <w:tc>
          <w:tcPr>
            <w:tcW w:w="1939" w:type="dxa"/>
            <w:vMerge w:val="restart"/>
            <w:vAlign w:val="center"/>
          </w:tcPr>
          <w:p>
            <w:pPr>
              <w:ind w:firstLine="0" w:firstLineChars="0"/>
              <w:jc w:val="both"/>
              <w:rPr>
                <w:rFonts w:ascii="宋体" w:hAnsi="宋体"/>
                <w:color w:val="auto"/>
                <w:szCs w:val="21"/>
                <w:highlight w:val="none"/>
                <w:u w:val="single"/>
              </w:rPr>
            </w:pPr>
            <w:r>
              <w:rPr>
                <w:rFonts w:ascii="宋体" w:hAnsi="宋体"/>
                <w:color w:val="auto"/>
                <w:szCs w:val="21"/>
                <w:highlight w:val="none"/>
              </w:rPr>
              <w:t>2021</w:t>
            </w:r>
            <w:r>
              <w:rPr>
                <w:rFonts w:hint="eastAsia" w:ascii="宋体" w:hAnsi="宋体"/>
                <w:color w:val="auto"/>
                <w:szCs w:val="21"/>
                <w:highlight w:val="none"/>
              </w:rPr>
              <w:t>年</w:t>
            </w:r>
            <w:r>
              <w:rPr>
                <w:rFonts w:hint="eastAsia" w:ascii="宋体" w:hAnsi="宋体"/>
                <w:color w:val="auto"/>
                <w:szCs w:val="21"/>
                <w:highlight w:val="none"/>
                <w:lang w:eastAsia="zh-CN"/>
              </w:rPr>
              <w:t>1</w:t>
            </w:r>
            <w:r>
              <w:rPr>
                <w:rFonts w:hint="eastAsia" w:ascii="宋体" w:hAnsi="宋体"/>
                <w:color w:val="auto"/>
                <w:szCs w:val="21"/>
                <w:highlight w:val="none"/>
                <w:lang w:val="en-US" w:eastAsia="zh-CN"/>
              </w:rPr>
              <w:t>2</w:t>
            </w:r>
            <w:r>
              <w:rPr>
                <w:rFonts w:hint="eastAsia" w:ascii="宋体" w:hAnsi="宋体"/>
                <w:color w:val="auto"/>
                <w:szCs w:val="21"/>
                <w:highlight w:val="none"/>
              </w:rPr>
              <w:t>月3</w:t>
            </w:r>
            <w:r>
              <w:rPr>
                <w:rFonts w:ascii="宋体" w:hAnsi="宋体"/>
                <w:color w:val="auto"/>
                <w:szCs w:val="21"/>
                <w:highlight w:val="none"/>
              </w:rPr>
              <w:t>1</w:t>
            </w:r>
            <w:r>
              <w:rPr>
                <w:rFonts w:hint="eastAsia" w:ascii="宋体" w:hAnsi="宋体"/>
                <w:color w:val="auto"/>
                <w:szCs w:val="21"/>
                <w:highlight w:val="none"/>
              </w:rPr>
              <w:t>日</w:t>
            </w:r>
          </w:p>
        </w:tc>
        <w:tc>
          <w:tcPr>
            <w:tcW w:w="1963" w:type="dxa"/>
            <w:vAlign w:val="center"/>
          </w:tcPr>
          <w:p>
            <w:pPr>
              <w:ind w:firstLine="0" w:firstLineChars="0"/>
              <w:jc w:val="right"/>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632,390.59</w:t>
            </w:r>
          </w:p>
        </w:tc>
        <w:tc>
          <w:tcPr>
            <w:tcW w:w="1793" w:type="dxa"/>
            <w:vAlign w:val="center"/>
          </w:tcPr>
          <w:p>
            <w:pPr>
              <w:ind w:firstLine="0" w:firstLineChars="0"/>
              <w:jc w:val="right"/>
              <w:rPr>
                <w:rFonts w:hint="default" w:ascii="宋体" w:hAnsi="宋体"/>
                <w:color w:val="auto"/>
                <w:szCs w:val="21"/>
                <w:highlight w:val="none"/>
                <w:lang w:val="en-US"/>
              </w:rPr>
            </w:pPr>
            <w:r>
              <w:rPr>
                <w:rFonts w:hint="eastAsia" w:ascii="宋体" w:hAnsi="宋体"/>
                <w:color w:val="auto"/>
                <w:szCs w:val="21"/>
                <w:highlight w:val="none"/>
                <w:lang w:val="en-US" w:eastAsia="zh-CN"/>
              </w:rPr>
              <w:t>133,780.19</w:t>
            </w:r>
          </w:p>
        </w:tc>
        <w:tc>
          <w:tcPr>
            <w:tcW w:w="1783" w:type="dxa"/>
            <w:vAlign w:val="center"/>
          </w:tcPr>
          <w:p>
            <w:pPr>
              <w:ind w:firstLine="420" w:firstLineChars="200"/>
              <w:jc w:val="both"/>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498,610.4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trPr>
        <w:tc>
          <w:tcPr>
            <w:tcW w:w="2067" w:type="dxa"/>
            <w:vMerge w:val="continue"/>
            <w:shd w:val="clear" w:color="auto" w:fill="auto"/>
            <w:vAlign w:val="center"/>
          </w:tcPr>
          <w:p>
            <w:pPr>
              <w:ind w:firstLine="422"/>
              <w:jc w:val="center"/>
              <w:rPr>
                <w:rFonts w:ascii="宋体" w:hAnsi="宋体"/>
                <w:b/>
                <w:color w:val="auto"/>
                <w:szCs w:val="21"/>
                <w:highlight w:val="none"/>
              </w:rPr>
            </w:pPr>
          </w:p>
        </w:tc>
        <w:tc>
          <w:tcPr>
            <w:tcW w:w="1939" w:type="dxa"/>
            <w:vMerge w:val="continue"/>
            <w:shd w:val="clear" w:color="auto" w:fill="auto"/>
            <w:vAlign w:val="center"/>
          </w:tcPr>
          <w:p>
            <w:pPr>
              <w:ind w:firstLine="420"/>
              <w:jc w:val="center"/>
              <w:rPr>
                <w:rFonts w:ascii="宋体" w:hAnsi="宋体"/>
                <w:color w:val="auto"/>
                <w:szCs w:val="21"/>
                <w:highlight w:val="none"/>
                <w:u w:val="single"/>
              </w:rPr>
            </w:pPr>
          </w:p>
        </w:tc>
        <w:tc>
          <w:tcPr>
            <w:tcW w:w="1963" w:type="dxa"/>
            <w:shd w:val="clear" w:color="auto" w:fill="auto"/>
            <w:vAlign w:val="center"/>
          </w:tcPr>
          <w:p>
            <w:pPr>
              <w:ind w:firstLine="422"/>
              <w:jc w:val="center"/>
              <w:rPr>
                <w:rFonts w:ascii="宋体" w:hAnsi="宋体"/>
                <w:b/>
                <w:color w:val="auto"/>
                <w:szCs w:val="21"/>
                <w:highlight w:val="none"/>
              </w:rPr>
            </w:pPr>
            <w:r>
              <w:rPr>
                <w:rFonts w:hint="eastAsia" w:ascii="宋体" w:hAnsi="宋体"/>
                <w:b/>
                <w:color w:val="auto"/>
                <w:szCs w:val="21"/>
                <w:highlight w:val="none"/>
              </w:rPr>
              <w:t>营业收入</w:t>
            </w:r>
          </w:p>
        </w:tc>
        <w:tc>
          <w:tcPr>
            <w:tcW w:w="1793" w:type="dxa"/>
            <w:shd w:val="clear" w:color="auto" w:fill="FFFFFF"/>
            <w:vAlign w:val="center"/>
          </w:tcPr>
          <w:p>
            <w:pPr>
              <w:ind w:firstLine="422"/>
              <w:jc w:val="center"/>
              <w:rPr>
                <w:rFonts w:ascii="宋体" w:hAnsi="宋体"/>
                <w:b/>
                <w:color w:val="auto"/>
                <w:szCs w:val="21"/>
                <w:highlight w:val="none"/>
              </w:rPr>
            </w:pPr>
            <w:r>
              <w:rPr>
                <w:rFonts w:hint="eastAsia" w:ascii="宋体" w:hAnsi="宋体"/>
                <w:b/>
                <w:color w:val="auto"/>
                <w:szCs w:val="21"/>
                <w:highlight w:val="none"/>
              </w:rPr>
              <w:t>利润总额</w:t>
            </w:r>
          </w:p>
        </w:tc>
        <w:tc>
          <w:tcPr>
            <w:tcW w:w="1783" w:type="dxa"/>
            <w:shd w:val="clear" w:color="auto" w:fill="FFFFFF"/>
            <w:vAlign w:val="center"/>
          </w:tcPr>
          <w:p>
            <w:pPr>
              <w:ind w:firstLine="422"/>
              <w:jc w:val="center"/>
              <w:rPr>
                <w:rFonts w:ascii="宋体" w:hAnsi="宋体"/>
                <w:b/>
                <w:color w:val="auto"/>
                <w:szCs w:val="21"/>
                <w:highlight w:val="none"/>
              </w:rPr>
            </w:pPr>
            <w:r>
              <w:rPr>
                <w:rFonts w:hint="eastAsia" w:ascii="宋体" w:hAnsi="宋体"/>
                <w:b/>
                <w:color w:val="auto"/>
                <w:szCs w:val="21"/>
                <w:highlight w:val="none"/>
              </w:rPr>
              <w:t>净利润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trPr>
        <w:tc>
          <w:tcPr>
            <w:tcW w:w="2067" w:type="dxa"/>
            <w:vMerge w:val="continue"/>
            <w:shd w:val="clear" w:color="auto" w:fill="auto"/>
            <w:vAlign w:val="center"/>
          </w:tcPr>
          <w:p>
            <w:pPr>
              <w:ind w:firstLine="422"/>
              <w:jc w:val="center"/>
              <w:rPr>
                <w:rFonts w:ascii="宋体" w:hAnsi="宋体"/>
                <w:b/>
                <w:color w:val="auto"/>
                <w:szCs w:val="21"/>
                <w:highlight w:val="none"/>
              </w:rPr>
            </w:pPr>
          </w:p>
        </w:tc>
        <w:tc>
          <w:tcPr>
            <w:tcW w:w="1939" w:type="dxa"/>
            <w:vMerge w:val="continue"/>
            <w:shd w:val="clear" w:color="auto" w:fill="auto"/>
            <w:vAlign w:val="center"/>
          </w:tcPr>
          <w:p>
            <w:pPr>
              <w:ind w:firstLine="420"/>
              <w:jc w:val="center"/>
              <w:rPr>
                <w:rFonts w:ascii="宋体" w:hAnsi="宋体"/>
                <w:color w:val="auto"/>
                <w:szCs w:val="21"/>
                <w:highlight w:val="none"/>
                <w:u w:val="single"/>
              </w:rPr>
            </w:pPr>
          </w:p>
        </w:tc>
        <w:tc>
          <w:tcPr>
            <w:tcW w:w="1963" w:type="dxa"/>
            <w:shd w:val="clear" w:color="auto" w:fill="auto"/>
            <w:vAlign w:val="center"/>
          </w:tcPr>
          <w:p>
            <w:pPr>
              <w:ind w:firstLine="0" w:firstLineChars="0"/>
              <w:jc w:val="right"/>
              <w:rPr>
                <w:rFonts w:hint="default" w:ascii="宋体" w:hAnsi="宋体"/>
                <w:color w:val="auto"/>
                <w:szCs w:val="21"/>
                <w:highlight w:val="none"/>
                <w:lang w:val="en-US"/>
              </w:rPr>
            </w:pPr>
            <w:r>
              <w:rPr>
                <w:rFonts w:hint="eastAsia" w:ascii="宋体" w:hAnsi="宋体"/>
                <w:color w:val="auto"/>
                <w:szCs w:val="21"/>
                <w:highlight w:val="none"/>
                <w:lang w:val="en-US" w:eastAsia="zh-CN"/>
              </w:rPr>
              <w:t>695,049.5</w:t>
            </w:r>
          </w:p>
        </w:tc>
        <w:tc>
          <w:tcPr>
            <w:tcW w:w="1793" w:type="dxa"/>
            <w:shd w:val="clear" w:color="auto" w:fill="FFFFFF"/>
            <w:vAlign w:val="center"/>
          </w:tcPr>
          <w:p>
            <w:pPr>
              <w:ind w:firstLine="0" w:firstLineChars="0"/>
              <w:jc w:val="right"/>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-153,983.37</w:t>
            </w:r>
          </w:p>
        </w:tc>
        <w:tc>
          <w:tcPr>
            <w:tcW w:w="1783" w:type="dxa"/>
            <w:shd w:val="clear" w:color="auto" w:fill="FFFFFF"/>
            <w:vAlign w:val="center"/>
          </w:tcPr>
          <w:p>
            <w:pPr>
              <w:ind w:firstLine="0" w:firstLineChars="0"/>
              <w:jc w:val="center"/>
              <w:rPr>
                <w:rFonts w:hint="default" w:ascii="宋体" w:hAnsi="宋体"/>
                <w:color w:val="auto"/>
                <w:szCs w:val="21"/>
                <w:highlight w:val="none"/>
              </w:rPr>
            </w:pPr>
            <w:r>
              <w:rPr>
                <w:rFonts w:hint="eastAsia" w:ascii="宋体" w:hAnsi="宋体"/>
                <w:color w:val="auto"/>
                <w:szCs w:val="21"/>
                <w:highlight w:val="none"/>
                <w:lang w:val="en-US" w:eastAsia="zh-CN"/>
              </w:rPr>
              <w:t>-153,983.37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trPr>
        <w:tc>
          <w:tcPr>
            <w:tcW w:w="2067" w:type="dxa"/>
            <w:vMerge w:val="continue"/>
            <w:shd w:val="clear" w:color="auto" w:fill="auto"/>
            <w:vAlign w:val="center"/>
          </w:tcPr>
          <w:p>
            <w:pPr>
              <w:ind w:firstLine="422"/>
              <w:jc w:val="center"/>
              <w:rPr>
                <w:rFonts w:ascii="宋体" w:hAnsi="宋体"/>
                <w:b/>
                <w:color w:val="auto"/>
                <w:szCs w:val="21"/>
                <w:highlight w:val="none"/>
              </w:rPr>
            </w:pPr>
          </w:p>
        </w:tc>
        <w:tc>
          <w:tcPr>
            <w:tcW w:w="1939" w:type="dxa"/>
            <w:shd w:val="clear" w:color="auto" w:fill="auto"/>
            <w:vAlign w:val="center"/>
          </w:tcPr>
          <w:p>
            <w:pPr>
              <w:ind w:firstLine="422"/>
              <w:jc w:val="center"/>
              <w:rPr>
                <w:rFonts w:ascii="宋体" w:hAnsi="宋体"/>
                <w:b/>
                <w:color w:val="auto"/>
                <w:szCs w:val="21"/>
                <w:highlight w:val="none"/>
              </w:rPr>
            </w:pPr>
            <w:r>
              <w:rPr>
                <w:rFonts w:hint="eastAsia" w:ascii="宋体" w:hAnsi="宋体"/>
                <w:b/>
                <w:color w:val="auto"/>
                <w:szCs w:val="21"/>
                <w:highlight w:val="none"/>
              </w:rPr>
              <w:t>审计机构</w:t>
            </w:r>
          </w:p>
        </w:tc>
        <w:tc>
          <w:tcPr>
            <w:tcW w:w="5539" w:type="dxa"/>
            <w:gridSpan w:val="3"/>
            <w:shd w:val="clear" w:color="auto" w:fill="FFFFFF"/>
            <w:vAlign w:val="center"/>
          </w:tcPr>
          <w:p>
            <w:pPr>
              <w:ind w:firstLine="420"/>
              <w:rPr>
                <w:rFonts w:ascii="宋体" w:hAnsi="宋体"/>
                <w:color w:val="auto"/>
                <w:szCs w:val="21"/>
                <w:highlight w:val="none"/>
              </w:rPr>
            </w:pPr>
            <w:r>
              <w:rPr>
                <w:rFonts w:hint="eastAsia" w:ascii="宋体" w:hAnsi="宋体"/>
                <w:color w:val="000000"/>
                <w:sz w:val="24"/>
                <w:szCs w:val="24"/>
                <w:highlight w:val="none"/>
                <w:lang w:eastAsia="zh-CN"/>
              </w:rPr>
              <w:t>台州鸿瑞会计事务所有限公司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trPr>
        <w:tc>
          <w:tcPr>
            <w:tcW w:w="2067" w:type="dxa"/>
            <w:vMerge w:val="continue"/>
            <w:shd w:val="clear" w:color="auto" w:fill="auto"/>
            <w:vAlign w:val="center"/>
          </w:tcPr>
          <w:p>
            <w:pPr>
              <w:ind w:firstLine="422"/>
              <w:jc w:val="center"/>
              <w:rPr>
                <w:rFonts w:ascii="宋体" w:hAnsi="宋体"/>
                <w:b/>
                <w:color w:val="auto"/>
                <w:szCs w:val="21"/>
                <w:highlight w:val="none"/>
              </w:rPr>
            </w:pPr>
          </w:p>
        </w:tc>
        <w:tc>
          <w:tcPr>
            <w:tcW w:w="7478" w:type="dxa"/>
            <w:gridSpan w:val="4"/>
            <w:shd w:val="clear" w:color="auto" w:fill="FFFFFF"/>
            <w:vAlign w:val="center"/>
          </w:tcPr>
          <w:p>
            <w:pPr>
              <w:ind w:firstLine="422"/>
              <w:jc w:val="center"/>
              <w:rPr>
                <w:rFonts w:ascii="宋体" w:hAnsi="宋体"/>
                <w:color w:val="auto"/>
                <w:szCs w:val="21"/>
                <w:highlight w:val="none"/>
              </w:rPr>
            </w:pPr>
            <w:r>
              <w:rPr>
                <w:rFonts w:hint="eastAsia" w:ascii="宋体" w:hAnsi="宋体"/>
                <w:b/>
                <w:bCs/>
                <w:color w:val="auto"/>
                <w:szCs w:val="21"/>
                <w:highlight w:val="none"/>
              </w:rPr>
              <w:t>以下数据出自企业财务报表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trPr>
        <w:tc>
          <w:tcPr>
            <w:tcW w:w="2067" w:type="dxa"/>
            <w:vMerge w:val="continue"/>
            <w:shd w:val="clear" w:color="auto" w:fill="auto"/>
            <w:vAlign w:val="center"/>
          </w:tcPr>
          <w:p>
            <w:pPr>
              <w:ind w:firstLine="420"/>
              <w:jc w:val="center"/>
              <w:rPr>
                <w:rFonts w:ascii="宋体" w:hAnsi="宋体"/>
                <w:color w:val="auto"/>
                <w:szCs w:val="21"/>
                <w:highlight w:val="none"/>
              </w:rPr>
            </w:pPr>
          </w:p>
        </w:tc>
        <w:tc>
          <w:tcPr>
            <w:tcW w:w="1939" w:type="dxa"/>
            <w:shd w:val="clear" w:color="auto" w:fill="auto"/>
            <w:vAlign w:val="center"/>
          </w:tcPr>
          <w:p>
            <w:pPr>
              <w:ind w:firstLine="422"/>
              <w:jc w:val="center"/>
              <w:rPr>
                <w:rFonts w:ascii="宋体" w:hAnsi="宋体"/>
                <w:b/>
                <w:color w:val="auto"/>
                <w:szCs w:val="21"/>
                <w:highlight w:val="none"/>
              </w:rPr>
            </w:pPr>
            <w:r>
              <w:rPr>
                <w:rFonts w:hint="eastAsia" w:ascii="宋体" w:hAnsi="宋体"/>
                <w:b/>
                <w:color w:val="auto"/>
                <w:szCs w:val="21"/>
                <w:highlight w:val="none"/>
              </w:rPr>
              <w:t>报表日期</w:t>
            </w:r>
          </w:p>
        </w:tc>
        <w:tc>
          <w:tcPr>
            <w:tcW w:w="1963" w:type="dxa"/>
            <w:shd w:val="clear" w:color="auto" w:fill="auto"/>
            <w:vAlign w:val="center"/>
          </w:tcPr>
          <w:p>
            <w:pPr>
              <w:ind w:firstLine="422"/>
              <w:jc w:val="center"/>
              <w:rPr>
                <w:rFonts w:ascii="宋体" w:hAnsi="宋体"/>
                <w:b/>
                <w:color w:val="auto"/>
                <w:szCs w:val="21"/>
                <w:highlight w:val="none"/>
              </w:rPr>
            </w:pPr>
            <w:r>
              <w:rPr>
                <w:rFonts w:hint="eastAsia" w:ascii="宋体" w:hAnsi="宋体"/>
                <w:b/>
                <w:color w:val="auto"/>
                <w:szCs w:val="21"/>
                <w:highlight w:val="none"/>
              </w:rPr>
              <w:t>资产总计</w:t>
            </w:r>
          </w:p>
        </w:tc>
        <w:tc>
          <w:tcPr>
            <w:tcW w:w="1793" w:type="dxa"/>
            <w:shd w:val="clear" w:color="auto" w:fill="FFFFFF"/>
            <w:vAlign w:val="center"/>
          </w:tcPr>
          <w:p>
            <w:pPr>
              <w:ind w:firstLine="422"/>
              <w:jc w:val="center"/>
              <w:rPr>
                <w:rFonts w:ascii="宋体" w:hAnsi="宋体"/>
                <w:b/>
                <w:color w:val="auto"/>
                <w:szCs w:val="21"/>
                <w:highlight w:val="none"/>
              </w:rPr>
            </w:pPr>
            <w:r>
              <w:rPr>
                <w:rFonts w:hint="eastAsia" w:ascii="宋体" w:hAnsi="宋体"/>
                <w:b/>
                <w:color w:val="auto"/>
                <w:szCs w:val="21"/>
                <w:highlight w:val="none"/>
              </w:rPr>
              <w:t>负债总计</w:t>
            </w:r>
          </w:p>
        </w:tc>
        <w:tc>
          <w:tcPr>
            <w:tcW w:w="1783" w:type="dxa"/>
            <w:shd w:val="clear" w:color="auto" w:fill="FFFFFF"/>
            <w:vAlign w:val="center"/>
          </w:tcPr>
          <w:p>
            <w:pPr>
              <w:ind w:firstLine="422"/>
              <w:jc w:val="center"/>
              <w:rPr>
                <w:rFonts w:ascii="宋体" w:hAnsi="宋体"/>
                <w:b/>
                <w:color w:val="auto"/>
                <w:szCs w:val="21"/>
                <w:highlight w:val="none"/>
              </w:rPr>
            </w:pPr>
            <w:r>
              <w:rPr>
                <w:rFonts w:hint="eastAsia" w:ascii="宋体" w:hAnsi="宋体"/>
                <w:b/>
                <w:color w:val="auto"/>
                <w:szCs w:val="21"/>
                <w:highlight w:val="none"/>
              </w:rPr>
              <w:t>所有者权益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trPr>
        <w:tc>
          <w:tcPr>
            <w:tcW w:w="2067" w:type="dxa"/>
            <w:vMerge w:val="continue"/>
            <w:shd w:val="clear" w:color="auto" w:fill="auto"/>
            <w:vAlign w:val="center"/>
          </w:tcPr>
          <w:p>
            <w:pPr>
              <w:ind w:firstLine="420"/>
              <w:rPr>
                <w:rFonts w:ascii="宋体" w:hAnsi="宋体"/>
                <w:color w:val="auto"/>
                <w:szCs w:val="21"/>
                <w:highlight w:val="none"/>
              </w:rPr>
            </w:pPr>
          </w:p>
        </w:tc>
        <w:tc>
          <w:tcPr>
            <w:tcW w:w="1939" w:type="dxa"/>
            <w:shd w:val="clear" w:color="auto" w:fill="auto"/>
            <w:vAlign w:val="center"/>
          </w:tcPr>
          <w:p>
            <w:pPr>
              <w:ind w:firstLine="0" w:firstLineChars="0"/>
              <w:jc w:val="both"/>
              <w:rPr>
                <w:rFonts w:ascii="宋体" w:hAnsi="宋体"/>
                <w:color w:val="auto"/>
                <w:szCs w:val="21"/>
                <w:highlight w:val="none"/>
              </w:rPr>
            </w:pPr>
            <w:r>
              <w:rPr>
                <w:rFonts w:hint="eastAsia" w:ascii="宋体" w:hAnsi="宋体"/>
                <w:color w:val="auto"/>
                <w:szCs w:val="21"/>
                <w:highlight w:val="none"/>
              </w:rPr>
              <w:t>202</w:t>
            </w:r>
            <w:r>
              <w:rPr>
                <w:rFonts w:hint="eastAsia" w:ascii="宋体" w:hAnsi="宋体"/>
                <w:color w:val="auto"/>
                <w:szCs w:val="21"/>
                <w:highlight w:val="none"/>
                <w:lang w:eastAsia="zh-CN"/>
              </w:rPr>
              <w:t>2</w:t>
            </w:r>
            <w:r>
              <w:rPr>
                <w:rFonts w:hint="eastAsia" w:ascii="宋体" w:hAnsi="宋体"/>
                <w:color w:val="auto"/>
                <w:szCs w:val="21"/>
                <w:highlight w:val="none"/>
              </w:rPr>
              <w:t>年</w:t>
            </w:r>
            <w:r>
              <w:rPr>
                <w:rFonts w:hint="eastAsia" w:ascii="宋体" w:hAnsi="宋体"/>
                <w:color w:val="auto"/>
                <w:szCs w:val="21"/>
                <w:highlight w:val="none"/>
                <w:lang w:eastAsia="zh-CN"/>
              </w:rPr>
              <w:t>3</w:t>
            </w:r>
            <w:r>
              <w:rPr>
                <w:rFonts w:hint="eastAsia" w:ascii="宋体" w:hAnsi="宋体"/>
                <w:color w:val="auto"/>
                <w:szCs w:val="21"/>
                <w:highlight w:val="none"/>
              </w:rPr>
              <w:t>月31日</w:t>
            </w:r>
          </w:p>
        </w:tc>
        <w:tc>
          <w:tcPr>
            <w:tcW w:w="1963" w:type="dxa"/>
            <w:shd w:val="clear" w:color="auto" w:fill="auto"/>
            <w:vAlign w:val="center"/>
          </w:tcPr>
          <w:p>
            <w:pPr>
              <w:ind w:firstLine="0" w:firstLineChars="0"/>
              <w:jc w:val="right"/>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525,510.27</w:t>
            </w:r>
          </w:p>
        </w:tc>
        <w:tc>
          <w:tcPr>
            <w:tcW w:w="1793" w:type="dxa"/>
            <w:shd w:val="clear" w:color="auto" w:fill="FFFFFF"/>
            <w:vAlign w:val="center"/>
          </w:tcPr>
          <w:p>
            <w:pPr>
              <w:ind w:firstLine="0" w:firstLineChars="0"/>
              <w:jc w:val="right"/>
              <w:rPr>
                <w:rFonts w:hint="default" w:ascii="宋体" w:hAnsi="宋体"/>
                <w:color w:val="auto"/>
                <w:szCs w:val="21"/>
                <w:highlight w:val="none"/>
                <w:lang w:val="en-US"/>
              </w:rPr>
            </w:pPr>
            <w:r>
              <w:rPr>
                <w:rFonts w:hint="eastAsia" w:ascii="宋体" w:hAnsi="宋体"/>
                <w:color w:val="auto"/>
                <w:szCs w:val="21"/>
                <w:highlight w:val="none"/>
                <w:lang w:val="en-US" w:eastAsia="zh-CN"/>
              </w:rPr>
              <w:t>97,330.89</w:t>
            </w:r>
          </w:p>
        </w:tc>
        <w:tc>
          <w:tcPr>
            <w:tcW w:w="1783" w:type="dxa"/>
            <w:shd w:val="clear" w:color="auto" w:fill="FFFFFF"/>
            <w:vAlign w:val="center"/>
          </w:tcPr>
          <w:p>
            <w:pPr>
              <w:ind w:firstLine="0" w:firstLineChars="0"/>
              <w:jc w:val="right"/>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428,179.38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trPr>
        <w:tc>
          <w:tcPr>
            <w:tcW w:w="2067" w:type="dxa"/>
            <w:vMerge w:val="continue"/>
            <w:shd w:val="clear" w:color="auto" w:fill="auto"/>
            <w:vAlign w:val="center"/>
          </w:tcPr>
          <w:p>
            <w:pPr>
              <w:ind w:firstLine="420"/>
              <w:rPr>
                <w:rFonts w:ascii="宋体" w:hAnsi="宋体"/>
                <w:color w:val="auto"/>
                <w:szCs w:val="21"/>
                <w:highlight w:val="none"/>
              </w:rPr>
            </w:pPr>
          </w:p>
        </w:tc>
        <w:tc>
          <w:tcPr>
            <w:tcW w:w="1939" w:type="dxa"/>
            <w:shd w:val="clear" w:color="auto" w:fill="auto"/>
            <w:vAlign w:val="center"/>
          </w:tcPr>
          <w:p>
            <w:pPr>
              <w:ind w:firstLine="422"/>
              <w:jc w:val="center"/>
              <w:rPr>
                <w:rFonts w:ascii="宋体" w:hAnsi="宋体"/>
                <w:b/>
                <w:color w:val="auto"/>
                <w:szCs w:val="21"/>
                <w:highlight w:val="none"/>
              </w:rPr>
            </w:pPr>
            <w:r>
              <w:rPr>
                <w:rFonts w:hint="eastAsia" w:ascii="宋体" w:hAnsi="宋体"/>
                <w:b/>
                <w:color w:val="auto"/>
                <w:szCs w:val="21"/>
                <w:highlight w:val="none"/>
              </w:rPr>
              <w:t>报表类型</w:t>
            </w:r>
          </w:p>
        </w:tc>
        <w:tc>
          <w:tcPr>
            <w:tcW w:w="1963" w:type="dxa"/>
            <w:shd w:val="clear" w:color="auto" w:fill="auto"/>
            <w:vAlign w:val="center"/>
          </w:tcPr>
          <w:p>
            <w:pPr>
              <w:ind w:firstLine="422"/>
              <w:jc w:val="center"/>
              <w:rPr>
                <w:rFonts w:ascii="宋体" w:hAnsi="宋体"/>
                <w:b/>
                <w:color w:val="auto"/>
                <w:szCs w:val="21"/>
                <w:highlight w:val="none"/>
              </w:rPr>
            </w:pPr>
            <w:r>
              <w:rPr>
                <w:rFonts w:hint="eastAsia" w:ascii="宋体" w:hAnsi="宋体"/>
                <w:b/>
                <w:color w:val="auto"/>
                <w:szCs w:val="21"/>
                <w:highlight w:val="none"/>
              </w:rPr>
              <w:t>营业收入</w:t>
            </w:r>
          </w:p>
        </w:tc>
        <w:tc>
          <w:tcPr>
            <w:tcW w:w="1793" w:type="dxa"/>
            <w:shd w:val="clear" w:color="auto" w:fill="FFFFFF"/>
            <w:vAlign w:val="center"/>
          </w:tcPr>
          <w:p>
            <w:pPr>
              <w:ind w:firstLine="422"/>
              <w:jc w:val="center"/>
              <w:rPr>
                <w:rFonts w:ascii="宋体" w:hAnsi="宋体"/>
                <w:b/>
                <w:color w:val="auto"/>
                <w:szCs w:val="21"/>
                <w:highlight w:val="none"/>
              </w:rPr>
            </w:pPr>
            <w:r>
              <w:rPr>
                <w:rFonts w:hint="eastAsia" w:ascii="宋体" w:hAnsi="宋体"/>
                <w:b/>
                <w:color w:val="auto"/>
                <w:szCs w:val="21"/>
                <w:highlight w:val="none"/>
              </w:rPr>
              <w:t>利润总额</w:t>
            </w:r>
          </w:p>
        </w:tc>
        <w:tc>
          <w:tcPr>
            <w:tcW w:w="1783" w:type="dxa"/>
            <w:shd w:val="clear" w:color="auto" w:fill="FFFFFF"/>
            <w:vAlign w:val="center"/>
          </w:tcPr>
          <w:p>
            <w:pPr>
              <w:ind w:firstLine="422"/>
              <w:jc w:val="center"/>
              <w:rPr>
                <w:rFonts w:ascii="宋体" w:hAnsi="宋体"/>
                <w:b/>
                <w:color w:val="auto"/>
                <w:szCs w:val="21"/>
                <w:highlight w:val="none"/>
              </w:rPr>
            </w:pPr>
            <w:r>
              <w:rPr>
                <w:rFonts w:hint="eastAsia" w:ascii="宋体" w:hAnsi="宋体"/>
                <w:b/>
                <w:color w:val="auto"/>
                <w:szCs w:val="21"/>
                <w:highlight w:val="none"/>
              </w:rPr>
              <w:t>净利润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trPr>
        <w:tc>
          <w:tcPr>
            <w:tcW w:w="2067" w:type="dxa"/>
            <w:vMerge w:val="continue"/>
            <w:shd w:val="clear" w:color="auto" w:fill="auto"/>
            <w:vAlign w:val="center"/>
          </w:tcPr>
          <w:p>
            <w:pPr>
              <w:ind w:firstLine="420"/>
              <w:rPr>
                <w:rFonts w:ascii="宋体" w:hAnsi="宋体"/>
                <w:color w:val="auto"/>
                <w:szCs w:val="21"/>
                <w:highlight w:val="none"/>
              </w:rPr>
            </w:pPr>
          </w:p>
        </w:tc>
        <w:tc>
          <w:tcPr>
            <w:tcW w:w="1939" w:type="dxa"/>
            <w:shd w:val="clear" w:color="auto" w:fill="auto"/>
            <w:vAlign w:val="center"/>
          </w:tcPr>
          <w:p>
            <w:pPr>
              <w:ind w:firstLine="420"/>
              <w:jc w:val="center"/>
              <w:rPr>
                <w:rFonts w:ascii="宋体" w:hAnsi="宋体"/>
                <w:color w:val="auto"/>
                <w:szCs w:val="21"/>
                <w:highlight w:val="none"/>
              </w:rPr>
            </w:pPr>
            <w:r>
              <w:rPr>
                <w:rFonts w:hint="eastAsia" w:ascii="宋体" w:hAnsi="宋体"/>
                <w:color w:val="auto"/>
                <w:szCs w:val="21"/>
                <w:highlight w:val="none"/>
              </w:rPr>
              <w:t>财务报表</w:t>
            </w:r>
          </w:p>
        </w:tc>
        <w:tc>
          <w:tcPr>
            <w:tcW w:w="1963" w:type="dxa"/>
            <w:shd w:val="clear" w:color="auto" w:fill="auto"/>
            <w:vAlign w:val="center"/>
          </w:tcPr>
          <w:p>
            <w:pPr>
              <w:ind w:firstLine="420"/>
              <w:jc w:val="right"/>
              <w:rPr>
                <w:rFonts w:hint="default" w:ascii="宋体" w:hAnsi="宋体"/>
                <w:color w:val="auto"/>
                <w:szCs w:val="21"/>
                <w:highlight w:val="none"/>
                <w:lang w:val="en-US"/>
              </w:rPr>
            </w:pPr>
            <w:r>
              <w:rPr>
                <w:rFonts w:hint="eastAsia" w:ascii="宋体" w:hAnsi="宋体"/>
                <w:color w:val="auto"/>
                <w:szCs w:val="21"/>
                <w:highlight w:val="none"/>
                <w:lang w:val="en-US" w:eastAsia="zh-CN"/>
              </w:rPr>
              <w:t>33,980.58</w:t>
            </w:r>
          </w:p>
        </w:tc>
        <w:tc>
          <w:tcPr>
            <w:tcW w:w="1793" w:type="dxa"/>
            <w:shd w:val="clear" w:color="auto" w:fill="FFFFFF"/>
            <w:vAlign w:val="center"/>
          </w:tcPr>
          <w:p>
            <w:pPr>
              <w:ind w:firstLine="420"/>
              <w:jc w:val="right"/>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-12,213.68</w:t>
            </w:r>
          </w:p>
        </w:tc>
        <w:tc>
          <w:tcPr>
            <w:tcW w:w="1783" w:type="dxa"/>
            <w:shd w:val="clear" w:color="auto" w:fill="FFFFFF"/>
            <w:vAlign w:val="center"/>
          </w:tcPr>
          <w:p>
            <w:pPr>
              <w:ind w:firstLine="420"/>
              <w:jc w:val="right"/>
              <w:rPr>
                <w:rFonts w:hint="default" w:ascii="宋体" w:hAnsi="宋体"/>
                <w:color w:val="auto"/>
                <w:szCs w:val="21"/>
                <w:highlight w:val="none"/>
                <w:lang w:val="en-US"/>
              </w:rPr>
            </w:pPr>
            <w:r>
              <w:rPr>
                <w:rFonts w:hint="eastAsia" w:ascii="宋体" w:hAnsi="宋体"/>
                <w:color w:val="auto"/>
                <w:szCs w:val="21"/>
                <w:highlight w:val="none"/>
                <w:lang w:val="en-US" w:eastAsia="zh-CN"/>
              </w:rPr>
              <w:t>-12,213.68</w:t>
            </w:r>
          </w:p>
        </w:tc>
      </w:tr>
    </w:tbl>
    <w:tbl>
      <w:tblPr>
        <w:tblStyle w:val="14"/>
        <w:tblpPr w:leftFromText="180" w:rightFromText="180" w:vertAnchor="text" w:horzAnchor="page" w:tblpX="1974" w:tblpY="522"/>
        <w:tblW w:w="8835" w:type="dxa"/>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1740"/>
        <w:gridCol w:w="2820"/>
        <w:gridCol w:w="4275"/>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90" w:hRule="atLeast"/>
        </w:trPr>
        <w:tc>
          <w:tcPr>
            <w:tcW w:w="1740" w:type="dxa"/>
            <w:vMerge w:val="restart"/>
            <w:vAlign w:val="center"/>
          </w:tcPr>
          <w:p>
            <w:pPr>
              <w:ind w:firstLine="0" w:firstLineChars="0"/>
              <w:jc w:val="center"/>
              <w:rPr>
                <w:rFonts w:ascii="仿宋_GB2312" w:eastAsia="仿宋_GB2312"/>
                <w:b/>
                <w:color w:val="auto"/>
                <w:szCs w:val="21"/>
                <w:highlight w:val="none"/>
              </w:rPr>
            </w:pPr>
            <w:r>
              <w:rPr>
                <w:rFonts w:hint="eastAsia" w:ascii="宋体" w:hAnsi="宋体" w:cs="宋体"/>
                <w:b/>
                <w:color w:val="auto"/>
                <w:sz w:val="24"/>
                <w:highlight w:val="none"/>
              </w:rPr>
              <w:t>中介机构</w:t>
            </w:r>
          </w:p>
        </w:tc>
        <w:tc>
          <w:tcPr>
            <w:tcW w:w="2820" w:type="dxa"/>
            <w:vAlign w:val="center"/>
          </w:tcPr>
          <w:p>
            <w:pPr>
              <w:ind w:firstLine="0" w:firstLineChars="0"/>
              <w:jc w:val="center"/>
              <w:rPr>
                <w:rFonts w:ascii="仿宋_GB2312" w:eastAsia="仿宋_GB2312"/>
                <w:b/>
                <w:color w:val="auto"/>
                <w:szCs w:val="21"/>
                <w:highlight w:val="none"/>
              </w:rPr>
            </w:pPr>
            <w:r>
              <w:rPr>
                <w:rFonts w:hint="eastAsia" w:ascii="宋体" w:hAnsi="宋体" w:cs="宋体"/>
                <w:b/>
                <w:color w:val="auto"/>
                <w:sz w:val="24"/>
                <w:highlight w:val="none"/>
              </w:rPr>
              <w:t>会 计 师 事 务 所</w:t>
            </w:r>
          </w:p>
        </w:tc>
        <w:tc>
          <w:tcPr>
            <w:tcW w:w="4275" w:type="dxa"/>
            <w:vAlign w:val="center"/>
          </w:tcPr>
          <w:p>
            <w:pPr>
              <w:ind w:firstLine="0" w:firstLineChars="0"/>
              <w:jc w:val="center"/>
              <w:rPr>
                <w:rFonts w:ascii="宋体" w:hAnsi="宋体"/>
                <w:color w:val="auto"/>
                <w:sz w:val="24"/>
                <w:highlight w:val="none"/>
              </w:rPr>
            </w:pPr>
            <w:r>
              <w:rPr>
                <w:rFonts w:hint="eastAsia" w:ascii="宋体" w:hAnsi="宋体"/>
                <w:color w:val="000000"/>
                <w:sz w:val="24"/>
                <w:szCs w:val="24"/>
                <w:highlight w:val="none"/>
                <w:lang w:eastAsia="zh-CN"/>
              </w:rPr>
              <w:t>台州鸿瑞会计事务所有限公司</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92" w:hRule="atLeast"/>
        </w:trPr>
        <w:tc>
          <w:tcPr>
            <w:tcW w:w="1740" w:type="dxa"/>
            <w:vMerge w:val="continue"/>
            <w:vAlign w:val="center"/>
          </w:tcPr>
          <w:p>
            <w:pPr>
              <w:ind w:firstLine="0" w:firstLineChars="0"/>
              <w:jc w:val="center"/>
              <w:rPr>
                <w:rFonts w:ascii="仿宋_GB2312" w:eastAsia="仿宋_GB2312"/>
                <w:b/>
                <w:color w:val="auto"/>
                <w:szCs w:val="21"/>
                <w:highlight w:val="none"/>
              </w:rPr>
            </w:pPr>
          </w:p>
        </w:tc>
        <w:tc>
          <w:tcPr>
            <w:tcW w:w="2820" w:type="dxa"/>
            <w:vAlign w:val="center"/>
          </w:tcPr>
          <w:p>
            <w:pPr>
              <w:ind w:firstLine="0" w:firstLineChars="0"/>
              <w:jc w:val="center"/>
              <w:rPr>
                <w:rFonts w:ascii="仿宋_GB2312" w:eastAsia="仿宋_GB2312"/>
                <w:b/>
                <w:color w:val="auto"/>
                <w:szCs w:val="21"/>
                <w:highlight w:val="none"/>
              </w:rPr>
            </w:pPr>
            <w:r>
              <w:rPr>
                <w:rFonts w:hint="eastAsia" w:ascii="宋体" w:hAnsi="宋体" w:cs="宋体"/>
                <w:b/>
                <w:color w:val="auto"/>
                <w:sz w:val="24"/>
                <w:highlight w:val="none"/>
              </w:rPr>
              <w:t>评 估 事 务 所</w:t>
            </w:r>
          </w:p>
        </w:tc>
        <w:tc>
          <w:tcPr>
            <w:tcW w:w="4275" w:type="dxa"/>
            <w:vAlign w:val="center"/>
          </w:tcPr>
          <w:p>
            <w:pPr>
              <w:ind w:firstLine="0" w:firstLineChars="0"/>
              <w:jc w:val="center"/>
              <w:rPr>
                <w:rFonts w:ascii="宋体" w:hAnsi="宋体"/>
                <w:color w:val="auto"/>
                <w:sz w:val="24"/>
                <w:highlight w:val="none"/>
              </w:rPr>
            </w:pPr>
            <w:r>
              <w:rPr>
                <w:rFonts w:hint="eastAsia" w:ascii="宋体" w:hAnsi="宋体"/>
                <w:color w:val="000000"/>
                <w:sz w:val="24"/>
                <w:szCs w:val="24"/>
                <w:highlight w:val="none"/>
                <w:lang w:eastAsia="zh-CN"/>
              </w:rPr>
              <w:t>台州兴元资产评估有限公司</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2" w:hRule="atLeast"/>
        </w:trPr>
        <w:tc>
          <w:tcPr>
            <w:tcW w:w="1740" w:type="dxa"/>
            <w:vMerge w:val="restart"/>
            <w:vAlign w:val="center"/>
          </w:tcPr>
          <w:p>
            <w:pPr>
              <w:ind w:firstLine="0" w:firstLineChars="0"/>
              <w:jc w:val="center"/>
              <w:rPr>
                <w:rFonts w:ascii="宋体" w:hAnsi="宋体" w:cs="宋体"/>
                <w:b/>
                <w:color w:val="auto"/>
                <w:sz w:val="24"/>
                <w:highlight w:val="none"/>
              </w:rPr>
            </w:pPr>
            <w:r>
              <w:rPr>
                <w:rFonts w:hint="eastAsia" w:ascii="宋体" w:hAnsi="宋体" w:cs="宋体"/>
                <w:b/>
                <w:color w:val="auto"/>
                <w:sz w:val="24"/>
                <w:highlight w:val="none"/>
              </w:rPr>
              <w:t>资产评估核准</w:t>
            </w:r>
          </w:p>
          <w:p>
            <w:pPr>
              <w:ind w:firstLine="0" w:firstLineChars="0"/>
              <w:jc w:val="center"/>
              <w:rPr>
                <w:rFonts w:ascii="仿宋_GB2312" w:eastAsia="仿宋_GB2312"/>
                <w:b/>
                <w:color w:val="auto"/>
                <w:szCs w:val="21"/>
                <w:highlight w:val="none"/>
              </w:rPr>
            </w:pPr>
            <w:r>
              <w:rPr>
                <w:rFonts w:hint="eastAsia" w:ascii="宋体" w:hAnsi="宋体" w:cs="宋体"/>
                <w:b/>
                <w:color w:val="auto"/>
                <w:sz w:val="24"/>
                <w:highlight w:val="none"/>
              </w:rPr>
              <w:t>或备案情况</w:t>
            </w:r>
          </w:p>
        </w:tc>
        <w:tc>
          <w:tcPr>
            <w:tcW w:w="2820" w:type="dxa"/>
            <w:vAlign w:val="center"/>
          </w:tcPr>
          <w:p>
            <w:pPr>
              <w:ind w:firstLine="0" w:firstLineChars="0"/>
              <w:jc w:val="center"/>
              <w:rPr>
                <w:rFonts w:ascii="仿宋_GB2312" w:eastAsia="仿宋_GB2312"/>
                <w:b/>
                <w:color w:val="auto"/>
                <w:szCs w:val="21"/>
                <w:highlight w:val="none"/>
              </w:rPr>
            </w:pPr>
            <w:r>
              <w:rPr>
                <w:rFonts w:hint="eastAsia" w:ascii="宋体" w:hAnsi="宋体" w:cs="宋体"/>
                <w:b/>
                <w:color w:val="auto"/>
                <w:sz w:val="24"/>
                <w:highlight w:val="none"/>
              </w:rPr>
              <w:t>评 估 基 准 日</w:t>
            </w:r>
          </w:p>
        </w:tc>
        <w:tc>
          <w:tcPr>
            <w:tcW w:w="4275" w:type="dxa"/>
            <w:vAlign w:val="center"/>
          </w:tcPr>
          <w:p>
            <w:pPr>
              <w:ind w:firstLine="0" w:firstLineChars="0"/>
              <w:jc w:val="center"/>
              <w:rPr>
                <w:rFonts w:ascii="仿宋_GB2312" w:eastAsia="仿宋_GB2312"/>
                <w:b/>
                <w:color w:val="auto"/>
                <w:szCs w:val="21"/>
                <w:highlight w:val="none"/>
              </w:rPr>
            </w:pPr>
            <w:r>
              <w:rPr>
                <w:rFonts w:hint="eastAsia" w:ascii="宋体" w:hAnsi="宋体" w:cs="宋体"/>
                <w:bCs/>
                <w:color w:val="auto"/>
                <w:sz w:val="24"/>
                <w:highlight w:val="none"/>
              </w:rPr>
              <w:t>2021年</w:t>
            </w:r>
            <w:r>
              <w:rPr>
                <w:rFonts w:hint="eastAsia" w:ascii="宋体" w:hAnsi="宋体" w:cs="宋体"/>
                <w:bCs/>
                <w:color w:val="auto"/>
                <w:sz w:val="24"/>
                <w:highlight w:val="none"/>
                <w:lang w:val="en-US" w:eastAsia="zh-CN"/>
              </w:rPr>
              <w:t>12</w:t>
            </w:r>
            <w:r>
              <w:rPr>
                <w:rFonts w:hint="eastAsia" w:ascii="宋体" w:hAnsi="宋体" w:cs="宋体"/>
                <w:bCs/>
                <w:color w:val="auto"/>
                <w:sz w:val="24"/>
                <w:highlight w:val="none"/>
              </w:rPr>
              <w:t>月31日</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777" w:hRule="atLeast"/>
        </w:trPr>
        <w:tc>
          <w:tcPr>
            <w:tcW w:w="1740" w:type="dxa"/>
            <w:vMerge w:val="continue"/>
            <w:vAlign w:val="center"/>
          </w:tcPr>
          <w:p>
            <w:pPr>
              <w:ind w:firstLine="0" w:firstLineChars="0"/>
              <w:jc w:val="center"/>
              <w:rPr>
                <w:rFonts w:ascii="仿宋_GB2312" w:eastAsia="仿宋_GB2312"/>
                <w:b/>
                <w:color w:val="auto"/>
                <w:szCs w:val="21"/>
                <w:highlight w:val="none"/>
              </w:rPr>
            </w:pPr>
          </w:p>
        </w:tc>
        <w:tc>
          <w:tcPr>
            <w:tcW w:w="2820" w:type="dxa"/>
            <w:vAlign w:val="center"/>
          </w:tcPr>
          <w:p>
            <w:pPr>
              <w:ind w:firstLine="0" w:firstLineChars="0"/>
              <w:jc w:val="center"/>
              <w:rPr>
                <w:rFonts w:ascii="仿宋_GB2312" w:eastAsia="仿宋_GB2312"/>
                <w:b/>
                <w:color w:val="auto"/>
                <w:szCs w:val="21"/>
                <w:highlight w:val="none"/>
              </w:rPr>
            </w:pPr>
            <w:r>
              <w:rPr>
                <w:rFonts w:hint="eastAsia" w:ascii="宋体" w:hAnsi="宋体" w:cs="宋体"/>
                <w:b/>
                <w:color w:val="auto"/>
                <w:sz w:val="24"/>
                <w:highlight w:val="none"/>
              </w:rPr>
              <w:t>评估核准（备案）机构</w:t>
            </w:r>
          </w:p>
        </w:tc>
        <w:tc>
          <w:tcPr>
            <w:tcW w:w="4275" w:type="dxa"/>
            <w:vAlign w:val="center"/>
          </w:tcPr>
          <w:p>
            <w:pPr>
              <w:ind w:firstLine="0" w:firstLineChars="0"/>
              <w:jc w:val="center"/>
              <w:rPr>
                <w:rFonts w:ascii="仿宋_GB2312" w:eastAsia="仿宋_GB2312"/>
                <w:b/>
                <w:color w:val="auto"/>
                <w:szCs w:val="21"/>
                <w:highlight w:val="none"/>
              </w:rPr>
            </w:pPr>
            <w:r>
              <w:rPr>
                <w:rFonts w:hint="eastAsia" w:ascii="仿宋_GB2312" w:eastAsia="仿宋_GB2312"/>
                <w:b/>
                <w:color w:val="auto"/>
                <w:szCs w:val="21"/>
                <w:highlight w:val="none"/>
                <w:lang w:val="en-US" w:eastAsia="zh-CN"/>
              </w:rPr>
              <w:t>浙江清华长三角研究院</w:t>
            </w:r>
          </w:p>
        </w:tc>
      </w:tr>
    </w:tbl>
    <w:p>
      <w:pPr>
        <w:pStyle w:val="2"/>
        <w:ind w:left="0" w:leftChars="0" w:firstLine="0" w:firstLineChars="0"/>
        <w:rPr>
          <w:highlight w:val="none"/>
        </w:rPr>
      </w:pPr>
    </w:p>
    <w:p>
      <w:pPr>
        <w:numPr>
          <w:ilvl w:val="0"/>
          <w:numId w:val="2"/>
        </w:numPr>
        <w:spacing w:line="600" w:lineRule="exact"/>
        <w:ind w:firstLine="560"/>
        <w:rPr>
          <w:rFonts w:ascii="宋体" w:hAnsi="宋体"/>
          <w:color w:val="auto"/>
          <w:sz w:val="28"/>
          <w:szCs w:val="28"/>
          <w:highlight w:val="none"/>
        </w:rPr>
      </w:pPr>
      <w:r>
        <w:rPr>
          <w:rFonts w:hint="eastAsia" w:ascii="宋体" w:hAnsi="宋体"/>
          <w:color w:val="auto"/>
          <w:sz w:val="28"/>
          <w:szCs w:val="28"/>
          <w:highlight w:val="none"/>
        </w:rPr>
        <w:t>债权债务处置</w:t>
      </w:r>
    </w:p>
    <w:p>
      <w:pPr>
        <w:spacing w:line="600" w:lineRule="exact"/>
        <w:ind w:firstLine="560"/>
        <w:rPr>
          <w:rFonts w:ascii="宋体" w:hAnsi="宋体"/>
          <w:color w:val="auto"/>
          <w:sz w:val="28"/>
          <w:szCs w:val="28"/>
          <w:highlight w:val="none"/>
        </w:rPr>
      </w:pPr>
      <w:r>
        <w:rPr>
          <w:rFonts w:hint="eastAsia" w:ascii="宋体" w:hAnsi="宋体"/>
          <w:color w:val="auto"/>
          <w:sz w:val="28"/>
          <w:szCs w:val="28"/>
          <w:highlight w:val="none"/>
        </w:rPr>
        <w:t>本次股权转让后，</w:t>
      </w:r>
      <w:r>
        <w:rPr>
          <w:rFonts w:hint="eastAsia" w:ascii="宋体" w:hAnsi="宋体"/>
          <w:color w:val="auto"/>
          <w:sz w:val="28"/>
          <w:szCs w:val="28"/>
          <w:highlight w:val="none"/>
          <w:lang w:eastAsia="zh-CN"/>
        </w:rPr>
        <w:t>清大智创</w:t>
      </w:r>
      <w:r>
        <w:rPr>
          <w:rFonts w:hint="eastAsia" w:ascii="宋体" w:hAnsi="宋体"/>
          <w:color w:val="auto"/>
          <w:sz w:val="28"/>
          <w:szCs w:val="28"/>
          <w:highlight w:val="none"/>
        </w:rPr>
        <w:t>法人主体资格并未发生变化，为依法存续的有限责任公司，故此，债权债务依然由</w:t>
      </w:r>
      <w:r>
        <w:rPr>
          <w:rFonts w:hint="eastAsia" w:ascii="宋体" w:hAnsi="宋体"/>
          <w:color w:val="auto"/>
          <w:sz w:val="28"/>
          <w:szCs w:val="28"/>
          <w:highlight w:val="none"/>
          <w:lang w:eastAsia="zh-CN"/>
        </w:rPr>
        <w:t>清大智创</w:t>
      </w:r>
      <w:r>
        <w:rPr>
          <w:rFonts w:hint="eastAsia" w:ascii="宋体" w:hAnsi="宋体"/>
          <w:color w:val="auto"/>
          <w:sz w:val="28"/>
          <w:szCs w:val="28"/>
          <w:highlight w:val="none"/>
        </w:rPr>
        <w:t>继承。</w:t>
      </w:r>
    </w:p>
    <w:p>
      <w:pPr>
        <w:spacing w:line="600" w:lineRule="exact"/>
        <w:ind w:firstLine="560"/>
        <w:rPr>
          <w:rFonts w:ascii="宋体" w:hAnsi="宋体"/>
          <w:color w:val="auto"/>
          <w:sz w:val="28"/>
          <w:szCs w:val="28"/>
          <w:highlight w:val="none"/>
        </w:rPr>
      </w:pPr>
      <w:r>
        <w:rPr>
          <w:rFonts w:hint="eastAsia" w:ascii="宋体" w:hAnsi="宋体"/>
          <w:color w:val="auto"/>
          <w:sz w:val="28"/>
          <w:szCs w:val="28"/>
          <w:highlight w:val="none"/>
        </w:rPr>
        <w:t>六、竞买人条件</w:t>
      </w:r>
    </w:p>
    <w:p>
      <w:pPr>
        <w:spacing w:line="600" w:lineRule="exact"/>
        <w:ind w:firstLine="560"/>
        <w:rPr>
          <w:rFonts w:ascii="宋体" w:hAnsi="宋体"/>
          <w:color w:val="auto"/>
          <w:sz w:val="28"/>
          <w:szCs w:val="28"/>
          <w:highlight w:val="none"/>
        </w:rPr>
      </w:pPr>
      <w:r>
        <w:rPr>
          <w:rFonts w:hint="eastAsia" w:ascii="宋体" w:hAnsi="宋体"/>
          <w:color w:val="auto"/>
          <w:sz w:val="28"/>
          <w:szCs w:val="28"/>
          <w:highlight w:val="none"/>
        </w:rPr>
        <w:t>具有良好的商业信用及支付能力的境内企业、其他组织或自然人。</w:t>
      </w:r>
    </w:p>
    <w:p>
      <w:pPr>
        <w:adjustRightInd w:val="0"/>
        <w:spacing w:line="600" w:lineRule="exact"/>
        <w:ind w:firstLine="560"/>
        <w:rPr>
          <w:rFonts w:ascii="宋体" w:hAnsi="宋体"/>
          <w:color w:val="auto"/>
          <w:sz w:val="28"/>
          <w:szCs w:val="28"/>
          <w:highlight w:val="none"/>
        </w:rPr>
      </w:pPr>
      <w:r>
        <w:rPr>
          <w:rFonts w:hint="eastAsia" w:ascii="宋体" w:hAnsi="宋体"/>
          <w:color w:val="auto"/>
          <w:sz w:val="28"/>
          <w:szCs w:val="28"/>
          <w:highlight w:val="none"/>
        </w:rPr>
        <w:t>七、竞买保证金缴纳、使用、退还</w:t>
      </w:r>
    </w:p>
    <w:p>
      <w:pPr>
        <w:adjustRightInd w:val="0"/>
        <w:spacing w:line="600" w:lineRule="exact"/>
        <w:ind w:firstLine="560"/>
        <w:rPr>
          <w:rFonts w:ascii="宋体" w:hAnsi="宋体"/>
          <w:color w:val="auto"/>
          <w:sz w:val="28"/>
          <w:szCs w:val="28"/>
          <w:highlight w:val="none"/>
        </w:rPr>
      </w:pPr>
      <w:r>
        <w:rPr>
          <w:rFonts w:hint="eastAsia" w:ascii="宋体" w:hAnsi="宋体"/>
          <w:color w:val="auto"/>
          <w:sz w:val="28"/>
          <w:szCs w:val="28"/>
          <w:highlight w:val="none"/>
        </w:rPr>
        <w:t>1、竞买保证金缴纳：竞买人缴付的竞买保证金应在报名截止日前以转账方式缴入。</w:t>
      </w:r>
    </w:p>
    <w:p>
      <w:pPr>
        <w:adjustRightInd w:val="0"/>
        <w:spacing w:line="600" w:lineRule="exact"/>
        <w:ind w:firstLine="560"/>
        <w:rPr>
          <w:rFonts w:ascii="宋体" w:hAnsi="宋体"/>
          <w:color w:val="auto"/>
          <w:sz w:val="28"/>
          <w:szCs w:val="28"/>
          <w:highlight w:val="none"/>
        </w:rPr>
      </w:pPr>
      <w:r>
        <w:rPr>
          <w:rFonts w:hint="eastAsia" w:ascii="宋体" w:hAnsi="宋体"/>
          <w:color w:val="auto"/>
          <w:sz w:val="28"/>
          <w:szCs w:val="28"/>
          <w:highlight w:val="none"/>
        </w:rPr>
        <w:t>2、竞买保证金使用：竞买人竞得标的后，竞买保证金可抵作应支付部分转让款项。</w:t>
      </w:r>
    </w:p>
    <w:p>
      <w:pPr>
        <w:adjustRightInd w:val="0"/>
        <w:spacing w:line="600" w:lineRule="exact"/>
        <w:ind w:firstLine="560"/>
        <w:rPr>
          <w:rFonts w:ascii="宋体" w:hAnsi="宋体"/>
          <w:color w:val="auto"/>
          <w:sz w:val="28"/>
          <w:szCs w:val="28"/>
          <w:highlight w:val="none"/>
        </w:rPr>
      </w:pPr>
      <w:r>
        <w:rPr>
          <w:rFonts w:hint="eastAsia" w:ascii="宋体" w:hAnsi="宋体"/>
          <w:color w:val="auto"/>
          <w:sz w:val="28"/>
          <w:szCs w:val="28"/>
          <w:highlight w:val="none"/>
        </w:rPr>
        <w:t>3、出现下列情形竞买人保证金可在五个工作日内退还（不计息）：</w:t>
      </w:r>
    </w:p>
    <w:p>
      <w:pPr>
        <w:adjustRightInd w:val="0"/>
        <w:spacing w:line="600" w:lineRule="exact"/>
        <w:ind w:firstLine="565" w:firstLineChars="202"/>
        <w:rPr>
          <w:rFonts w:ascii="宋体" w:hAnsi="宋体"/>
          <w:color w:val="auto"/>
          <w:sz w:val="28"/>
          <w:szCs w:val="28"/>
          <w:highlight w:val="none"/>
        </w:rPr>
      </w:pPr>
      <w:r>
        <w:rPr>
          <w:rFonts w:hint="eastAsia" w:ascii="宋体" w:hAnsi="宋体"/>
          <w:color w:val="auto"/>
          <w:sz w:val="28"/>
          <w:szCs w:val="28"/>
          <w:highlight w:val="none"/>
        </w:rPr>
        <w:t>（1）经资格审核，不符合竞买资格的；</w:t>
      </w:r>
    </w:p>
    <w:p>
      <w:pPr>
        <w:adjustRightInd w:val="0"/>
        <w:spacing w:line="600" w:lineRule="exact"/>
        <w:ind w:firstLine="560"/>
        <w:rPr>
          <w:rFonts w:ascii="宋体" w:hAnsi="宋体"/>
          <w:color w:val="auto"/>
          <w:sz w:val="28"/>
          <w:szCs w:val="28"/>
          <w:highlight w:val="none"/>
        </w:rPr>
      </w:pPr>
      <w:r>
        <w:rPr>
          <w:rFonts w:hint="eastAsia" w:ascii="宋体" w:hAnsi="宋体"/>
          <w:color w:val="auto"/>
          <w:sz w:val="28"/>
          <w:szCs w:val="28"/>
          <w:highlight w:val="none"/>
        </w:rPr>
        <w:t>（2）参加竞价并应价但未能竞得标的者；</w:t>
      </w:r>
    </w:p>
    <w:p>
      <w:pPr>
        <w:adjustRightInd w:val="0"/>
        <w:spacing w:line="600" w:lineRule="exact"/>
        <w:ind w:firstLine="560"/>
        <w:rPr>
          <w:rFonts w:ascii="宋体" w:hAnsi="宋体"/>
          <w:color w:val="auto"/>
          <w:sz w:val="28"/>
          <w:szCs w:val="28"/>
          <w:highlight w:val="none"/>
        </w:rPr>
      </w:pPr>
      <w:r>
        <w:rPr>
          <w:rFonts w:hint="eastAsia" w:ascii="宋体" w:hAnsi="宋体"/>
          <w:color w:val="auto"/>
          <w:sz w:val="28"/>
          <w:szCs w:val="28"/>
          <w:highlight w:val="none"/>
        </w:rPr>
        <w:t>（3）竞价转让前，因政策等正当理由取消竞价转让的。</w:t>
      </w:r>
    </w:p>
    <w:p>
      <w:pPr>
        <w:tabs>
          <w:tab w:val="left" w:pos="6360"/>
        </w:tabs>
        <w:adjustRightInd w:val="0"/>
        <w:spacing w:line="600" w:lineRule="exact"/>
        <w:ind w:firstLine="560"/>
        <w:rPr>
          <w:rFonts w:ascii="宋体" w:hAnsi="宋体"/>
          <w:color w:val="auto"/>
          <w:sz w:val="28"/>
          <w:szCs w:val="28"/>
          <w:highlight w:val="none"/>
        </w:rPr>
      </w:pPr>
      <w:r>
        <w:rPr>
          <w:rFonts w:hint="eastAsia" w:ascii="宋体" w:hAnsi="宋体"/>
          <w:color w:val="auto"/>
          <w:sz w:val="28"/>
          <w:szCs w:val="28"/>
          <w:highlight w:val="none"/>
        </w:rPr>
        <w:t>4、出现下列情形竞买人保证金不予退还：</w:t>
      </w:r>
    </w:p>
    <w:p>
      <w:pPr>
        <w:tabs>
          <w:tab w:val="left" w:pos="6360"/>
        </w:tabs>
        <w:adjustRightInd w:val="0"/>
        <w:spacing w:line="600" w:lineRule="exact"/>
        <w:ind w:firstLine="560"/>
        <w:rPr>
          <w:rFonts w:ascii="宋体" w:hAnsi="宋体"/>
          <w:color w:val="auto"/>
          <w:sz w:val="28"/>
          <w:szCs w:val="28"/>
          <w:highlight w:val="none"/>
        </w:rPr>
      </w:pPr>
      <w:r>
        <w:rPr>
          <w:rFonts w:hint="eastAsia" w:ascii="宋体" w:hAnsi="宋体"/>
          <w:color w:val="auto"/>
          <w:sz w:val="28"/>
          <w:szCs w:val="28"/>
          <w:highlight w:val="none"/>
        </w:rPr>
        <w:t>（1）竞买人存在不当行为，包括但不限于：竞买人提供的资料和信息存在虚假、不真实、不具有效力等情形。</w:t>
      </w:r>
    </w:p>
    <w:p>
      <w:pPr>
        <w:adjustRightInd w:val="0"/>
        <w:spacing w:line="600" w:lineRule="exact"/>
        <w:ind w:firstLine="560"/>
        <w:rPr>
          <w:rFonts w:ascii="宋体" w:hAnsi="宋体"/>
          <w:color w:val="auto"/>
          <w:sz w:val="28"/>
          <w:szCs w:val="28"/>
          <w:highlight w:val="none"/>
        </w:rPr>
      </w:pPr>
      <w:r>
        <w:rPr>
          <w:rFonts w:hint="eastAsia" w:ascii="宋体" w:hAnsi="宋体"/>
          <w:color w:val="auto"/>
          <w:sz w:val="28"/>
          <w:szCs w:val="28"/>
          <w:highlight w:val="none"/>
        </w:rPr>
        <w:t>（2）被确定为最终受让方后，未按期支付成交款项的；</w:t>
      </w:r>
    </w:p>
    <w:p>
      <w:pPr>
        <w:adjustRightInd w:val="0"/>
        <w:spacing w:line="600" w:lineRule="exact"/>
        <w:ind w:firstLine="560"/>
        <w:rPr>
          <w:rFonts w:ascii="宋体" w:hAnsi="宋体"/>
          <w:color w:val="auto"/>
          <w:sz w:val="28"/>
          <w:szCs w:val="28"/>
          <w:highlight w:val="none"/>
        </w:rPr>
      </w:pPr>
      <w:r>
        <w:rPr>
          <w:rFonts w:hint="eastAsia" w:ascii="宋体" w:hAnsi="宋体"/>
          <w:color w:val="auto"/>
          <w:sz w:val="28"/>
          <w:szCs w:val="28"/>
          <w:highlight w:val="none"/>
        </w:rPr>
        <w:t>（3）未按期与出让方签订《股权转让合同》的；</w:t>
      </w:r>
    </w:p>
    <w:p>
      <w:pPr>
        <w:adjustRightInd w:val="0"/>
        <w:spacing w:line="600" w:lineRule="exact"/>
        <w:ind w:firstLine="560"/>
        <w:rPr>
          <w:rFonts w:ascii="宋体" w:hAnsi="宋体"/>
          <w:color w:val="auto"/>
          <w:sz w:val="28"/>
          <w:szCs w:val="28"/>
          <w:highlight w:val="none"/>
        </w:rPr>
      </w:pPr>
      <w:r>
        <w:rPr>
          <w:rFonts w:hint="eastAsia" w:ascii="宋体" w:hAnsi="宋体"/>
          <w:color w:val="auto"/>
          <w:sz w:val="28"/>
          <w:szCs w:val="28"/>
          <w:highlight w:val="none"/>
        </w:rPr>
        <w:t>（4）竞买人存在在重大</w:t>
      </w:r>
      <w:r>
        <w:rPr>
          <w:rFonts w:ascii="宋体" w:hAnsi="宋体"/>
          <w:color w:val="auto"/>
          <w:sz w:val="28"/>
          <w:szCs w:val="28"/>
          <w:highlight w:val="none"/>
        </w:rPr>
        <w:t>方面</w:t>
      </w:r>
      <w:r>
        <w:rPr>
          <w:rFonts w:hint="eastAsia" w:ascii="宋体" w:hAnsi="宋体"/>
          <w:color w:val="auto"/>
          <w:sz w:val="28"/>
          <w:szCs w:val="28"/>
          <w:highlight w:val="none"/>
        </w:rPr>
        <w:t>影响标的正常转让、竞价公正性或其他竞价程序要求的情形的。</w:t>
      </w:r>
    </w:p>
    <w:p>
      <w:pPr>
        <w:adjustRightInd w:val="0"/>
        <w:spacing w:line="600" w:lineRule="exact"/>
        <w:ind w:firstLine="560"/>
        <w:rPr>
          <w:rFonts w:ascii="宋体" w:hAnsi="宋体"/>
          <w:color w:val="auto"/>
          <w:sz w:val="28"/>
          <w:szCs w:val="28"/>
          <w:highlight w:val="none"/>
        </w:rPr>
      </w:pPr>
      <w:r>
        <w:rPr>
          <w:rFonts w:hint="eastAsia" w:ascii="宋体" w:hAnsi="宋体"/>
          <w:color w:val="auto"/>
          <w:sz w:val="28"/>
          <w:szCs w:val="28"/>
          <w:highlight w:val="none"/>
        </w:rPr>
        <w:t>八、报名受理</w:t>
      </w:r>
    </w:p>
    <w:p>
      <w:pPr>
        <w:adjustRightInd w:val="0"/>
        <w:spacing w:line="600" w:lineRule="exact"/>
        <w:ind w:firstLine="560"/>
        <w:rPr>
          <w:rFonts w:ascii="宋体" w:hAnsi="宋体"/>
          <w:color w:val="auto"/>
          <w:sz w:val="28"/>
          <w:szCs w:val="28"/>
          <w:highlight w:val="none"/>
        </w:rPr>
      </w:pPr>
      <w:r>
        <w:rPr>
          <w:rFonts w:hint="eastAsia" w:ascii="宋体" w:hAnsi="宋体"/>
          <w:color w:val="auto"/>
          <w:sz w:val="28"/>
          <w:szCs w:val="28"/>
          <w:highlight w:val="none"/>
        </w:rPr>
        <w:t>竞买人应提供下列竞买资料后，台州市产权交易所有限公司（下称“产交所”）予以报名受理，并出具受理通知书。</w:t>
      </w:r>
    </w:p>
    <w:p>
      <w:pPr>
        <w:adjustRightInd w:val="0"/>
        <w:spacing w:line="600" w:lineRule="exact"/>
        <w:ind w:firstLine="560"/>
        <w:rPr>
          <w:rFonts w:ascii="宋体" w:hAnsi="宋体"/>
          <w:color w:val="auto"/>
          <w:sz w:val="28"/>
          <w:szCs w:val="28"/>
          <w:highlight w:val="none"/>
        </w:rPr>
      </w:pPr>
      <w:r>
        <w:rPr>
          <w:rFonts w:hint="eastAsia" w:ascii="宋体" w:hAnsi="宋体"/>
          <w:color w:val="auto"/>
          <w:sz w:val="28"/>
          <w:szCs w:val="28"/>
          <w:highlight w:val="none"/>
        </w:rPr>
        <w:t>1、竞买申请书及承诺函；</w:t>
      </w:r>
    </w:p>
    <w:p>
      <w:pPr>
        <w:adjustRightInd w:val="0"/>
        <w:spacing w:line="600" w:lineRule="exact"/>
        <w:ind w:firstLine="560"/>
        <w:rPr>
          <w:rFonts w:ascii="宋体" w:hAnsi="宋体"/>
          <w:color w:val="auto"/>
          <w:sz w:val="28"/>
          <w:szCs w:val="28"/>
          <w:highlight w:val="none"/>
        </w:rPr>
      </w:pPr>
      <w:r>
        <w:rPr>
          <w:rFonts w:hint="eastAsia" w:ascii="宋体" w:hAnsi="宋体"/>
          <w:color w:val="auto"/>
          <w:sz w:val="28"/>
          <w:szCs w:val="28"/>
          <w:highlight w:val="none"/>
        </w:rPr>
        <w:t>2、竞买人的主体资格证明文件：企业法人须提交有效的企业法人营业执照、法定代表人身份证（复印件加盖竞买人公章）；自然人提供身份证明；</w:t>
      </w:r>
    </w:p>
    <w:p>
      <w:pPr>
        <w:adjustRightInd w:val="0"/>
        <w:spacing w:line="600" w:lineRule="exact"/>
        <w:ind w:firstLine="560"/>
        <w:rPr>
          <w:rFonts w:ascii="宋体" w:hAnsi="宋体"/>
          <w:color w:val="auto"/>
          <w:sz w:val="28"/>
          <w:szCs w:val="28"/>
          <w:highlight w:val="none"/>
        </w:rPr>
      </w:pPr>
      <w:r>
        <w:rPr>
          <w:rFonts w:hint="eastAsia" w:ascii="宋体" w:hAnsi="宋体"/>
          <w:color w:val="auto"/>
          <w:sz w:val="28"/>
          <w:szCs w:val="28"/>
          <w:highlight w:val="none"/>
          <w:lang w:val="en-US" w:eastAsia="zh-CN"/>
        </w:rPr>
        <w:t>3</w:t>
      </w:r>
      <w:r>
        <w:rPr>
          <w:rFonts w:hint="eastAsia" w:ascii="宋体" w:hAnsi="宋体"/>
          <w:color w:val="auto"/>
          <w:sz w:val="28"/>
          <w:szCs w:val="28"/>
          <w:highlight w:val="none"/>
        </w:rPr>
        <w:t>、其他有关本次批准挂牌转让报名所需的材料；</w:t>
      </w:r>
    </w:p>
    <w:p>
      <w:pPr>
        <w:adjustRightInd w:val="0"/>
        <w:spacing w:line="600" w:lineRule="exact"/>
        <w:ind w:firstLine="560"/>
        <w:rPr>
          <w:rFonts w:ascii="宋体" w:hAnsi="宋体"/>
          <w:color w:val="auto"/>
          <w:sz w:val="28"/>
          <w:szCs w:val="28"/>
          <w:highlight w:val="none"/>
        </w:rPr>
      </w:pPr>
      <w:r>
        <w:rPr>
          <w:rFonts w:hint="eastAsia" w:ascii="宋体" w:hAnsi="宋体"/>
          <w:color w:val="auto"/>
          <w:sz w:val="28"/>
          <w:szCs w:val="28"/>
          <w:highlight w:val="none"/>
          <w:lang w:val="en-US" w:eastAsia="zh-CN"/>
        </w:rPr>
        <w:t>4</w:t>
      </w:r>
      <w:r>
        <w:rPr>
          <w:rFonts w:hint="eastAsia" w:ascii="宋体" w:hAnsi="宋体"/>
          <w:color w:val="auto"/>
          <w:sz w:val="28"/>
          <w:szCs w:val="28"/>
          <w:highlight w:val="none"/>
        </w:rPr>
        <w:t>、竞买保证金缴纳依据。</w:t>
      </w:r>
    </w:p>
    <w:p>
      <w:pPr>
        <w:adjustRightInd w:val="0"/>
        <w:spacing w:line="600" w:lineRule="exact"/>
        <w:ind w:firstLine="560"/>
        <w:rPr>
          <w:rFonts w:ascii="宋体" w:hAnsi="宋体"/>
          <w:color w:val="auto"/>
          <w:sz w:val="28"/>
          <w:szCs w:val="28"/>
          <w:highlight w:val="none"/>
        </w:rPr>
      </w:pPr>
      <w:r>
        <w:rPr>
          <w:rFonts w:hint="eastAsia" w:ascii="宋体" w:hAnsi="宋体"/>
          <w:color w:val="auto"/>
          <w:sz w:val="28"/>
          <w:szCs w:val="28"/>
          <w:highlight w:val="none"/>
        </w:rPr>
        <w:t>九、竞买资格审核</w:t>
      </w:r>
    </w:p>
    <w:p>
      <w:pPr>
        <w:adjustRightInd w:val="0"/>
        <w:spacing w:line="600" w:lineRule="exact"/>
        <w:ind w:firstLine="560"/>
        <w:rPr>
          <w:rFonts w:ascii="宋体" w:hAnsi="宋体"/>
          <w:color w:val="auto"/>
          <w:sz w:val="28"/>
          <w:szCs w:val="28"/>
          <w:highlight w:val="none"/>
        </w:rPr>
      </w:pPr>
      <w:r>
        <w:rPr>
          <w:rFonts w:hint="eastAsia" w:ascii="宋体" w:hAnsi="宋体"/>
          <w:color w:val="auto"/>
          <w:sz w:val="28"/>
          <w:szCs w:val="28"/>
          <w:highlight w:val="none"/>
        </w:rPr>
        <w:t>根据竞买人提供的上述资料，产交所在本次股权转让报名截止时间后当日对竞买资格进行审核，并将审核意见书面告知转让方进行征询、确认。</w:t>
      </w:r>
    </w:p>
    <w:p>
      <w:pPr>
        <w:adjustRightInd w:val="0"/>
        <w:spacing w:line="600" w:lineRule="exact"/>
        <w:ind w:firstLine="560"/>
        <w:rPr>
          <w:rFonts w:ascii="宋体" w:hAnsi="宋体"/>
          <w:color w:val="auto"/>
          <w:sz w:val="28"/>
          <w:szCs w:val="28"/>
          <w:highlight w:val="none"/>
        </w:rPr>
      </w:pPr>
      <w:r>
        <w:rPr>
          <w:rFonts w:hint="eastAsia" w:ascii="宋体" w:hAnsi="宋体"/>
          <w:color w:val="auto"/>
          <w:sz w:val="28"/>
          <w:szCs w:val="28"/>
          <w:highlight w:val="none"/>
        </w:rPr>
        <w:t>十、竞买资格确认</w:t>
      </w:r>
    </w:p>
    <w:p>
      <w:pPr>
        <w:adjustRightInd w:val="0"/>
        <w:spacing w:line="600" w:lineRule="exact"/>
        <w:ind w:firstLine="560"/>
        <w:rPr>
          <w:rFonts w:ascii="宋体" w:hAnsi="宋体"/>
          <w:color w:val="auto"/>
          <w:sz w:val="28"/>
          <w:szCs w:val="28"/>
          <w:highlight w:val="none"/>
        </w:rPr>
      </w:pPr>
      <w:r>
        <w:rPr>
          <w:rFonts w:hint="eastAsia" w:ascii="宋体" w:hAnsi="宋体"/>
          <w:color w:val="auto"/>
          <w:sz w:val="28"/>
          <w:szCs w:val="28"/>
          <w:highlight w:val="none"/>
        </w:rPr>
        <w:t>竞买人的竞买资格经审核后，产交所将审核确认意见即时通知竞买人。</w:t>
      </w:r>
    </w:p>
    <w:p>
      <w:pPr>
        <w:spacing w:line="600" w:lineRule="exact"/>
        <w:ind w:firstLine="560"/>
        <w:rPr>
          <w:rFonts w:ascii="宋体" w:hAnsi="宋体"/>
          <w:color w:val="auto"/>
          <w:sz w:val="28"/>
          <w:szCs w:val="28"/>
          <w:highlight w:val="none"/>
        </w:rPr>
      </w:pPr>
      <w:r>
        <w:rPr>
          <w:rFonts w:hint="eastAsia" w:ascii="宋体" w:hAnsi="宋体"/>
          <w:color w:val="auto"/>
          <w:sz w:val="28"/>
          <w:szCs w:val="28"/>
          <w:highlight w:val="none"/>
        </w:rPr>
        <w:t>十一、本次股权挂牌转让按照下列情况确定是否成交</w:t>
      </w:r>
    </w:p>
    <w:p>
      <w:pPr>
        <w:spacing w:line="600" w:lineRule="exact"/>
        <w:ind w:firstLine="560"/>
        <w:rPr>
          <w:rFonts w:ascii="宋体" w:hAnsi="宋体"/>
          <w:color w:val="auto"/>
          <w:sz w:val="28"/>
          <w:szCs w:val="28"/>
          <w:highlight w:val="none"/>
        </w:rPr>
      </w:pPr>
      <w:r>
        <w:rPr>
          <w:rFonts w:hint="eastAsia" w:ascii="宋体" w:hAnsi="宋体"/>
          <w:color w:val="auto"/>
          <w:sz w:val="28"/>
          <w:szCs w:val="28"/>
          <w:highlight w:val="none"/>
        </w:rPr>
        <w:t>1、在挂牌报名截止时，无人报名或竞买人经竞买资格审核不符合条件的，则本次股权挂牌转让不成交。</w:t>
      </w:r>
    </w:p>
    <w:p>
      <w:pPr>
        <w:spacing w:line="600" w:lineRule="exact"/>
        <w:ind w:firstLine="560"/>
        <w:rPr>
          <w:rFonts w:ascii="宋体" w:hAnsi="宋体"/>
          <w:color w:val="auto"/>
          <w:sz w:val="28"/>
          <w:szCs w:val="28"/>
          <w:highlight w:val="none"/>
        </w:rPr>
      </w:pPr>
      <w:r>
        <w:rPr>
          <w:rFonts w:hint="eastAsia" w:ascii="宋体" w:hAnsi="宋体"/>
          <w:color w:val="auto"/>
          <w:sz w:val="28"/>
          <w:szCs w:val="28"/>
          <w:highlight w:val="none"/>
        </w:rPr>
        <w:t>2、在挂牌报名截止时，有一个或一个以上竞买人报名，竞买人的竞买资格经审核均合格的，则按照本次股权网络竞价规则实施竞价程序，出价最高者为受让方，其出价为本次项目挂牌转让的成交价。</w:t>
      </w:r>
    </w:p>
    <w:p>
      <w:pPr>
        <w:spacing w:line="600" w:lineRule="exact"/>
        <w:ind w:firstLine="560"/>
        <w:rPr>
          <w:rFonts w:ascii="宋体" w:hAnsi="宋体"/>
          <w:color w:val="auto"/>
          <w:sz w:val="28"/>
          <w:szCs w:val="28"/>
          <w:highlight w:val="none"/>
        </w:rPr>
      </w:pPr>
      <w:r>
        <w:rPr>
          <w:rFonts w:hint="eastAsia" w:ascii="宋体" w:hAnsi="宋体"/>
          <w:color w:val="auto"/>
          <w:sz w:val="28"/>
          <w:szCs w:val="28"/>
          <w:highlight w:val="none"/>
        </w:rPr>
        <w:t>自由（挂牌）报价时间：</w:t>
      </w:r>
      <w:r>
        <w:rPr>
          <w:rFonts w:hint="eastAsia" w:ascii="宋体" w:hAnsi="宋体"/>
          <w:color w:val="auto"/>
          <w:sz w:val="28"/>
          <w:szCs w:val="28"/>
          <w:highlight w:val="none"/>
          <w:lang w:eastAsia="zh-CN"/>
        </w:rPr>
        <w:t>2022年6月2日</w:t>
      </w:r>
      <w:r>
        <w:rPr>
          <w:rFonts w:hint="eastAsia" w:ascii="宋体" w:hAnsi="宋体"/>
          <w:color w:val="auto"/>
          <w:sz w:val="28"/>
          <w:szCs w:val="28"/>
          <w:highlight w:val="none"/>
        </w:rPr>
        <w:t>至</w:t>
      </w:r>
      <w:r>
        <w:rPr>
          <w:rFonts w:hint="eastAsia" w:ascii="宋体" w:hAnsi="宋体"/>
          <w:color w:val="auto"/>
          <w:sz w:val="28"/>
          <w:szCs w:val="28"/>
          <w:highlight w:val="none"/>
          <w:lang w:eastAsia="zh-CN"/>
        </w:rPr>
        <w:t>2022年7月1日</w:t>
      </w:r>
      <w:r>
        <w:rPr>
          <w:rFonts w:hint="eastAsia" w:ascii="宋体" w:hAnsi="宋体"/>
          <w:color w:val="auto"/>
          <w:sz w:val="28"/>
          <w:szCs w:val="28"/>
          <w:highlight w:val="none"/>
        </w:rPr>
        <w:t>9:30时（竞买人报名审核后方可报价）；</w:t>
      </w:r>
    </w:p>
    <w:p>
      <w:pPr>
        <w:spacing w:line="600" w:lineRule="exact"/>
        <w:ind w:firstLine="560"/>
        <w:rPr>
          <w:rFonts w:ascii="宋体" w:hAnsi="宋体"/>
          <w:color w:val="auto"/>
          <w:sz w:val="28"/>
          <w:szCs w:val="28"/>
          <w:highlight w:val="none"/>
        </w:rPr>
      </w:pPr>
      <w:r>
        <w:rPr>
          <w:rFonts w:hint="eastAsia" w:ascii="宋体" w:hAnsi="宋体"/>
          <w:color w:val="auto"/>
          <w:sz w:val="28"/>
          <w:szCs w:val="28"/>
          <w:highlight w:val="none"/>
        </w:rPr>
        <w:t>限时报价开始时间：</w:t>
      </w:r>
      <w:r>
        <w:rPr>
          <w:rFonts w:hint="eastAsia" w:ascii="宋体" w:hAnsi="宋体"/>
          <w:color w:val="auto"/>
          <w:sz w:val="28"/>
          <w:szCs w:val="28"/>
          <w:highlight w:val="none"/>
          <w:lang w:eastAsia="zh-CN"/>
        </w:rPr>
        <w:t>2022年7月1日</w:t>
      </w:r>
      <w:r>
        <w:rPr>
          <w:rFonts w:hint="eastAsia" w:ascii="宋体" w:hAnsi="宋体"/>
          <w:color w:val="auto"/>
          <w:sz w:val="28"/>
          <w:szCs w:val="28"/>
          <w:highlight w:val="none"/>
        </w:rPr>
        <w:t xml:space="preserve">（星期五）9：30时 </w:t>
      </w:r>
    </w:p>
    <w:p>
      <w:pPr>
        <w:spacing w:line="600" w:lineRule="exact"/>
        <w:ind w:firstLine="560"/>
        <w:rPr>
          <w:rFonts w:ascii="宋体" w:hAnsi="宋体"/>
          <w:color w:val="auto"/>
          <w:sz w:val="28"/>
          <w:szCs w:val="28"/>
          <w:highlight w:val="none"/>
        </w:rPr>
      </w:pPr>
      <w:r>
        <w:rPr>
          <w:rFonts w:hint="eastAsia" w:ascii="宋体" w:hAnsi="宋体"/>
          <w:color w:val="auto"/>
          <w:sz w:val="28"/>
          <w:szCs w:val="28"/>
          <w:highlight w:val="none"/>
        </w:rPr>
        <w:t>实行网络报名：台州市公共资源交易网（https://tzztb.zjtz.gov.cn/tzcms/），现场资格确认。</w:t>
      </w:r>
    </w:p>
    <w:p>
      <w:pPr>
        <w:spacing w:line="600" w:lineRule="exact"/>
        <w:ind w:firstLine="560"/>
        <w:rPr>
          <w:rFonts w:ascii="宋体" w:hAnsi="宋体"/>
          <w:color w:val="auto"/>
          <w:sz w:val="28"/>
          <w:szCs w:val="28"/>
          <w:highlight w:val="none"/>
        </w:rPr>
      </w:pPr>
      <w:r>
        <w:rPr>
          <w:rFonts w:hint="eastAsia" w:ascii="宋体" w:hAnsi="宋体"/>
          <w:color w:val="auto"/>
          <w:sz w:val="28"/>
          <w:szCs w:val="28"/>
          <w:highlight w:val="none"/>
        </w:rPr>
        <w:t>资格确认地址：台州市产权交易所（台州市府大道777号民泰商业银行大楼五楼511室）。</w:t>
      </w:r>
    </w:p>
    <w:p>
      <w:pPr>
        <w:spacing w:line="600" w:lineRule="exact"/>
        <w:ind w:firstLine="560"/>
        <w:rPr>
          <w:rFonts w:ascii="宋体" w:hAnsi="宋体"/>
          <w:color w:val="auto"/>
          <w:sz w:val="28"/>
          <w:szCs w:val="28"/>
          <w:highlight w:val="none"/>
        </w:rPr>
      </w:pPr>
      <w:r>
        <w:rPr>
          <w:rFonts w:hint="eastAsia"/>
          <w:color w:val="auto"/>
          <w:sz w:val="28"/>
          <w:szCs w:val="28"/>
          <w:highlight w:val="none"/>
        </w:rPr>
        <w:t>上述成交价不包括买受人在办理相关手续时所发生的税、费等。</w:t>
      </w:r>
    </w:p>
    <w:p>
      <w:pPr>
        <w:spacing w:line="600" w:lineRule="exact"/>
        <w:ind w:firstLine="560"/>
        <w:rPr>
          <w:color w:val="auto"/>
          <w:sz w:val="28"/>
          <w:szCs w:val="28"/>
          <w:highlight w:val="none"/>
        </w:rPr>
      </w:pPr>
      <w:r>
        <w:rPr>
          <w:rFonts w:hint="eastAsia" w:ascii="宋体" w:hAnsi="宋体"/>
          <w:color w:val="auto"/>
          <w:sz w:val="28"/>
          <w:szCs w:val="28"/>
          <w:highlight w:val="none"/>
        </w:rPr>
        <w:t>十二、</w:t>
      </w:r>
      <w:bookmarkStart w:id="16" w:name="_Hlk99376959"/>
      <w:r>
        <w:rPr>
          <w:rFonts w:hint="eastAsia" w:ascii="宋体" w:hAnsi="宋体"/>
          <w:color w:val="auto"/>
          <w:sz w:val="28"/>
          <w:szCs w:val="28"/>
          <w:highlight w:val="none"/>
          <w:shd w:val="clear" w:color="auto" w:fill="auto"/>
        </w:rPr>
        <w:t>确认成交方后，</w:t>
      </w:r>
      <w:bookmarkEnd w:id="16"/>
      <w:r>
        <w:rPr>
          <w:rFonts w:hint="eastAsia" w:asciiTheme="minorEastAsia" w:hAnsiTheme="minorEastAsia" w:eastAsiaTheme="minorEastAsia" w:cstheme="minorEastAsia"/>
          <w:color w:val="auto"/>
          <w:sz w:val="28"/>
          <w:szCs w:val="28"/>
          <w:highlight w:val="none"/>
          <w:shd w:val="clear" w:color="auto" w:fill="auto"/>
          <w:lang w:val="en-US" w:eastAsia="zh-CN"/>
        </w:rPr>
        <w:t>产交所</w:t>
      </w:r>
      <w:r>
        <w:rPr>
          <w:rFonts w:hint="eastAsia" w:asciiTheme="minorEastAsia" w:hAnsiTheme="minorEastAsia" w:eastAsiaTheme="minorEastAsia" w:cstheme="minorEastAsia"/>
          <w:color w:val="auto"/>
          <w:sz w:val="28"/>
          <w:szCs w:val="28"/>
          <w:highlight w:val="none"/>
          <w:shd w:val="clear" w:color="auto" w:fill="auto"/>
        </w:rPr>
        <w:t>于竞价成功后三个工作日内发出《成交结果通知书》。</w:t>
      </w:r>
      <w:r>
        <w:rPr>
          <w:rFonts w:hint="eastAsia" w:ascii="宋体" w:hAnsi="宋体"/>
          <w:color w:val="auto"/>
          <w:sz w:val="28"/>
          <w:szCs w:val="28"/>
          <w:highlight w:val="none"/>
          <w:shd w:val="clear" w:color="auto" w:fill="auto"/>
        </w:rPr>
        <w:t>转让方与受让方</w:t>
      </w:r>
      <w:r>
        <w:rPr>
          <w:rFonts w:hint="eastAsia" w:ascii="宋体" w:hAnsi="宋体"/>
          <w:color w:val="auto"/>
          <w:sz w:val="28"/>
          <w:szCs w:val="28"/>
          <w:highlight w:val="none"/>
          <w:shd w:val="clear" w:color="auto" w:fill="auto"/>
          <w:lang w:val="en-US" w:eastAsia="zh-CN"/>
        </w:rPr>
        <w:t>于产交所发出</w:t>
      </w:r>
      <w:r>
        <w:rPr>
          <w:rFonts w:hint="eastAsia" w:asciiTheme="minorEastAsia" w:hAnsiTheme="minorEastAsia" w:eastAsiaTheme="minorEastAsia" w:cstheme="minorEastAsia"/>
          <w:color w:val="auto"/>
          <w:sz w:val="28"/>
          <w:szCs w:val="28"/>
          <w:highlight w:val="none"/>
          <w:shd w:val="clear" w:color="auto" w:fill="auto"/>
        </w:rPr>
        <w:t>《成交结果通知书》</w:t>
      </w:r>
      <w:r>
        <w:rPr>
          <w:rFonts w:hint="eastAsia" w:asciiTheme="minorEastAsia" w:hAnsiTheme="minorEastAsia" w:eastAsiaTheme="minorEastAsia" w:cstheme="minorEastAsia"/>
          <w:color w:val="auto"/>
          <w:sz w:val="28"/>
          <w:szCs w:val="28"/>
          <w:highlight w:val="none"/>
          <w:shd w:val="clear" w:color="auto" w:fill="auto"/>
          <w:lang w:val="en-US" w:eastAsia="zh-CN"/>
        </w:rPr>
        <w:t>后</w:t>
      </w:r>
      <w:r>
        <w:rPr>
          <w:rFonts w:hint="eastAsia" w:ascii="宋体" w:hAnsi="宋体"/>
          <w:color w:val="auto"/>
          <w:sz w:val="28"/>
          <w:szCs w:val="28"/>
          <w:highlight w:val="none"/>
          <w:shd w:val="clear" w:color="auto" w:fill="auto"/>
          <w:lang w:val="en-US" w:eastAsia="zh-CN"/>
        </w:rPr>
        <w:t>三</w:t>
      </w:r>
      <w:r>
        <w:rPr>
          <w:rFonts w:hint="eastAsia" w:ascii="宋体" w:hAnsi="宋体"/>
          <w:color w:val="auto"/>
          <w:sz w:val="28"/>
          <w:szCs w:val="28"/>
          <w:highlight w:val="none"/>
          <w:shd w:val="clear" w:color="auto" w:fill="auto"/>
        </w:rPr>
        <w:t>个工作日内签署《股权转让合同》，并于签署《股权转让合同》后五个工作日内递交一份</w:t>
      </w:r>
      <w:r>
        <w:rPr>
          <w:rFonts w:hint="eastAsia" w:asciiTheme="minorEastAsia" w:hAnsiTheme="minorEastAsia" w:eastAsiaTheme="minorEastAsia" w:cstheme="minorEastAsia"/>
          <w:color w:val="auto"/>
          <w:sz w:val="28"/>
          <w:szCs w:val="28"/>
          <w:highlight w:val="none"/>
          <w:shd w:val="clear" w:color="auto" w:fill="auto"/>
          <w:lang w:val="en-US" w:eastAsia="zh-CN"/>
        </w:rPr>
        <w:t>产交所</w:t>
      </w:r>
      <w:r>
        <w:rPr>
          <w:rFonts w:hint="eastAsia" w:ascii="宋体" w:hAnsi="宋体"/>
          <w:color w:val="auto"/>
          <w:sz w:val="28"/>
          <w:szCs w:val="28"/>
          <w:highlight w:val="none"/>
          <w:shd w:val="clear" w:color="auto" w:fill="auto"/>
        </w:rPr>
        <w:t>备案。</w:t>
      </w:r>
    </w:p>
    <w:p>
      <w:pPr>
        <w:spacing w:line="600" w:lineRule="exact"/>
        <w:ind w:firstLine="560"/>
        <w:rPr>
          <w:rFonts w:hint="eastAsia" w:ascii="宋体" w:hAnsi="宋体" w:eastAsia="宋体"/>
          <w:color w:val="auto"/>
          <w:sz w:val="28"/>
          <w:szCs w:val="28"/>
          <w:highlight w:val="none"/>
          <w:lang w:eastAsia="zh-CN"/>
        </w:rPr>
      </w:pPr>
      <w:r>
        <w:rPr>
          <w:rFonts w:hint="eastAsia" w:ascii="宋体" w:hAnsi="宋体"/>
          <w:color w:val="auto"/>
          <w:sz w:val="28"/>
          <w:szCs w:val="28"/>
          <w:highlight w:val="none"/>
        </w:rPr>
        <w:t>十三、交易</w:t>
      </w:r>
      <w:r>
        <w:rPr>
          <w:rFonts w:hint="eastAsia" w:ascii="宋体" w:hAnsi="宋体"/>
          <w:color w:val="auto"/>
          <w:sz w:val="28"/>
          <w:szCs w:val="28"/>
          <w:highlight w:val="none"/>
          <w:lang w:eastAsia="zh-CN"/>
        </w:rPr>
        <w:t>服务费</w:t>
      </w:r>
    </w:p>
    <w:p>
      <w:pPr>
        <w:spacing w:line="600" w:lineRule="exact"/>
        <w:ind w:firstLine="560"/>
        <w:rPr>
          <w:rFonts w:ascii="宋体" w:hAnsi="宋体"/>
          <w:color w:val="auto"/>
          <w:sz w:val="28"/>
          <w:szCs w:val="28"/>
          <w:highlight w:val="none"/>
        </w:rPr>
      </w:pPr>
      <w:bookmarkStart w:id="17" w:name="待定14"/>
      <w:r>
        <w:rPr>
          <w:rFonts w:hint="eastAsia" w:ascii="宋体" w:hAnsi="宋体"/>
          <w:color w:val="auto"/>
          <w:sz w:val="28"/>
          <w:szCs w:val="28"/>
          <w:highlight w:val="none"/>
        </w:rPr>
        <w:t>交易</w:t>
      </w:r>
      <w:r>
        <w:rPr>
          <w:rFonts w:hint="eastAsia" w:ascii="宋体" w:hAnsi="宋体"/>
          <w:color w:val="auto"/>
          <w:sz w:val="28"/>
          <w:szCs w:val="28"/>
          <w:highlight w:val="none"/>
          <w:lang w:eastAsia="zh-CN"/>
        </w:rPr>
        <w:t>服务费</w:t>
      </w:r>
      <w:r>
        <w:rPr>
          <w:rFonts w:hint="eastAsia" w:ascii="宋体" w:hAnsi="宋体"/>
          <w:color w:val="auto"/>
          <w:sz w:val="28"/>
          <w:szCs w:val="28"/>
          <w:highlight w:val="none"/>
        </w:rPr>
        <w:t>为</w:t>
      </w:r>
      <w:bookmarkEnd w:id="17"/>
      <w:r>
        <w:rPr>
          <w:rFonts w:hint="eastAsia" w:ascii="宋体" w:hAnsi="宋体"/>
          <w:color w:val="auto"/>
          <w:sz w:val="28"/>
          <w:szCs w:val="28"/>
          <w:highlight w:val="none"/>
        </w:rPr>
        <w:t>成交价的</w:t>
      </w:r>
      <w:r>
        <w:rPr>
          <w:rFonts w:hint="eastAsia" w:ascii="宋体" w:hAnsi="宋体"/>
          <w:color w:val="auto"/>
          <w:sz w:val="28"/>
          <w:szCs w:val="28"/>
          <w:highlight w:val="none"/>
          <w:lang w:val="en-US" w:eastAsia="zh-CN"/>
        </w:rPr>
        <w:t>2</w:t>
      </w:r>
      <w:r>
        <w:rPr>
          <w:rFonts w:hint="eastAsia" w:ascii="宋体" w:hAnsi="宋体"/>
          <w:color w:val="auto"/>
          <w:sz w:val="28"/>
          <w:szCs w:val="28"/>
          <w:highlight w:val="none"/>
        </w:rPr>
        <w:t>%，由受让方在与转让方签订《股权转让合同》</w:t>
      </w:r>
      <w:r>
        <w:rPr>
          <w:rFonts w:hint="eastAsia" w:ascii="宋体" w:hAnsi="宋体"/>
          <w:color w:val="auto"/>
          <w:sz w:val="28"/>
          <w:szCs w:val="28"/>
          <w:highlight w:val="none"/>
          <w:lang w:val="en-US" w:eastAsia="zh-CN"/>
        </w:rPr>
        <w:t>之日起</w:t>
      </w:r>
      <w:r>
        <w:rPr>
          <w:rFonts w:hint="eastAsia" w:ascii="宋体" w:hAnsi="宋体"/>
          <w:color w:val="auto"/>
          <w:sz w:val="28"/>
          <w:szCs w:val="28"/>
          <w:highlight w:val="none"/>
          <w:lang w:eastAsia="zh-CN"/>
        </w:rPr>
        <w:t>，</w:t>
      </w:r>
      <w:r>
        <w:rPr>
          <w:rFonts w:hint="eastAsia" w:ascii="宋体" w:hAnsi="宋体"/>
          <w:color w:val="auto"/>
          <w:sz w:val="28"/>
          <w:szCs w:val="28"/>
          <w:highlight w:val="none"/>
          <w:lang w:val="en-US" w:eastAsia="zh-CN"/>
        </w:rPr>
        <w:t>由受让方在</w:t>
      </w:r>
      <w:r>
        <w:rPr>
          <w:rFonts w:hint="eastAsia" w:ascii="宋体" w:hAnsi="宋体"/>
          <w:color w:val="auto"/>
          <w:sz w:val="28"/>
          <w:szCs w:val="28"/>
          <w:highlight w:val="none"/>
        </w:rPr>
        <w:t>五个工作日内一次性付清。</w:t>
      </w:r>
    </w:p>
    <w:p>
      <w:pPr>
        <w:spacing w:line="600" w:lineRule="exact"/>
        <w:ind w:firstLine="560"/>
        <w:rPr>
          <w:rFonts w:ascii="宋体" w:hAnsi="宋体"/>
          <w:color w:val="auto"/>
          <w:sz w:val="28"/>
          <w:szCs w:val="28"/>
          <w:highlight w:val="none"/>
        </w:rPr>
      </w:pPr>
      <w:r>
        <w:rPr>
          <w:rFonts w:hint="eastAsia" w:ascii="宋体" w:hAnsi="宋体"/>
          <w:color w:val="auto"/>
          <w:sz w:val="28"/>
          <w:szCs w:val="28"/>
          <w:highlight w:val="none"/>
        </w:rPr>
        <w:t>十四、付款方式</w:t>
      </w:r>
    </w:p>
    <w:p>
      <w:pPr>
        <w:tabs>
          <w:tab w:val="left" w:pos="6960"/>
        </w:tabs>
        <w:spacing w:line="600" w:lineRule="exact"/>
        <w:ind w:firstLine="560" w:firstLineChars="0"/>
        <w:jc w:val="left"/>
        <w:rPr>
          <w:rFonts w:ascii="宋体" w:hAnsi="宋体"/>
          <w:color w:val="auto"/>
          <w:sz w:val="28"/>
          <w:szCs w:val="28"/>
          <w:highlight w:val="none"/>
        </w:rPr>
      </w:pPr>
      <w:r>
        <w:rPr>
          <w:rFonts w:hint="eastAsia" w:ascii="宋体" w:hAnsi="宋体"/>
          <w:color w:val="auto"/>
          <w:sz w:val="28"/>
          <w:szCs w:val="28"/>
          <w:highlight w:val="none"/>
        </w:rPr>
        <w:t>受让方应在《股权转让合同》签订之日起五个工作日内一次性付清本次股权转让款。受让方前期缴纳的竞买保证金可抵作部分转让价款。</w:t>
      </w:r>
    </w:p>
    <w:p>
      <w:pPr>
        <w:spacing w:line="600" w:lineRule="exact"/>
        <w:ind w:firstLine="560"/>
        <w:rPr>
          <w:rFonts w:ascii="宋体" w:hAnsi="宋体"/>
          <w:color w:val="auto"/>
          <w:sz w:val="28"/>
          <w:szCs w:val="28"/>
          <w:highlight w:val="none"/>
        </w:rPr>
      </w:pPr>
      <w:r>
        <w:rPr>
          <w:rFonts w:hint="eastAsia"/>
          <w:color w:val="auto"/>
          <w:sz w:val="28"/>
          <w:szCs w:val="28"/>
          <w:highlight w:val="none"/>
        </w:rPr>
        <w:t>受让方应将上述股权转让成交款转入以下账户（</w:t>
      </w:r>
      <w:r>
        <w:rPr>
          <w:rFonts w:hint="eastAsia" w:ascii="宋体" w:hAnsi="宋体"/>
          <w:color w:val="auto"/>
          <w:sz w:val="28"/>
          <w:szCs w:val="28"/>
          <w:highlight w:val="none"/>
        </w:rPr>
        <w:t>开户单位名称：台州市产权交易所有限公司，人民币开户行：</w:t>
      </w:r>
      <w:r>
        <w:rPr>
          <w:rFonts w:hint="eastAsia" w:ascii="宋体" w:hAnsi="宋体"/>
          <w:color w:val="auto"/>
          <w:sz w:val="28"/>
          <w:szCs w:val="28"/>
          <w:highlight w:val="none"/>
          <w:lang w:val="en-GB"/>
        </w:rPr>
        <w:t>浙江民泰商业银行</w:t>
      </w:r>
      <w:r>
        <w:rPr>
          <w:rFonts w:hint="eastAsia" w:ascii="宋体" w:hAnsi="宋体"/>
          <w:color w:val="auto"/>
          <w:sz w:val="28"/>
          <w:szCs w:val="28"/>
          <w:highlight w:val="none"/>
        </w:rPr>
        <w:t>股份有限公司</w:t>
      </w:r>
      <w:r>
        <w:rPr>
          <w:rFonts w:hint="eastAsia" w:ascii="宋体" w:hAnsi="宋体"/>
          <w:color w:val="auto"/>
          <w:sz w:val="28"/>
          <w:szCs w:val="28"/>
          <w:highlight w:val="none"/>
          <w:lang w:val="en-GB"/>
        </w:rPr>
        <w:t>椒江</w:t>
      </w:r>
      <w:r>
        <w:rPr>
          <w:rFonts w:hint="eastAsia" w:ascii="宋体" w:hAnsi="宋体"/>
          <w:color w:val="auto"/>
          <w:sz w:val="28"/>
          <w:szCs w:val="28"/>
          <w:highlight w:val="none"/>
        </w:rPr>
        <w:t>市府大道</w:t>
      </w:r>
      <w:r>
        <w:rPr>
          <w:rFonts w:hint="eastAsia" w:ascii="宋体" w:hAnsi="宋体"/>
          <w:color w:val="auto"/>
          <w:sz w:val="28"/>
          <w:szCs w:val="28"/>
          <w:highlight w:val="none"/>
          <w:lang w:val="en-GB"/>
        </w:rPr>
        <w:t>支行</w:t>
      </w:r>
      <w:r>
        <w:rPr>
          <w:rFonts w:hint="eastAsia" w:ascii="宋体" w:hAnsi="宋体"/>
          <w:color w:val="auto"/>
          <w:sz w:val="28"/>
          <w:szCs w:val="28"/>
          <w:highlight w:val="none"/>
        </w:rPr>
        <w:t>，人民币账号：</w:t>
      </w:r>
      <w:r>
        <w:rPr>
          <w:rFonts w:ascii="宋体" w:hAnsi="宋体"/>
          <w:color w:val="auto"/>
          <w:sz w:val="28"/>
          <w:szCs w:val="28"/>
          <w:highlight w:val="none"/>
        </w:rPr>
        <w:t>583016260</w:t>
      </w:r>
      <w:r>
        <w:rPr>
          <w:rFonts w:hint="eastAsia" w:ascii="宋体" w:hAnsi="宋体"/>
          <w:color w:val="auto"/>
          <w:sz w:val="28"/>
          <w:szCs w:val="28"/>
          <w:highlight w:val="none"/>
        </w:rPr>
        <w:t>8</w:t>
      </w:r>
      <w:r>
        <w:rPr>
          <w:rFonts w:ascii="宋体" w:hAnsi="宋体"/>
          <w:color w:val="auto"/>
          <w:sz w:val="28"/>
          <w:szCs w:val="28"/>
          <w:highlight w:val="none"/>
        </w:rPr>
        <w:t>000</w:t>
      </w:r>
      <w:r>
        <w:rPr>
          <w:rFonts w:hint="eastAsia" w:ascii="宋体" w:hAnsi="宋体"/>
          <w:color w:val="auto"/>
          <w:sz w:val="28"/>
          <w:szCs w:val="28"/>
          <w:highlight w:val="none"/>
        </w:rPr>
        <w:t>28）</w:t>
      </w:r>
      <w:r>
        <w:rPr>
          <w:rFonts w:hint="eastAsia"/>
          <w:color w:val="auto"/>
          <w:sz w:val="28"/>
          <w:szCs w:val="28"/>
          <w:highlight w:val="none"/>
        </w:rPr>
        <w:t>。</w:t>
      </w:r>
    </w:p>
    <w:p>
      <w:pPr>
        <w:spacing w:line="600" w:lineRule="exact"/>
        <w:ind w:firstLine="0" w:firstLineChars="0"/>
        <w:rPr>
          <w:rFonts w:ascii="宋体" w:hAnsi="宋体"/>
          <w:bCs/>
          <w:color w:val="auto"/>
          <w:sz w:val="28"/>
          <w:szCs w:val="28"/>
          <w:highlight w:val="none"/>
        </w:rPr>
      </w:pPr>
      <w:r>
        <w:rPr>
          <w:rFonts w:hint="eastAsia" w:ascii="宋体" w:hAnsi="宋体"/>
          <w:color w:val="auto"/>
          <w:sz w:val="28"/>
          <w:szCs w:val="28"/>
          <w:highlight w:val="none"/>
        </w:rPr>
        <w:t xml:space="preserve">    十五、</w:t>
      </w:r>
      <w:r>
        <w:rPr>
          <w:rFonts w:hint="eastAsia" w:ascii="宋体" w:hAnsi="宋体"/>
          <w:bCs/>
          <w:color w:val="auto"/>
          <w:sz w:val="28"/>
          <w:szCs w:val="28"/>
          <w:highlight w:val="none"/>
        </w:rPr>
        <w:t>股权转让的移交、交割与清算</w:t>
      </w:r>
    </w:p>
    <w:p>
      <w:pPr>
        <w:spacing w:line="600" w:lineRule="exact"/>
        <w:ind w:firstLine="560"/>
        <w:rPr>
          <w:rFonts w:ascii="宋体" w:hAnsi="宋体"/>
          <w:bCs/>
          <w:color w:val="auto"/>
          <w:sz w:val="28"/>
          <w:szCs w:val="28"/>
          <w:highlight w:val="none"/>
        </w:rPr>
      </w:pPr>
      <w:r>
        <w:rPr>
          <w:rFonts w:hint="eastAsia" w:ascii="宋体" w:hAnsi="宋体"/>
          <w:bCs/>
          <w:color w:val="auto"/>
          <w:sz w:val="28"/>
          <w:szCs w:val="28"/>
          <w:highlight w:val="none"/>
        </w:rPr>
        <w:t>1、本次股权转让的交接，在出让方与受让方之间进行。受让方负责向产交所指定账户一次性付清本次股权转让款，且受让方付清其应承担的交易</w:t>
      </w:r>
      <w:r>
        <w:rPr>
          <w:rFonts w:hint="eastAsia" w:ascii="宋体" w:hAnsi="宋体"/>
          <w:bCs/>
          <w:color w:val="auto"/>
          <w:sz w:val="28"/>
          <w:szCs w:val="28"/>
          <w:highlight w:val="none"/>
          <w:lang w:eastAsia="zh-CN"/>
        </w:rPr>
        <w:t>服务费</w:t>
      </w:r>
      <w:r>
        <w:rPr>
          <w:rFonts w:hint="eastAsia" w:ascii="宋体" w:hAnsi="宋体"/>
          <w:bCs/>
          <w:color w:val="auto"/>
          <w:sz w:val="28"/>
          <w:szCs w:val="28"/>
          <w:highlight w:val="none"/>
        </w:rPr>
        <w:t>后，受让方方能要求与出让方办理股权挂牌转让标的交接手续。</w:t>
      </w:r>
    </w:p>
    <w:p>
      <w:pPr>
        <w:spacing w:line="600" w:lineRule="exact"/>
        <w:ind w:firstLine="560"/>
        <w:rPr>
          <w:rFonts w:ascii="宋体" w:hAnsi="宋体"/>
          <w:bCs/>
          <w:color w:val="auto"/>
          <w:sz w:val="28"/>
          <w:szCs w:val="28"/>
          <w:highlight w:val="none"/>
        </w:rPr>
      </w:pPr>
      <w:r>
        <w:rPr>
          <w:rFonts w:hint="eastAsia" w:ascii="宋体" w:hAnsi="宋体"/>
          <w:bCs/>
          <w:color w:val="auto"/>
          <w:sz w:val="28"/>
          <w:szCs w:val="28"/>
          <w:highlight w:val="none"/>
        </w:rPr>
        <w:t>2、股权转让交割日：工商变更登记之日为股权转让交割日，表示本次股权转让交割完毕。</w:t>
      </w:r>
    </w:p>
    <w:p>
      <w:pPr>
        <w:spacing w:line="600" w:lineRule="exact"/>
        <w:ind w:firstLine="560"/>
        <w:rPr>
          <w:rFonts w:ascii="宋体" w:hAnsi="宋体"/>
          <w:bCs/>
          <w:color w:val="auto"/>
          <w:sz w:val="28"/>
          <w:szCs w:val="28"/>
          <w:highlight w:val="none"/>
        </w:rPr>
      </w:pPr>
      <w:r>
        <w:rPr>
          <w:rFonts w:hint="eastAsia" w:ascii="宋体" w:hAnsi="宋体"/>
          <w:bCs/>
          <w:color w:val="auto"/>
          <w:sz w:val="28"/>
          <w:szCs w:val="28"/>
          <w:highlight w:val="none"/>
        </w:rPr>
        <w:t>3、股权转让评估基准日（2021年</w:t>
      </w:r>
      <w:r>
        <w:rPr>
          <w:rFonts w:hint="eastAsia" w:ascii="宋体" w:hAnsi="宋体"/>
          <w:bCs/>
          <w:color w:val="auto"/>
          <w:sz w:val="28"/>
          <w:szCs w:val="28"/>
          <w:highlight w:val="none"/>
          <w:lang w:val="en-US" w:eastAsia="zh-CN"/>
        </w:rPr>
        <w:t>12</w:t>
      </w:r>
      <w:r>
        <w:rPr>
          <w:rFonts w:hint="eastAsia" w:ascii="宋体" w:hAnsi="宋体"/>
          <w:bCs/>
          <w:color w:val="auto"/>
          <w:sz w:val="28"/>
          <w:szCs w:val="28"/>
          <w:highlight w:val="none"/>
        </w:rPr>
        <w:t>月31日）至股权转让交割日期间，标的企业经营损益不再进行审计清算，相关权利和义务由受让方按照受让</w:t>
      </w:r>
      <w:r>
        <w:rPr>
          <w:rFonts w:ascii="宋体" w:hAnsi="宋体"/>
          <w:bCs/>
          <w:color w:val="auto"/>
          <w:sz w:val="28"/>
          <w:szCs w:val="28"/>
          <w:highlight w:val="none"/>
        </w:rPr>
        <w:t>股权比例</w:t>
      </w:r>
      <w:r>
        <w:rPr>
          <w:rFonts w:hint="eastAsia" w:ascii="宋体" w:hAnsi="宋体"/>
          <w:bCs/>
          <w:color w:val="auto"/>
          <w:sz w:val="28"/>
          <w:szCs w:val="28"/>
          <w:highlight w:val="none"/>
        </w:rPr>
        <w:t>享有或承担。</w:t>
      </w:r>
    </w:p>
    <w:p>
      <w:pPr>
        <w:spacing w:line="600" w:lineRule="exact"/>
        <w:ind w:firstLine="560"/>
        <w:rPr>
          <w:rFonts w:ascii="宋体" w:hAnsi="宋体"/>
          <w:bCs/>
          <w:color w:val="auto"/>
          <w:sz w:val="28"/>
          <w:szCs w:val="28"/>
          <w:highlight w:val="none"/>
        </w:rPr>
      </w:pPr>
      <w:r>
        <w:rPr>
          <w:rFonts w:hint="eastAsia" w:ascii="宋体" w:hAnsi="宋体"/>
          <w:color w:val="auto"/>
          <w:sz w:val="28"/>
          <w:szCs w:val="28"/>
          <w:highlight w:val="none"/>
        </w:rPr>
        <w:t>十六</w:t>
      </w:r>
      <w:r>
        <w:rPr>
          <w:rFonts w:hint="eastAsia" w:ascii="宋体" w:hAnsi="宋体"/>
          <w:bCs/>
          <w:color w:val="auto"/>
          <w:sz w:val="28"/>
          <w:szCs w:val="28"/>
          <w:highlight w:val="none"/>
        </w:rPr>
        <w:t>、股权变更登记</w:t>
      </w:r>
    </w:p>
    <w:p>
      <w:pPr>
        <w:adjustRightInd w:val="0"/>
        <w:spacing w:line="600" w:lineRule="exact"/>
        <w:ind w:firstLine="560"/>
        <w:rPr>
          <w:rFonts w:ascii="宋体" w:hAnsi="宋体"/>
          <w:bCs/>
          <w:color w:val="auto"/>
          <w:sz w:val="28"/>
          <w:szCs w:val="28"/>
          <w:highlight w:val="none"/>
        </w:rPr>
      </w:pPr>
      <w:r>
        <w:rPr>
          <w:rFonts w:hint="eastAsia" w:ascii="宋体" w:hAnsi="宋体"/>
          <w:bCs/>
          <w:color w:val="auto"/>
          <w:sz w:val="28"/>
          <w:szCs w:val="28"/>
          <w:highlight w:val="none"/>
        </w:rPr>
        <w:t>受让方取得产交所出具的《产权交易凭证》后，应在出让方配合协助下自行办妥股权转让法律程序必备的文件资料，并上报有关部门进行股权变更登记申请手续。股权变更所发生的费用（税金按国家法律规定缴纳）由受让方承担。如果由于受让方的原因导致无法获准变更登记的，由受让方承担违约责任，出让方与产交所不承担任何责任。</w:t>
      </w:r>
    </w:p>
    <w:p>
      <w:pPr>
        <w:tabs>
          <w:tab w:val="left" w:pos="8222"/>
        </w:tabs>
        <w:spacing w:line="600" w:lineRule="exact"/>
        <w:ind w:firstLine="560"/>
        <w:rPr>
          <w:rFonts w:ascii="宋体" w:hAnsi="宋体"/>
          <w:bCs/>
          <w:color w:val="auto"/>
          <w:sz w:val="28"/>
          <w:szCs w:val="28"/>
          <w:highlight w:val="none"/>
        </w:rPr>
      </w:pPr>
      <w:r>
        <w:rPr>
          <w:rFonts w:hint="eastAsia" w:ascii="宋体" w:hAnsi="宋体"/>
          <w:bCs/>
          <w:color w:val="auto"/>
          <w:sz w:val="28"/>
          <w:szCs w:val="28"/>
          <w:highlight w:val="none"/>
        </w:rPr>
        <w:t>十七、委托人、产交所依法有权在竞价</w:t>
      </w:r>
      <w:r>
        <w:rPr>
          <w:rFonts w:hint="eastAsia" w:ascii="宋体" w:hAnsi="宋体"/>
          <w:bCs/>
          <w:color w:val="auto"/>
          <w:sz w:val="28"/>
          <w:szCs w:val="28"/>
          <w:highlight w:val="none"/>
          <w:lang w:val="en-US" w:eastAsia="zh-CN"/>
        </w:rPr>
        <w:t>结束</w:t>
      </w:r>
      <w:r>
        <w:rPr>
          <w:rFonts w:hint="eastAsia" w:ascii="宋体" w:hAnsi="宋体"/>
          <w:bCs/>
          <w:color w:val="auto"/>
          <w:sz w:val="28"/>
          <w:szCs w:val="28"/>
          <w:highlight w:val="none"/>
        </w:rPr>
        <w:t>前撤回、撤除转让标的并不受竞买人追索。对竞买人所造成的损失，由竞买人自行承担；交易内容发生变化的，经产交所审核后在竞价会开始前告知竞买人，相关补充内容为本次股权挂牌转让资料的有效组成部分。</w:t>
      </w:r>
    </w:p>
    <w:p>
      <w:pPr>
        <w:spacing w:line="600" w:lineRule="exact"/>
        <w:ind w:firstLine="560"/>
        <w:rPr>
          <w:rFonts w:ascii="宋体" w:hAnsi="宋体"/>
          <w:bCs/>
          <w:color w:val="auto"/>
          <w:sz w:val="28"/>
          <w:szCs w:val="28"/>
          <w:highlight w:val="none"/>
        </w:rPr>
      </w:pPr>
      <w:r>
        <w:rPr>
          <w:rFonts w:hint="eastAsia" w:ascii="宋体" w:hAnsi="宋体"/>
          <w:bCs/>
          <w:color w:val="auto"/>
          <w:sz w:val="28"/>
          <w:szCs w:val="28"/>
          <w:highlight w:val="none"/>
        </w:rPr>
        <w:t>十八、违约责任</w:t>
      </w:r>
    </w:p>
    <w:p>
      <w:pPr>
        <w:adjustRightInd w:val="0"/>
        <w:spacing w:line="600" w:lineRule="exact"/>
        <w:ind w:firstLine="560"/>
        <w:rPr>
          <w:rFonts w:ascii="宋体" w:hAnsi="宋体"/>
          <w:bCs/>
          <w:color w:val="auto"/>
          <w:sz w:val="28"/>
          <w:szCs w:val="28"/>
          <w:highlight w:val="none"/>
          <w:u w:val="single"/>
        </w:rPr>
      </w:pPr>
      <w:r>
        <w:rPr>
          <w:rFonts w:hint="eastAsia" w:ascii="宋体" w:hAnsi="宋体"/>
          <w:bCs/>
          <w:color w:val="auto"/>
          <w:sz w:val="28"/>
          <w:szCs w:val="28"/>
          <w:highlight w:val="none"/>
        </w:rPr>
        <w:t>竞买人撤回报价或成交后拒绝签署《股权转让合同》，视为其违约，产交所有权追究其违约责任；受让方逾期支付股权转让成交款项的，视为受让方根本违约；出让方有权解除《股权转让合同》，保证金不予返还。</w:t>
      </w:r>
    </w:p>
    <w:p>
      <w:pPr>
        <w:spacing w:line="600" w:lineRule="exact"/>
        <w:ind w:firstLine="560"/>
        <w:rPr>
          <w:rFonts w:ascii="宋体" w:hAnsi="宋体"/>
          <w:bCs/>
          <w:color w:val="auto"/>
          <w:sz w:val="28"/>
          <w:szCs w:val="28"/>
          <w:highlight w:val="none"/>
        </w:rPr>
      </w:pPr>
      <w:r>
        <w:rPr>
          <w:rFonts w:hint="eastAsia" w:ascii="宋体" w:hAnsi="宋体"/>
          <w:bCs/>
          <w:color w:val="auto"/>
          <w:sz w:val="28"/>
          <w:szCs w:val="28"/>
          <w:highlight w:val="none"/>
        </w:rPr>
        <w:t>十九、竞买人应仔细分析投资风险。请竞买人自行对标的企业的资产、负债、经营以及相关政策等情况进行全面考察和了解。一旦报名，即表明竞买人自愿承担投资风险和责任。</w:t>
      </w:r>
    </w:p>
    <w:p>
      <w:pPr>
        <w:spacing w:line="600" w:lineRule="exact"/>
        <w:ind w:firstLine="560"/>
        <w:rPr>
          <w:rFonts w:ascii="宋体" w:hAnsi="宋体"/>
          <w:bCs/>
          <w:color w:val="auto"/>
          <w:sz w:val="28"/>
          <w:szCs w:val="28"/>
          <w:highlight w:val="none"/>
        </w:rPr>
      </w:pPr>
      <w:r>
        <w:rPr>
          <w:rFonts w:hint="eastAsia" w:ascii="宋体" w:hAnsi="宋体"/>
          <w:bCs/>
          <w:color w:val="auto"/>
          <w:sz w:val="28"/>
          <w:szCs w:val="28"/>
          <w:highlight w:val="none"/>
        </w:rPr>
        <w:t>二十、本次挂牌转让是经公告后才举行的，挂牌转让标的涉及的相关资产、负债以现状为准。故产交所对本次挂牌转让标的涉及的相关资产、负债的状态及品质不作担保，也不承担瑕疵的担保责任。</w:t>
      </w:r>
    </w:p>
    <w:p>
      <w:pPr>
        <w:spacing w:line="600" w:lineRule="exact"/>
        <w:ind w:firstLine="560"/>
        <w:rPr>
          <w:rFonts w:ascii="宋体" w:hAnsi="宋体"/>
          <w:bCs/>
          <w:color w:val="auto"/>
          <w:sz w:val="28"/>
          <w:szCs w:val="28"/>
          <w:highlight w:val="none"/>
        </w:rPr>
      </w:pPr>
      <w:r>
        <w:rPr>
          <w:rFonts w:hint="eastAsia" w:ascii="宋体" w:hAnsi="宋体"/>
          <w:bCs/>
          <w:color w:val="auto"/>
          <w:sz w:val="28"/>
          <w:szCs w:val="28"/>
          <w:highlight w:val="none"/>
        </w:rPr>
        <w:t>二十一、凡参加本次挂牌转让的竞买人，即表明已全部了解《</w:t>
      </w:r>
      <w:r>
        <w:rPr>
          <w:rFonts w:hint="eastAsia"/>
          <w:sz w:val="28"/>
          <w:szCs w:val="28"/>
          <w:highlight w:val="none"/>
          <w:u w:val="none"/>
          <w:lang w:eastAsia="zh-CN"/>
        </w:rPr>
        <w:t>清大智创工业设计（台州）有限公司</w:t>
      </w:r>
      <w:r>
        <w:rPr>
          <w:rFonts w:hint="eastAsia" w:ascii="宋体" w:hAnsi="宋体"/>
          <w:bCs/>
          <w:color w:val="auto"/>
          <w:sz w:val="28"/>
          <w:szCs w:val="28"/>
          <w:highlight w:val="none"/>
          <w:lang w:val="en-US" w:eastAsia="zh-CN"/>
        </w:rPr>
        <w:t>10</w:t>
      </w:r>
      <w:r>
        <w:rPr>
          <w:rFonts w:hint="eastAsia" w:ascii="宋体" w:hAnsi="宋体"/>
          <w:bCs/>
          <w:color w:val="auto"/>
          <w:sz w:val="28"/>
          <w:szCs w:val="28"/>
          <w:highlight w:val="none"/>
        </w:rPr>
        <w:t>%股权</w:t>
      </w:r>
      <w:r>
        <w:rPr>
          <w:rFonts w:hint="eastAsia" w:ascii="宋体" w:hAnsi="宋体"/>
          <w:bCs/>
          <w:color w:val="auto"/>
          <w:sz w:val="28"/>
          <w:szCs w:val="28"/>
          <w:highlight w:val="none"/>
          <w:lang w:val="en-US" w:eastAsia="zh-CN"/>
        </w:rPr>
        <w:t>转让文件</w:t>
      </w:r>
      <w:r>
        <w:rPr>
          <w:rFonts w:hint="eastAsia" w:ascii="宋体" w:hAnsi="宋体"/>
          <w:bCs/>
          <w:color w:val="auto"/>
          <w:sz w:val="28"/>
          <w:szCs w:val="28"/>
          <w:highlight w:val="none"/>
        </w:rPr>
        <w:t>》所涉及的相关资料，并愿意履行有关的义务；表明对转让标的已充分了解，并愿意承担投资风险和责任。</w:t>
      </w:r>
    </w:p>
    <w:p>
      <w:pPr>
        <w:spacing w:line="600" w:lineRule="exact"/>
        <w:ind w:firstLine="560"/>
        <w:rPr>
          <w:rFonts w:ascii="宋体" w:hAnsi="宋体"/>
          <w:bCs/>
          <w:color w:val="auto"/>
          <w:sz w:val="28"/>
          <w:szCs w:val="28"/>
          <w:highlight w:val="none"/>
        </w:rPr>
      </w:pPr>
      <w:r>
        <w:rPr>
          <w:rFonts w:hint="eastAsia" w:ascii="宋体" w:hAnsi="宋体"/>
          <w:bCs/>
          <w:color w:val="auto"/>
          <w:sz w:val="28"/>
          <w:szCs w:val="28"/>
          <w:highlight w:val="none"/>
        </w:rPr>
        <w:t>二十二、本次转让文件的最终解释权归委托方和台州市产权交易所。</w:t>
      </w:r>
    </w:p>
    <w:p>
      <w:pPr>
        <w:spacing w:line="600" w:lineRule="exact"/>
        <w:ind w:firstLine="560"/>
        <w:jc w:val="right"/>
        <w:rPr>
          <w:rFonts w:ascii="宋体" w:hAnsi="宋体"/>
          <w:bCs/>
          <w:color w:val="auto"/>
          <w:sz w:val="28"/>
          <w:szCs w:val="28"/>
          <w:highlight w:val="none"/>
        </w:rPr>
      </w:pPr>
    </w:p>
    <w:p>
      <w:pPr>
        <w:spacing w:line="600" w:lineRule="exact"/>
        <w:ind w:firstLine="280" w:firstLineChars="100"/>
        <w:jc w:val="right"/>
        <w:rPr>
          <w:rFonts w:ascii="宋体" w:hAnsi="宋体"/>
          <w:bCs/>
          <w:color w:val="auto"/>
          <w:sz w:val="28"/>
          <w:szCs w:val="28"/>
          <w:highlight w:val="none"/>
        </w:rPr>
      </w:pPr>
      <w:r>
        <w:rPr>
          <w:rFonts w:hint="eastAsia" w:ascii="宋体" w:hAnsi="宋体"/>
          <w:bCs/>
          <w:color w:val="auto"/>
          <w:sz w:val="28"/>
          <w:szCs w:val="28"/>
          <w:highlight w:val="none"/>
        </w:rPr>
        <w:t>台州市产权交易所有限公司</w:t>
      </w:r>
    </w:p>
    <w:p>
      <w:pPr>
        <w:spacing w:line="600" w:lineRule="exact"/>
        <w:ind w:firstLine="560"/>
        <w:jc w:val="right"/>
        <w:rPr>
          <w:rFonts w:ascii="宋体" w:hAnsi="宋体"/>
          <w:bCs/>
          <w:color w:val="auto"/>
          <w:sz w:val="28"/>
          <w:szCs w:val="28"/>
          <w:highlight w:val="none"/>
        </w:rPr>
      </w:pPr>
      <w:r>
        <w:rPr>
          <w:rFonts w:hint="eastAsia" w:ascii="宋体" w:hAnsi="宋体"/>
          <w:bCs/>
          <w:color w:val="auto"/>
          <w:sz w:val="28"/>
          <w:szCs w:val="28"/>
          <w:highlight w:val="none"/>
        </w:rPr>
        <w:t xml:space="preserve">                                   </w:t>
      </w:r>
      <w:bookmarkStart w:id="18" w:name="待定15"/>
      <w:r>
        <w:rPr>
          <w:rFonts w:hint="eastAsia" w:ascii="宋体" w:hAnsi="宋体"/>
          <w:bCs/>
          <w:color w:val="auto"/>
          <w:sz w:val="28"/>
          <w:szCs w:val="28"/>
          <w:highlight w:val="none"/>
        </w:rPr>
        <w:t>202</w:t>
      </w:r>
      <w:r>
        <w:rPr>
          <w:rFonts w:ascii="宋体" w:hAnsi="宋体"/>
          <w:bCs/>
          <w:color w:val="auto"/>
          <w:sz w:val="28"/>
          <w:szCs w:val="28"/>
          <w:highlight w:val="none"/>
        </w:rPr>
        <w:t>2</w:t>
      </w:r>
      <w:r>
        <w:rPr>
          <w:rFonts w:hint="eastAsia" w:ascii="宋体" w:hAnsi="宋体"/>
          <w:bCs/>
          <w:color w:val="auto"/>
          <w:sz w:val="28"/>
          <w:szCs w:val="28"/>
          <w:highlight w:val="none"/>
        </w:rPr>
        <w:t>年</w:t>
      </w:r>
      <w:bookmarkEnd w:id="18"/>
      <w:bookmarkStart w:id="19" w:name="_Toc16029"/>
      <w:r>
        <w:rPr>
          <w:rFonts w:hint="eastAsia" w:ascii="宋体" w:hAnsi="宋体"/>
          <w:bCs/>
          <w:color w:val="auto"/>
          <w:sz w:val="28"/>
          <w:szCs w:val="28"/>
          <w:highlight w:val="none"/>
          <w:lang w:val="en-US" w:eastAsia="zh-CN"/>
        </w:rPr>
        <w:t>6月2日</w:t>
      </w:r>
    </w:p>
    <w:p>
      <w:pPr>
        <w:keepNext/>
        <w:keepLines/>
        <w:spacing w:before="100" w:beforeAutospacing="1" w:after="100" w:afterAutospacing="1"/>
        <w:ind w:firstLine="0" w:firstLineChars="0"/>
        <w:jc w:val="center"/>
        <w:outlineLvl w:val="0"/>
        <w:rPr>
          <w:rFonts w:hint="eastAsia" w:ascii="Calibri" w:hAnsi="Calibri"/>
          <w:b/>
          <w:bCs/>
          <w:color w:val="auto"/>
          <w:kern w:val="44"/>
          <w:sz w:val="32"/>
          <w:szCs w:val="32"/>
          <w:highlight w:val="none"/>
        </w:rPr>
      </w:pPr>
    </w:p>
    <w:p>
      <w:pPr>
        <w:pStyle w:val="12"/>
        <w:tabs>
          <w:tab w:val="left" w:pos="3000"/>
          <w:tab w:val="right" w:pos="8312"/>
        </w:tabs>
        <w:spacing w:before="0" w:after="0" w:line="592" w:lineRule="exact"/>
        <w:rPr>
          <w:rStyle w:val="24"/>
          <w:rFonts w:hint="eastAsia" w:ascii="方正小标宋简体" w:hAnsi="黑体" w:eastAsia="方正小标宋简体"/>
          <w:b w:val="0"/>
          <w:bCs w:val="0"/>
          <w:highlight w:val="none"/>
          <w:lang w:eastAsia="zh-CN"/>
        </w:rPr>
      </w:pPr>
    </w:p>
    <w:p>
      <w:pPr>
        <w:pStyle w:val="12"/>
        <w:tabs>
          <w:tab w:val="left" w:pos="3000"/>
          <w:tab w:val="right" w:pos="8312"/>
        </w:tabs>
        <w:spacing w:before="0" w:after="0" w:line="592" w:lineRule="exact"/>
        <w:rPr>
          <w:rStyle w:val="24"/>
          <w:rFonts w:hint="eastAsia" w:ascii="方正小标宋简体" w:hAnsi="黑体" w:eastAsia="方正小标宋简体"/>
          <w:b w:val="0"/>
          <w:bCs w:val="0"/>
          <w:highlight w:val="none"/>
          <w:lang w:eastAsia="zh-CN"/>
        </w:rPr>
      </w:pPr>
    </w:p>
    <w:p>
      <w:pPr>
        <w:rPr>
          <w:rFonts w:hint="eastAsia"/>
          <w:highlight w:val="none"/>
          <w:lang w:eastAsia="zh-CN"/>
        </w:rPr>
      </w:pPr>
    </w:p>
    <w:p>
      <w:pPr>
        <w:pStyle w:val="12"/>
        <w:tabs>
          <w:tab w:val="left" w:pos="3000"/>
          <w:tab w:val="right" w:pos="8312"/>
        </w:tabs>
        <w:spacing w:before="0" w:after="0" w:line="592" w:lineRule="exact"/>
        <w:rPr>
          <w:rStyle w:val="24"/>
          <w:rFonts w:hint="eastAsia" w:ascii="方正小标宋简体" w:hAnsi="黑体" w:eastAsia="方正小标宋简体"/>
          <w:b w:val="0"/>
          <w:bCs w:val="0"/>
          <w:highlight w:val="none"/>
          <w:lang w:eastAsia="zh-CN"/>
        </w:rPr>
      </w:pPr>
    </w:p>
    <w:p>
      <w:pPr>
        <w:rPr>
          <w:rStyle w:val="24"/>
          <w:rFonts w:hint="eastAsia" w:ascii="方正小标宋简体" w:hAnsi="黑体" w:eastAsia="方正小标宋简体"/>
          <w:b w:val="0"/>
          <w:bCs w:val="0"/>
          <w:highlight w:val="none"/>
          <w:lang w:eastAsia="zh-CN"/>
        </w:rPr>
      </w:pPr>
    </w:p>
    <w:p>
      <w:pPr>
        <w:pStyle w:val="2"/>
        <w:rPr>
          <w:rFonts w:hint="eastAsia"/>
          <w:lang w:eastAsia="zh-CN"/>
        </w:rPr>
      </w:pPr>
    </w:p>
    <w:p>
      <w:pPr>
        <w:pStyle w:val="12"/>
        <w:tabs>
          <w:tab w:val="left" w:pos="3000"/>
          <w:tab w:val="right" w:pos="8312"/>
        </w:tabs>
        <w:rPr>
          <w:rFonts w:ascii="仿宋_GB2312" w:hAnsi="宋体" w:eastAsia="仿宋_GB2312" w:cs="宋体"/>
          <w:sz w:val="32"/>
          <w:szCs w:val="32"/>
          <w:highlight w:val="none"/>
        </w:rPr>
      </w:pPr>
      <w:r>
        <w:rPr>
          <w:rStyle w:val="24"/>
          <w:rFonts w:hint="eastAsia" w:asciiTheme="minorEastAsia" w:hAnsiTheme="minorEastAsia" w:eastAsiaTheme="minorEastAsia" w:cstheme="minorEastAsia"/>
          <w:b/>
          <w:bCs/>
          <w:sz w:val="32"/>
          <w:highlight w:val="none"/>
          <w:lang w:eastAsia="zh-CN"/>
        </w:rPr>
        <w:t>多次报（加）价竞价规则</w:t>
      </w:r>
    </w:p>
    <w:p>
      <w:pPr>
        <w:spacing w:line="592" w:lineRule="exact"/>
        <w:ind w:firstLine="560" w:firstLineChars="200"/>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一、注意事项</w:t>
      </w:r>
    </w:p>
    <w:p>
      <w:pPr>
        <w:spacing w:line="592" w:lineRule="exact"/>
        <w:ind w:firstLine="560" w:firstLineChars="200"/>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竞买方报名及资格确认成功后，即表示已认真阅读并同意本竞价文件中提出的所有内容，报价一经提交即不可撤回，竞买方须谨慎报价。</w:t>
      </w:r>
    </w:p>
    <w:p>
      <w:pPr>
        <w:tabs>
          <w:tab w:val="left" w:pos="6795"/>
        </w:tabs>
        <w:spacing w:line="592" w:lineRule="exact"/>
        <w:ind w:firstLine="548" w:firstLineChars="196"/>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二、竞价程序</w:t>
      </w:r>
      <w:r>
        <w:rPr>
          <w:rFonts w:hint="eastAsia" w:asciiTheme="minorEastAsia" w:hAnsiTheme="minorEastAsia" w:eastAsiaTheme="minorEastAsia" w:cstheme="minorEastAsia"/>
          <w:sz w:val="28"/>
          <w:szCs w:val="28"/>
          <w:highlight w:val="none"/>
        </w:rPr>
        <w:tab/>
      </w:r>
    </w:p>
    <w:p>
      <w:pPr>
        <w:spacing w:line="592" w:lineRule="exact"/>
        <w:ind w:firstLine="560" w:firstLineChars="200"/>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1.意向竞买方在台州市公共资源交易网（https://tzztb.zjtz.gov.cn/t9/）上注册账户，登录网络竞价平台对项目进行网络报名。</w:t>
      </w:r>
    </w:p>
    <w:p>
      <w:pPr>
        <w:spacing w:line="592" w:lineRule="exact"/>
        <w:ind w:firstLine="560" w:firstLineChars="200"/>
        <w:jc w:val="left"/>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2.报名成功并收到短信后在规定时间内缴纳竞价保证金。</w:t>
      </w:r>
    </w:p>
    <w:p>
      <w:pPr>
        <w:spacing w:line="592" w:lineRule="exact"/>
        <w:ind w:firstLine="560" w:firstLineChars="200"/>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3.取得竞价资格后登录网络竞价平台，并在规定时间内予以报价。</w:t>
      </w:r>
    </w:p>
    <w:p>
      <w:pPr>
        <w:spacing w:line="592" w:lineRule="exact"/>
        <w:ind w:firstLine="560" w:firstLineChars="200"/>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三、竞价周期</w:t>
      </w:r>
    </w:p>
    <w:p>
      <w:pPr>
        <w:spacing w:line="592" w:lineRule="exact"/>
        <w:ind w:firstLine="560" w:firstLineChars="200"/>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竞价周期分自由报价（挂牌）期和限时报价期两种。</w:t>
      </w:r>
    </w:p>
    <w:p>
      <w:pPr>
        <w:spacing w:line="592" w:lineRule="exact"/>
        <w:ind w:firstLine="560" w:firstLineChars="200"/>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自由报价（挂牌）期是竞价平台中预设的一段报价时间。限时报价期是在自由报价（挂牌）期结束后的补充交易时间。各报价期时长以竞价平台规定为准。</w:t>
      </w:r>
    </w:p>
    <w:p>
      <w:pPr>
        <w:spacing w:line="592" w:lineRule="exact"/>
        <w:ind w:firstLine="560" w:firstLineChars="200"/>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四、竞价方式</w:t>
      </w:r>
    </w:p>
    <w:p>
      <w:pPr>
        <w:spacing w:line="592" w:lineRule="exact"/>
        <w:ind w:firstLine="560" w:firstLineChars="200"/>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本项目竞价方式为</w:t>
      </w:r>
      <w:r>
        <w:rPr>
          <w:rFonts w:hint="eastAsia" w:asciiTheme="minorEastAsia" w:hAnsiTheme="minorEastAsia" w:eastAsiaTheme="minorEastAsia" w:cstheme="minorEastAsia"/>
          <w:b/>
          <w:sz w:val="28"/>
          <w:szCs w:val="28"/>
          <w:highlight w:val="none"/>
        </w:rPr>
        <w:t>多次报价</w:t>
      </w:r>
      <w:r>
        <w:rPr>
          <w:rFonts w:hint="eastAsia" w:asciiTheme="minorEastAsia" w:hAnsiTheme="minorEastAsia" w:eastAsiaTheme="minorEastAsia" w:cstheme="minorEastAsia"/>
          <w:sz w:val="28"/>
          <w:szCs w:val="28"/>
          <w:highlight w:val="none"/>
        </w:rPr>
        <w:t>，以</w:t>
      </w:r>
      <w:r>
        <w:rPr>
          <w:rFonts w:hint="eastAsia" w:asciiTheme="minorEastAsia" w:hAnsiTheme="minorEastAsia" w:eastAsiaTheme="minorEastAsia" w:cstheme="minorEastAsia"/>
          <w:b/>
          <w:sz w:val="28"/>
          <w:szCs w:val="28"/>
          <w:highlight w:val="none"/>
        </w:rPr>
        <w:t>报价最高者</w:t>
      </w:r>
      <w:r>
        <w:rPr>
          <w:rFonts w:hint="eastAsia" w:asciiTheme="minorEastAsia" w:hAnsiTheme="minorEastAsia" w:eastAsiaTheme="minorEastAsia" w:cstheme="minorEastAsia"/>
          <w:sz w:val="28"/>
          <w:szCs w:val="28"/>
          <w:highlight w:val="none"/>
        </w:rPr>
        <w:t>为成交方。</w:t>
      </w:r>
    </w:p>
    <w:p>
      <w:pPr>
        <w:spacing w:line="592" w:lineRule="exact"/>
        <w:ind w:firstLine="548" w:firstLineChars="196"/>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1.多次报价是竞买方在自由报价（挂牌）期和限时报价期内进行的多轮次报价。</w:t>
      </w:r>
    </w:p>
    <w:p>
      <w:pPr>
        <w:spacing w:line="592" w:lineRule="exact"/>
        <w:ind w:firstLine="560" w:firstLineChars="200"/>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2.在限时报价期内，如无竞买方继续报价的，则竞价活动结束；如有竞买方继续报价的，则重新进入下一个限时报价期，直到无人报价为止，并按照价高者得的原则确定受让方。</w:t>
      </w:r>
    </w:p>
    <w:p>
      <w:pPr>
        <w:spacing w:line="592" w:lineRule="exact"/>
        <w:ind w:firstLine="548" w:firstLineChars="196"/>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3.网络竞价的首次报价以起始价为基础，竞买方应在规定的报价期内根据竞价平台上显示的当前价格以及报价幅度进行报价。竞买方要在自由竞价（挂牌）期内充分出价，要在限时竞价期内及时出价，以避免互联网环境可能存在的延时等不可抗因素。</w:t>
      </w:r>
    </w:p>
    <w:p>
      <w:pPr>
        <w:spacing w:line="592" w:lineRule="exact"/>
        <w:ind w:firstLine="560" w:firstLineChars="200"/>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4.竞价平台对竞买方的每次成功出价都做记录，新报价产生，原报价即时失效。报价结束时的最高有效报价为成交价，其报价者即为受让方。当设有保留价时，最高报价需等同或超过保留价的为有效报价。</w:t>
      </w:r>
    </w:p>
    <w:p>
      <w:pPr>
        <w:spacing w:line="592" w:lineRule="exact"/>
        <w:ind w:firstLine="560" w:firstLineChars="200"/>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五、优先权</w:t>
      </w:r>
    </w:p>
    <w:p>
      <w:pPr>
        <w:spacing w:line="592" w:lineRule="exact"/>
        <w:ind w:firstLine="560" w:firstLineChars="200"/>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优先权人在同等条件、同等价格、同等履行了交易文件规定的竞买义务前提下，优先享有受让标的的权利。</w:t>
      </w:r>
    </w:p>
    <w:p>
      <w:pPr>
        <w:spacing w:line="592" w:lineRule="exact"/>
        <w:ind w:firstLine="560" w:firstLineChars="200"/>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六、免责声明：</w:t>
      </w:r>
    </w:p>
    <w:p>
      <w:pPr>
        <w:spacing w:line="592" w:lineRule="exact"/>
        <w:ind w:firstLine="560" w:firstLineChars="200"/>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1.竞买方在参加网络竞价活动之前，应对竞价标的进行了全面了解，接受竞价文件的内容和要求，对其报价行为负责，且网络竞价实施后不得以不了解所竞得标的为由予以反悔。</w:t>
      </w:r>
    </w:p>
    <w:p>
      <w:pPr>
        <w:spacing w:line="592" w:lineRule="exact"/>
        <w:ind w:firstLine="560" w:firstLineChars="200"/>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2.为确保网络传输的安全，保障竞买方的利益，网络报价平台对网络资料的传输采用数据加密处理，但无法保证电子信息绝对安全。</w:t>
      </w:r>
    </w:p>
    <w:p>
      <w:pPr>
        <w:spacing w:line="592" w:lineRule="exact"/>
        <w:ind w:firstLine="560" w:firstLineChars="200"/>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3.如因网络报价服务器等设备故障、网络传输线路（电信）故障、网络竞价平台软件故障、黑客攻击等原因造成网络报价不能正常进行，台州市公共资源交易中心不承担任何责任。我单位将全力排除故障，解决问题，尽快恢复网络报价平台的正常运行，并经监管处审核批准，组织已报名竞买方重新竞价。</w:t>
      </w:r>
    </w:p>
    <w:p>
      <w:pPr>
        <w:spacing w:line="592" w:lineRule="exact"/>
        <w:ind w:firstLine="560" w:firstLineChars="200"/>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4.如因竞买方自身报价电脑设备故障、网络传输线路不畅通等原因，造成竞买方不能正常进行网络报价，我单位不承担任何责任。</w:t>
      </w:r>
    </w:p>
    <w:p>
      <w:pPr>
        <w:spacing w:line="592" w:lineRule="exact"/>
        <w:ind w:firstLine="560" w:firstLineChars="200"/>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5.如因不可抗力造成网络报价活动不能正常进行，台州市公共资源交易中心不承担任何责任。</w:t>
      </w:r>
    </w:p>
    <w:p>
      <w:pPr>
        <w:spacing w:line="592" w:lineRule="exact"/>
        <w:ind w:firstLine="560" w:firstLineChars="200"/>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6. 凡在本平台上以竞买方的账号和密码登录后进行的操作，均被视为竞买方的行为，竞买方应当对以其账号进行的所有活动和事件负法律责任。如因竞买方操作不当或操作失误而造成的任何损失，由当事人自行承担后果。</w:t>
      </w:r>
    </w:p>
    <w:p>
      <w:pPr>
        <w:spacing w:line="592" w:lineRule="exact"/>
        <w:ind w:firstLine="560" w:firstLineChars="200"/>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7. 如果发生因竞买方的报价设备的系统时间与网络报价平台服务器时间不一致的情况，所造成的损失由竞买方承担。竞买方放弃因此类情形要求本平台运营方承担任何赔偿责任。</w:t>
      </w:r>
    </w:p>
    <w:p>
      <w:pPr>
        <w:keepNext w:val="0"/>
        <w:keepLines w:val="0"/>
        <w:spacing w:before="0" w:beforeAutospacing="0" w:after="0" w:afterAutospacing="0" w:line="592" w:lineRule="exact"/>
        <w:ind w:firstLine="560" w:firstLineChars="200"/>
        <w:jc w:val="left"/>
        <w:outlineLvl w:val="9"/>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8.用户应对自身的账户安全负责,不应将其账号、密码转让或出借予他人/组织使用。如竞买方发现其账号遭他人非法使用，应立即通知交易中心负责人。因黑客行为或用户故意或者过失导致账号、密码遭他人非法使用，交易中心不承担任何责任。</w:t>
      </w:r>
    </w:p>
    <w:p>
      <w:pPr>
        <w:spacing w:line="592" w:lineRule="exact"/>
        <w:ind w:firstLine="640"/>
        <w:jc w:val="left"/>
        <w:rPr>
          <w:rFonts w:asciiTheme="minorEastAsia" w:hAnsiTheme="minorEastAsia" w:eastAsiaTheme="minorEastAsia" w:cstheme="minorEastAsia"/>
          <w:bCs/>
          <w:color w:val="auto"/>
          <w:sz w:val="28"/>
          <w:szCs w:val="28"/>
          <w:highlight w:val="none"/>
        </w:rPr>
      </w:pPr>
      <w:r>
        <w:rPr>
          <w:rFonts w:hint="eastAsia" w:asciiTheme="minorEastAsia" w:hAnsiTheme="minorEastAsia" w:eastAsiaTheme="minorEastAsia" w:cstheme="minorEastAsia"/>
          <w:sz w:val="28"/>
          <w:szCs w:val="28"/>
          <w:highlight w:val="none"/>
        </w:rPr>
        <w:t>七、本规则由台州市公共资源交易中心制定并解释。</w:t>
      </w:r>
      <w:bookmarkEnd w:id="19"/>
    </w:p>
    <w:p>
      <w:pPr>
        <w:pStyle w:val="4"/>
        <w:spacing w:before="100" w:beforeAutospacing="1" w:after="100" w:afterAutospacing="1"/>
        <w:ind w:firstLine="0" w:firstLineChars="0"/>
        <w:rPr>
          <w:rFonts w:hint="eastAsia" w:asciiTheme="minorEastAsia" w:hAnsiTheme="minorEastAsia" w:eastAsiaTheme="minorEastAsia" w:cstheme="minorEastAsia"/>
          <w:color w:val="auto"/>
          <w:sz w:val="28"/>
          <w:szCs w:val="28"/>
          <w:highlight w:val="none"/>
        </w:rPr>
      </w:pPr>
    </w:p>
    <w:p>
      <w:pPr>
        <w:spacing w:line="600" w:lineRule="exact"/>
        <w:ind w:firstLine="280" w:firstLineChars="100"/>
        <w:jc w:val="right"/>
        <w:rPr>
          <w:rFonts w:hint="eastAsia" w:asciiTheme="minorEastAsia" w:hAnsiTheme="minorEastAsia" w:eastAsiaTheme="minorEastAsia" w:cstheme="minorEastAsia"/>
          <w:bCs/>
          <w:color w:val="auto"/>
          <w:sz w:val="28"/>
          <w:szCs w:val="28"/>
          <w:highlight w:val="none"/>
        </w:rPr>
      </w:pPr>
      <w:r>
        <w:rPr>
          <w:rFonts w:hint="eastAsia" w:asciiTheme="minorEastAsia" w:hAnsiTheme="minorEastAsia" w:eastAsiaTheme="minorEastAsia" w:cstheme="minorEastAsia"/>
          <w:bCs/>
          <w:color w:val="auto"/>
          <w:sz w:val="28"/>
          <w:szCs w:val="28"/>
          <w:highlight w:val="none"/>
        </w:rPr>
        <w:t>台州市产权交易所有限公司</w:t>
      </w:r>
    </w:p>
    <w:p>
      <w:pPr>
        <w:spacing w:line="600" w:lineRule="exact"/>
        <w:ind w:firstLine="560"/>
        <w:jc w:val="right"/>
        <w:rPr>
          <w:rFonts w:ascii="宋体" w:hAnsi="宋体"/>
          <w:bCs/>
          <w:color w:val="auto"/>
          <w:sz w:val="28"/>
          <w:szCs w:val="28"/>
          <w:highlight w:val="none"/>
        </w:rPr>
      </w:pPr>
      <w:r>
        <w:rPr>
          <w:rFonts w:hint="eastAsia" w:asciiTheme="minorEastAsia" w:hAnsiTheme="minorEastAsia" w:eastAsiaTheme="minorEastAsia" w:cstheme="minorEastAsia"/>
          <w:bCs/>
          <w:color w:val="auto"/>
          <w:sz w:val="28"/>
          <w:szCs w:val="28"/>
          <w:highlight w:val="none"/>
        </w:rPr>
        <w:t xml:space="preserve">                                   2022年</w:t>
      </w:r>
      <w:r>
        <w:rPr>
          <w:rFonts w:hint="eastAsia" w:asciiTheme="minorEastAsia" w:hAnsiTheme="minorEastAsia" w:eastAsiaTheme="minorEastAsia" w:cstheme="minorEastAsia"/>
          <w:bCs/>
          <w:color w:val="auto"/>
          <w:sz w:val="28"/>
          <w:szCs w:val="28"/>
          <w:highlight w:val="none"/>
          <w:lang w:val="en-US" w:eastAsia="zh-CN"/>
        </w:rPr>
        <w:t>6月2日</w:t>
      </w:r>
    </w:p>
    <w:p>
      <w:pPr>
        <w:ind w:firstLine="720"/>
        <w:rPr>
          <w:color w:val="auto"/>
          <w:sz w:val="36"/>
          <w:highlight w:val="none"/>
        </w:rPr>
      </w:pPr>
    </w:p>
    <w:p>
      <w:pPr>
        <w:pStyle w:val="5"/>
        <w:ind w:firstLine="0" w:firstLineChars="0"/>
        <w:rPr>
          <w:color w:val="auto"/>
          <w:sz w:val="36"/>
          <w:highlight w:val="none"/>
        </w:rPr>
      </w:pPr>
    </w:p>
    <w:p>
      <w:pPr>
        <w:pStyle w:val="4"/>
        <w:spacing w:before="100" w:beforeAutospacing="1" w:after="100" w:afterAutospacing="1"/>
        <w:ind w:firstLine="0" w:firstLineChars="0"/>
        <w:rPr>
          <w:color w:val="auto"/>
          <w:sz w:val="32"/>
          <w:szCs w:val="32"/>
          <w:highlight w:val="none"/>
        </w:rPr>
      </w:pPr>
      <w:r>
        <w:rPr>
          <w:rFonts w:hint="eastAsia"/>
          <w:color w:val="auto"/>
          <w:sz w:val="32"/>
          <w:szCs w:val="32"/>
          <w:highlight w:val="none"/>
        </w:rPr>
        <w:t>竞买申请书</w:t>
      </w:r>
    </w:p>
    <w:p>
      <w:pPr>
        <w:spacing w:line="620" w:lineRule="exact"/>
        <w:ind w:firstLine="0" w:firstLineChars="0"/>
        <w:rPr>
          <w:rFonts w:ascii="宋体" w:hAnsi="宋体"/>
          <w:color w:val="auto"/>
          <w:sz w:val="28"/>
          <w:szCs w:val="28"/>
          <w:highlight w:val="none"/>
        </w:rPr>
      </w:pPr>
      <w:r>
        <w:rPr>
          <w:rFonts w:hint="eastAsia" w:ascii="宋体" w:hAnsi="宋体"/>
          <w:color w:val="auto"/>
          <w:sz w:val="28"/>
          <w:szCs w:val="28"/>
          <w:highlight w:val="none"/>
        </w:rPr>
        <w:t>台州市产权交易所有限公司：</w:t>
      </w:r>
    </w:p>
    <w:p>
      <w:pPr>
        <w:spacing w:line="620" w:lineRule="exact"/>
        <w:ind w:firstLine="560"/>
        <w:rPr>
          <w:rFonts w:ascii="宋体" w:hAnsi="宋体"/>
          <w:color w:val="auto"/>
          <w:sz w:val="28"/>
          <w:szCs w:val="28"/>
          <w:highlight w:val="none"/>
        </w:rPr>
      </w:pPr>
      <w:r>
        <w:rPr>
          <w:rFonts w:hint="eastAsia" w:ascii="宋体" w:hAnsi="宋体"/>
          <w:color w:val="auto"/>
          <w:sz w:val="28"/>
          <w:szCs w:val="28"/>
          <w:highlight w:val="none"/>
        </w:rPr>
        <w:t>经认真阅读《</w:t>
      </w:r>
      <w:r>
        <w:rPr>
          <w:rFonts w:hint="eastAsia"/>
          <w:sz w:val="28"/>
          <w:szCs w:val="28"/>
          <w:highlight w:val="none"/>
          <w:u w:val="none"/>
          <w:lang w:eastAsia="zh-CN"/>
        </w:rPr>
        <w:t>清大智创工业设计（台州）有限公司</w:t>
      </w:r>
      <w:r>
        <w:rPr>
          <w:rFonts w:hint="eastAsia" w:ascii="宋体" w:hAnsi="宋体"/>
          <w:color w:val="auto"/>
          <w:sz w:val="28"/>
          <w:szCs w:val="28"/>
          <w:highlight w:val="none"/>
          <w:lang w:val="en-US" w:eastAsia="zh-CN"/>
        </w:rPr>
        <w:t>10</w:t>
      </w:r>
      <w:r>
        <w:rPr>
          <w:rFonts w:hint="eastAsia" w:ascii="宋体" w:hAnsi="宋体"/>
          <w:color w:val="auto"/>
          <w:sz w:val="28"/>
          <w:szCs w:val="28"/>
          <w:highlight w:val="none"/>
        </w:rPr>
        <w:t>%股权转让文件》，对该转让文件无异议，对转让标的已作详细了解并对己方所作承诺负法律责任。特申请参加</w:t>
      </w:r>
      <w:r>
        <w:rPr>
          <w:rFonts w:hint="eastAsia"/>
          <w:sz w:val="28"/>
          <w:szCs w:val="28"/>
          <w:highlight w:val="none"/>
          <w:u w:val="none"/>
          <w:lang w:eastAsia="zh-CN"/>
        </w:rPr>
        <w:t>清大智创工业设计（台州）有限公司</w:t>
      </w:r>
      <w:r>
        <w:rPr>
          <w:rFonts w:hint="eastAsia" w:ascii="宋体" w:hAnsi="宋体"/>
          <w:color w:val="auto"/>
          <w:sz w:val="28"/>
          <w:szCs w:val="28"/>
          <w:highlight w:val="none"/>
          <w:lang w:val="en-US" w:eastAsia="zh-CN"/>
        </w:rPr>
        <w:t>10</w:t>
      </w:r>
      <w:r>
        <w:rPr>
          <w:rFonts w:hint="eastAsia" w:ascii="宋体" w:hAnsi="宋体"/>
          <w:color w:val="auto"/>
          <w:sz w:val="28"/>
          <w:szCs w:val="28"/>
          <w:highlight w:val="none"/>
        </w:rPr>
        <w:t>%股权转让竞买，遵守履行贵公司提出的</w:t>
      </w:r>
      <w:r>
        <w:rPr>
          <w:rFonts w:hint="eastAsia"/>
          <w:sz w:val="28"/>
          <w:szCs w:val="28"/>
          <w:highlight w:val="none"/>
          <w:u w:val="none"/>
          <w:lang w:eastAsia="zh-CN"/>
        </w:rPr>
        <w:t>清大智创工业设计（台州）有限公司</w:t>
      </w:r>
      <w:r>
        <w:rPr>
          <w:rFonts w:hint="eastAsia" w:ascii="宋体" w:hAnsi="宋体"/>
          <w:color w:val="auto"/>
          <w:sz w:val="28"/>
          <w:szCs w:val="28"/>
          <w:highlight w:val="none"/>
          <w:lang w:val="en-US" w:eastAsia="zh-CN"/>
        </w:rPr>
        <w:t>10</w:t>
      </w:r>
      <w:r>
        <w:rPr>
          <w:rFonts w:hint="eastAsia" w:ascii="宋体" w:hAnsi="宋体"/>
          <w:color w:val="auto"/>
          <w:sz w:val="28"/>
          <w:szCs w:val="28"/>
          <w:highlight w:val="none"/>
        </w:rPr>
        <w:t>%股权转及其他有关程序、事项，并保证遵守我方所承诺的要求与规定履行。</w:t>
      </w:r>
    </w:p>
    <w:p>
      <w:pPr>
        <w:spacing w:line="620" w:lineRule="exact"/>
        <w:ind w:firstLine="560"/>
        <w:rPr>
          <w:rFonts w:ascii="宋体" w:hAnsi="宋体"/>
          <w:color w:val="auto"/>
          <w:sz w:val="28"/>
          <w:szCs w:val="28"/>
          <w:highlight w:val="none"/>
        </w:rPr>
      </w:pPr>
      <w:r>
        <w:rPr>
          <w:rFonts w:hint="eastAsia" w:ascii="宋体" w:hAnsi="宋体"/>
          <w:color w:val="auto"/>
          <w:sz w:val="28"/>
          <w:szCs w:val="28"/>
          <w:highlight w:val="none"/>
        </w:rPr>
        <w:t>竞买申请人（盖章）：</w:t>
      </w:r>
    </w:p>
    <w:p>
      <w:pPr>
        <w:spacing w:line="620" w:lineRule="exact"/>
        <w:ind w:firstLine="560"/>
        <w:rPr>
          <w:rFonts w:ascii="宋体" w:hAnsi="宋体"/>
          <w:color w:val="auto"/>
          <w:sz w:val="28"/>
          <w:szCs w:val="28"/>
          <w:highlight w:val="none"/>
        </w:rPr>
      </w:pPr>
      <w:r>
        <w:rPr>
          <w:rFonts w:hint="eastAsia" w:ascii="宋体" w:hAnsi="宋体"/>
          <w:color w:val="auto"/>
          <w:sz w:val="28"/>
          <w:szCs w:val="28"/>
          <w:highlight w:val="none"/>
        </w:rPr>
        <w:t>法定代表人：                     身份证号：</w:t>
      </w:r>
    </w:p>
    <w:p>
      <w:pPr>
        <w:spacing w:line="620" w:lineRule="exact"/>
        <w:ind w:firstLine="560"/>
        <w:rPr>
          <w:rFonts w:ascii="宋体" w:hAnsi="宋体"/>
          <w:color w:val="auto"/>
          <w:sz w:val="28"/>
          <w:szCs w:val="28"/>
          <w:highlight w:val="none"/>
        </w:rPr>
      </w:pPr>
      <w:r>
        <w:rPr>
          <w:rFonts w:hint="eastAsia" w:ascii="宋体" w:hAnsi="宋体"/>
          <w:color w:val="auto"/>
          <w:sz w:val="28"/>
          <w:szCs w:val="28"/>
          <w:highlight w:val="none"/>
        </w:rPr>
        <w:t>委托代理人：                     身份证号：</w:t>
      </w:r>
    </w:p>
    <w:p>
      <w:pPr>
        <w:spacing w:line="620" w:lineRule="exact"/>
        <w:ind w:firstLine="637" w:firstLineChars="177"/>
        <w:rPr>
          <w:rFonts w:ascii="宋体" w:hAnsi="宋体"/>
          <w:color w:val="auto"/>
          <w:sz w:val="28"/>
          <w:szCs w:val="28"/>
          <w:highlight w:val="none"/>
        </w:rPr>
      </w:pPr>
      <w:r>
        <w:rPr>
          <w:rFonts w:hint="eastAsia" w:ascii="宋体" w:hAnsi="宋体"/>
          <w:color w:val="auto"/>
          <w:spacing w:val="40"/>
          <w:sz w:val="28"/>
          <w:szCs w:val="28"/>
          <w:highlight w:val="none"/>
        </w:rPr>
        <w:t>联系地址：</w:t>
      </w:r>
      <w:r>
        <w:rPr>
          <w:rFonts w:hint="eastAsia" w:ascii="宋体" w:hAnsi="宋体"/>
          <w:color w:val="auto"/>
          <w:sz w:val="28"/>
          <w:szCs w:val="28"/>
          <w:highlight w:val="none"/>
        </w:rPr>
        <w:t xml:space="preserve">                    邮政编码：</w:t>
      </w:r>
    </w:p>
    <w:p>
      <w:pPr>
        <w:spacing w:line="620" w:lineRule="exact"/>
        <w:ind w:firstLine="637" w:firstLineChars="177"/>
        <w:rPr>
          <w:rFonts w:ascii="宋体" w:hAnsi="宋体"/>
          <w:color w:val="auto"/>
          <w:sz w:val="28"/>
          <w:szCs w:val="28"/>
          <w:highlight w:val="none"/>
        </w:rPr>
      </w:pPr>
      <w:r>
        <w:rPr>
          <w:rFonts w:hint="eastAsia" w:ascii="宋体" w:hAnsi="宋体"/>
          <w:color w:val="auto"/>
          <w:spacing w:val="40"/>
          <w:sz w:val="28"/>
          <w:szCs w:val="28"/>
          <w:highlight w:val="none"/>
        </w:rPr>
        <w:t>联系电话：</w:t>
      </w:r>
      <w:r>
        <w:rPr>
          <w:rFonts w:hint="eastAsia" w:ascii="宋体" w:hAnsi="宋体"/>
          <w:color w:val="auto"/>
          <w:sz w:val="28"/>
          <w:szCs w:val="28"/>
          <w:highlight w:val="none"/>
        </w:rPr>
        <w:t xml:space="preserve">                    传    真：</w:t>
      </w:r>
      <w:r>
        <w:rPr>
          <w:rFonts w:ascii="宋体" w:hAnsi="宋体"/>
          <w:color w:val="auto"/>
          <w:sz w:val="28"/>
          <w:szCs w:val="28"/>
          <w:highlight w:val="none"/>
        </w:rPr>
        <w:br w:type="textWrapping"/>
      </w:r>
      <w:r>
        <w:rPr>
          <w:rFonts w:hint="eastAsia" w:ascii="宋体" w:hAnsi="宋体"/>
          <w:color w:val="auto"/>
          <w:sz w:val="28"/>
          <w:szCs w:val="28"/>
          <w:highlight w:val="none"/>
        </w:rPr>
        <w:t xml:space="preserve">                                                年   月   日</w:t>
      </w:r>
    </w:p>
    <w:p>
      <w:pPr>
        <w:spacing w:line="620" w:lineRule="exact"/>
        <w:ind w:firstLine="0" w:firstLineChars="0"/>
        <w:jc w:val="left"/>
        <w:rPr>
          <w:rFonts w:ascii="宋体" w:hAnsi="宋体"/>
          <w:color w:val="auto"/>
          <w:sz w:val="28"/>
          <w:szCs w:val="28"/>
          <w:highlight w:val="none"/>
        </w:rPr>
      </w:pPr>
      <w:bookmarkStart w:id="20" w:name="_Hlk25273447"/>
      <w:r>
        <w:rPr>
          <w:rFonts w:hint="eastAsia" w:ascii="宋体" w:hAnsi="宋体"/>
          <w:color w:val="auto"/>
          <w:sz w:val="28"/>
          <w:szCs w:val="28"/>
          <w:highlight w:val="none"/>
        </w:rPr>
        <w:t>附件：</w:t>
      </w:r>
    </w:p>
    <w:p>
      <w:pPr>
        <w:spacing w:line="620" w:lineRule="exact"/>
        <w:ind w:firstLine="560"/>
        <w:rPr>
          <w:rFonts w:ascii="宋体" w:hAnsi="宋体"/>
          <w:color w:val="auto"/>
          <w:sz w:val="28"/>
          <w:szCs w:val="28"/>
          <w:highlight w:val="none"/>
        </w:rPr>
      </w:pPr>
      <w:r>
        <w:rPr>
          <w:rFonts w:hint="eastAsia" w:ascii="宋体" w:hAnsi="宋体"/>
          <w:color w:val="auto"/>
          <w:sz w:val="28"/>
          <w:szCs w:val="28"/>
          <w:highlight w:val="none"/>
        </w:rPr>
        <w:t>□企业（公司）法人主体资格证明文件，包含企业法人营业执照副本的复印件，法定代表人及授权委托人的身份证明及授权委托书。</w:t>
      </w:r>
      <w:r>
        <w:rPr>
          <w:rFonts w:hint="eastAsia" w:ascii="宋体" w:hAnsi="宋体"/>
          <w:bCs/>
          <w:color w:val="auto"/>
          <w:sz w:val="28"/>
          <w:szCs w:val="28"/>
          <w:highlight w:val="none"/>
        </w:rPr>
        <w:t>自然人须持本人身份证明及相关资料。</w:t>
      </w:r>
    </w:p>
    <w:p>
      <w:pPr>
        <w:spacing w:line="620" w:lineRule="exact"/>
        <w:ind w:firstLine="560"/>
        <w:rPr>
          <w:rFonts w:ascii="宋体" w:hAnsi="宋体"/>
          <w:color w:val="auto"/>
          <w:sz w:val="28"/>
          <w:szCs w:val="28"/>
          <w:highlight w:val="none"/>
        </w:rPr>
      </w:pPr>
      <w:r>
        <w:rPr>
          <w:rFonts w:hint="eastAsia" w:ascii="宋体" w:hAnsi="宋体"/>
          <w:color w:val="auto"/>
          <w:sz w:val="28"/>
          <w:szCs w:val="28"/>
          <w:highlight w:val="none"/>
        </w:rPr>
        <w:t>□符合受让条件的有关证明及资料。</w:t>
      </w:r>
    </w:p>
    <w:p>
      <w:pPr>
        <w:spacing w:line="620" w:lineRule="exact"/>
        <w:ind w:firstLine="560"/>
        <w:rPr>
          <w:rFonts w:hint="eastAsia" w:ascii="宋体" w:hAnsi="宋体"/>
          <w:color w:val="auto"/>
          <w:sz w:val="28"/>
          <w:szCs w:val="28"/>
          <w:highlight w:val="none"/>
        </w:rPr>
      </w:pPr>
      <w:r>
        <w:rPr>
          <w:rFonts w:hint="eastAsia" w:ascii="宋体" w:hAnsi="宋体"/>
          <w:color w:val="auto"/>
          <w:sz w:val="28"/>
          <w:szCs w:val="28"/>
          <w:highlight w:val="none"/>
        </w:rPr>
        <w:t>□</w:t>
      </w:r>
      <w:bookmarkStart w:id="21" w:name="待定17"/>
      <w:r>
        <w:rPr>
          <w:rFonts w:hint="eastAsia" w:ascii="宋体" w:hAnsi="宋体"/>
          <w:color w:val="auto"/>
          <w:sz w:val="28"/>
          <w:szCs w:val="28"/>
          <w:highlight w:val="none"/>
        </w:rPr>
        <w:t>竞买保证金</w:t>
      </w:r>
      <w:r>
        <w:rPr>
          <w:rFonts w:hint="eastAsia" w:ascii="宋体" w:hAnsi="宋体"/>
          <w:color w:val="auto"/>
          <w:sz w:val="28"/>
          <w:szCs w:val="28"/>
          <w:highlight w:val="none"/>
          <w:lang w:val="en-US" w:eastAsia="zh-CN"/>
        </w:rPr>
        <w:t>2万</w:t>
      </w:r>
      <w:r>
        <w:rPr>
          <w:rFonts w:hint="eastAsia" w:ascii="宋体" w:hAnsi="宋体"/>
          <w:color w:val="auto"/>
          <w:sz w:val="28"/>
          <w:szCs w:val="28"/>
          <w:highlight w:val="none"/>
        </w:rPr>
        <w:t>元人民币（汇单）</w:t>
      </w:r>
      <w:bookmarkEnd w:id="21"/>
      <w:r>
        <w:rPr>
          <w:rFonts w:hint="eastAsia" w:ascii="宋体" w:hAnsi="宋体"/>
          <w:color w:val="auto"/>
          <w:sz w:val="28"/>
          <w:szCs w:val="28"/>
          <w:highlight w:val="none"/>
        </w:rPr>
        <w:t>。</w:t>
      </w:r>
    </w:p>
    <w:p>
      <w:pPr>
        <w:spacing w:line="620" w:lineRule="exact"/>
        <w:ind w:firstLine="560"/>
        <w:rPr>
          <w:rFonts w:ascii="宋体" w:hAnsi="宋体"/>
          <w:color w:val="auto"/>
          <w:sz w:val="28"/>
          <w:szCs w:val="28"/>
          <w:highlight w:val="none"/>
        </w:rPr>
      </w:pPr>
      <w:r>
        <w:rPr>
          <w:rFonts w:hint="eastAsia" w:ascii="宋体" w:hAnsi="宋体"/>
          <w:color w:val="auto"/>
          <w:sz w:val="28"/>
          <w:szCs w:val="28"/>
          <w:highlight w:val="none"/>
        </w:rPr>
        <w:t>备注：以上附件如非原件为复印件的应加盖公章或签名。</w:t>
      </w:r>
    </w:p>
    <w:bookmarkEnd w:id="20"/>
    <w:p>
      <w:pPr>
        <w:pStyle w:val="4"/>
        <w:spacing w:before="100" w:beforeAutospacing="1" w:after="100" w:afterAutospacing="1"/>
        <w:ind w:firstLine="0" w:firstLineChars="0"/>
        <w:rPr>
          <w:color w:val="auto"/>
          <w:sz w:val="36"/>
          <w:highlight w:val="none"/>
        </w:rPr>
      </w:pPr>
      <w:bookmarkStart w:id="22" w:name="_Toc7306"/>
      <w:bookmarkStart w:id="23" w:name="_Toc528773693"/>
      <w:bookmarkStart w:id="24" w:name="_Toc30560"/>
      <w:r>
        <w:rPr>
          <w:rFonts w:hint="eastAsia"/>
          <w:color w:val="auto"/>
          <w:sz w:val="32"/>
          <w:szCs w:val="32"/>
          <w:highlight w:val="none"/>
        </w:rPr>
        <w:t>竞买人承诺函</w:t>
      </w:r>
      <w:bookmarkEnd w:id="22"/>
      <w:bookmarkEnd w:id="23"/>
      <w:bookmarkEnd w:id="24"/>
    </w:p>
    <w:p>
      <w:pPr>
        <w:ind w:firstLine="0" w:firstLineChars="0"/>
        <w:rPr>
          <w:rFonts w:ascii="宋体" w:hAnsi="宋体"/>
          <w:b/>
          <w:color w:val="auto"/>
          <w:sz w:val="28"/>
          <w:szCs w:val="28"/>
          <w:highlight w:val="none"/>
        </w:rPr>
      </w:pPr>
      <w:r>
        <w:rPr>
          <w:rFonts w:hint="eastAsia" w:ascii="宋体" w:hAnsi="宋体"/>
          <w:color w:val="auto"/>
          <w:sz w:val="28"/>
          <w:szCs w:val="28"/>
          <w:highlight w:val="none"/>
        </w:rPr>
        <w:t>台州市产权交易所有限公司：</w:t>
      </w:r>
    </w:p>
    <w:p>
      <w:pPr>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经认真阅读贵公司所提供的“</w:t>
      </w:r>
      <w:r>
        <w:rPr>
          <w:rFonts w:hint="eastAsia"/>
          <w:sz w:val="28"/>
          <w:szCs w:val="28"/>
          <w:highlight w:val="none"/>
          <w:u w:val="none"/>
          <w:lang w:eastAsia="zh-CN"/>
        </w:rPr>
        <w:t>清大智创工业设计（台州）有限公司</w:t>
      </w:r>
      <w:r>
        <w:rPr>
          <w:rFonts w:hint="eastAsia" w:ascii="宋体" w:hAnsi="宋体"/>
          <w:color w:val="auto"/>
          <w:sz w:val="28"/>
          <w:szCs w:val="28"/>
          <w:highlight w:val="none"/>
          <w:lang w:val="en-US" w:eastAsia="zh-CN"/>
        </w:rPr>
        <w:t>10</w:t>
      </w:r>
      <w:r>
        <w:rPr>
          <w:rFonts w:hint="eastAsia" w:ascii="宋体" w:hAnsi="宋体"/>
          <w:color w:val="auto"/>
          <w:sz w:val="28"/>
          <w:szCs w:val="28"/>
          <w:highlight w:val="none"/>
        </w:rPr>
        <w:t>%股权转让文件”以及贵公司提出的转让须知与网络竞价规则等，对上述文件已充分知悉且无异议，我方愿意接受转让方提出的竞价条件及“</w:t>
      </w:r>
      <w:r>
        <w:rPr>
          <w:rFonts w:hint="eastAsia"/>
          <w:sz w:val="28"/>
          <w:szCs w:val="28"/>
          <w:highlight w:val="none"/>
          <w:u w:val="none"/>
          <w:lang w:eastAsia="zh-CN"/>
        </w:rPr>
        <w:t>清大智创工业设计（台州）有限公司</w:t>
      </w:r>
      <w:r>
        <w:rPr>
          <w:rFonts w:hint="eastAsia" w:ascii="宋体" w:hAnsi="宋体"/>
          <w:color w:val="auto"/>
          <w:sz w:val="28"/>
          <w:szCs w:val="28"/>
          <w:highlight w:val="none"/>
          <w:lang w:val="en-US" w:eastAsia="zh-CN"/>
        </w:rPr>
        <w:t>10</w:t>
      </w:r>
      <w:r>
        <w:rPr>
          <w:rFonts w:hint="eastAsia" w:ascii="宋体" w:hAnsi="宋体"/>
          <w:color w:val="auto"/>
          <w:sz w:val="28"/>
          <w:szCs w:val="28"/>
          <w:highlight w:val="none"/>
        </w:rPr>
        <w:t>%股权转让文件”中涉及的相关事项，现我方将有关事项承诺如下：</w:t>
      </w:r>
    </w:p>
    <w:p>
      <w:pPr>
        <w:ind w:firstLine="560"/>
        <w:rPr>
          <w:rFonts w:ascii="宋体" w:hAnsi="宋体"/>
          <w:color w:val="auto"/>
          <w:sz w:val="28"/>
          <w:szCs w:val="28"/>
          <w:highlight w:val="none"/>
        </w:rPr>
      </w:pPr>
      <w:r>
        <w:rPr>
          <w:rFonts w:hint="eastAsia" w:ascii="宋体" w:hAnsi="宋体"/>
          <w:color w:val="auto"/>
          <w:sz w:val="28"/>
          <w:szCs w:val="28"/>
          <w:highlight w:val="none"/>
        </w:rPr>
        <w:t>一、我方所提交的报名资料和文件符合竞价条件的有关证明为真实、合法、有效（含有关附件），我方确保我方竞买的主体资格和所提供的所有资料均能符合审批机关、工商管理部门对（企业）公司法人的股东主体资格的要求，否则我方所交保证金由转让方没收，并承担由此造成的违约责任及相关损失。</w:t>
      </w:r>
    </w:p>
    <w:p>
      <w:pPr>
        <w:ind w:firstLine="560"/>
        <w:rPr>
          <w:rFonts w:ascii="宋体" w:hAnsi="宋体"/>
          <w:color w:val="auto"/>
          <w:sz w:val="28"/>
          <w:szCs w:val="28"/>
          <w:highlight w:val="none"/>
        </w:rPr>
      </w:pPr>
      <w:r>
        <w:rPr>
          <w:rFonts w:hint="eastAsia" w:ascii="宋体" w:hAnsi="宋体"/>
          <w:color w:val="auto"/>
          <w:sz w:val="28"/>
          <w:szCs w:val="28"/>
          <w:highlight w:val="none"/>
        </w:rPr>
        <w:t>二、我方已详实了解本次转让标的有关情况，并保证成交后所支付的资金来源合法。</w:t>
      </w:r>
    </w:p>
    <w:p>
      <w:pPr>
        <w:ind w:firstLine="560"/>
        <w:rPr>
          <w:rFonts w:ascii="宋体" w:hAnsi="宋体"/>
          <w:color w:val="auto"/>
          <w:sz w:val="28"/>
          <w:szCs w:val="28"/>
          <w:highlight w:val="none"/>
        </w:rPr>
      </w:pPr>
      <w:r>
        <w:rPr>
          <w:rFonts w:hint="eastAsia" w:ascii="宋体" w:hAnsi="宋体"/>
          <w:color w:val="auto"/>
          <w:sz w:val="28"/>
          <w:szCs w:val="28"/>
          <w:highlight w:val="none"/>
        </w:rPr>
        <w:t>三、我方已阅读并了解《股权转让合同》及“</w:t>
      </w:r>
      <w:r>
        <w:rPr>
          <w:rFonts w:hint="eastAsia"/>
          <w:sz w:val="28"/>
          <w:szCs w:val="28"/>
          <w:highlight w:val="none"/>
          <w:u w:val="none"/>
          <w:lang w:eastAsia="zh-CN"/>
        </w:rPr>
        <w:t>清大智创工业设计（台州）有限公司</w:t>
      </w:r>
      <w:r>
        <w:rPr>
          <w:rFonts w:hint="eastAsia" w:ascii="宋体" w:hAnsi="宋体"/>
          <w:color w:val="auto"/>
          <w:sz w:val="28"/>
          <w:szCs w:val="28"/>
          <w:highlight w:val="none"/>
          <w:lang w:val="en-US" w:eastAsia="zh-CN"/>
        </w:rPr>
        <w:t>10</w:t>
      </w:r>
      <w:r>
        <w:rPr>
          <w:rFonts w:hint="eastAsia" w:ascii="宋体" w:hAnsi="宋体"/>
          <w:color w:val="auto"/>
          <w:sz w:val="28"/>
          <w:szCs w:val="28"/>
          <w:highlight w:val="none"/>
        </w:rPr>
        <w:t>%股权转让文件”并不持异议，成交后按上述条款履行义务。</w:t>
      </w:r>
    </w:p>
    <w:p>
      <w:pPr>
        <w:ind w:firstLine="560"/>
        <w:rPr>
          <w:rFonts w:ascii="宋体" w:hAnsi="宋体"/>
          <w:color w:val="auto"/>
          <w:sz w:val="28"/>
          <w:szCs w:val="28"/>
          <w:highlight w:val="none"/>
        </w:rPr>
      </w:pPr>
      <w:r>
        <w:rPr>
          <w:rFonts w:hint="eastAsia" w:ascii="宋体" w:hAnsi="宋体"/>
          <w:color w:val="auto"/>
          <w:sz w:val="28"/>
          <w:szCs w:val="28"/>
          <w:highlight w:val="none"/>
        </w:rPr>
        <w:t>四、作为该项目的竞买人，我方承诺接受参与网络竞价的方式，竞得后保证</w:t>
      </w:r>
      <w:r>
        <w:rPr>
          <w:rFonts w:hint="eastAsia" w:ascii="宋体" w:hAnsi="宋体"/>
          <w:color w:val="auto"/>
          <w:sz w:val="28"/>
          <w:szCs w:val="28"/>
          <w:highlight w:val="none"/>
          <w:lang w:val="en-US" w:eastAsia="zh-CN"/>
        </w:rPr>
        <w:t>三</w:t>
      </w:r>
      <w:r>
        <w:rPr>
          <w:rFonts w:hint="eastAsia" w:ascii="宋体" w:hAnsi="宋体"/>
          <w:color w:val="auto"/>
          <w:sz w:val="28"/>
          <w:szCs w:val="28"/>
          <w:highlight w:val="none"/>
        </w:rPr>
        <w:t>个工作日内签订《股权转让合同》并履行相关义务。</w:t>
      </w:r>
    </w:p>
    <w:p>
      <w:pPr>
        <w:ind w:firstLine="560"/>
        <w:rPr>
          <w:rFonts w:ascii="宋体" w:hAnsi="宋体"/>
          <w:color w:val="auto"/>
          <w:sz w:val="28"/>
          <w:szCs w:val="28"/>
          <w:highlight w:val="none"/>
        </w:rPr>
      </w:pPr>
      <w:r>
        <w:rPr>
          <w:rFonts w:hint="eastAsia" w:ascii="宋体" w:hAnsi="宋体"/>
          <w:color w:val="auto"/>
          <w:sz w:val="28"/>
          <w:szCs w:val="28"/>
          <w:highlight w:val="none"/>
        </w:rPr>
        <w:t>五、若我方竞得，所缴纳的竞买保证金根据合同的约定可抵作成交价款的支付，交易</w:t>
      </w:r>
      <w:r>
        <w:rPr>
          <w:rFonts w:hint="eastAsia" w:ascii="宋体" w:hAnsi="宋体"/>
          <w:color w:val="auto"/>
          <w:sz w:val="28"/>
          <w:szCs w:val="28"/>
          <w:highlight w:val="none"/>
          <w:lang w:eastAsia="zh-CN"/>
        </w:rPr>
        <w:t>服务费</w:t>
      </w:r>
      <w:r>
        <w:rPr>
          <w:rFonts w:hint="eastAsia" w:ascii="宋体" w:hAnsi="宋体"/>
          <w:color w:val="auto"/>
          <w:sz w:val="28"/>
          <w:szCs w:val="28"/>
          <w:highlight w:val="none"/>
        </w:rPr>
        <w:t>按标的成交额</w:t>
      </w:r>
      <w:r>
        <w:rPr>
          <w:rFonts w:hint="eastAsia" w:ascii="宋体" w:hAnsi="宋体"/>
          <w:color w:val="auto"/>
          <w:sz w:val="28"/>
          <w:szCs w:val="28"/>
          <w:highlight w:val="none"/>
          <w:lang w:val="en-US" w:eastAsia="zh-CN"/>
        </w:rPr>
        <w:t>2</w:t>
      </w:r>
      <w:r>
        <w:rPr>
          <w:rFonts w:hint="eastAsia" w:ascii="宋体" w:hAnsi="宋体"/>
          <w:color w:val="auto"/>
          <w:sz w:val="28"/>
          <w:szCs w:val="28"/>
          <w:highlight w:val="none"/>
        </w:rPr>
        <w:t>%计算支付。</w:t>
      </w:r>
    </w:p>
    <w:p>
      <w:pPr>
        <w:ind w:firstLine="560"/>
        <w:rPr>
          <w:rFonts w:ascii="宋体" w:hAnsi="宋体"/>
          <w:color w:val="auto"/>
          <w:sz w:val="28"/>
          <w:szCs w:val="28"/>
          <w:highlight w:val="none"/>
        </w:rPr>
      </w:pPr>
      <w:r>
        <w:rPr>
          <w:rFonts w:hint="eastAsia" w:ascii="宋体" w:hAnsi="宋体"/>
          <w:color w:val="auto"/>
          <w:sz w:val="28"/>
          <w:szCs w:val="28"/>
          <w:highlight w:val="none"/>
        </w:rPr>
        <w:t>六、如因正当理由在竞价会开始前撤回转让标的的，我方愿意接受该事实，并配合贵公司办理退还保证金等手续，不再向贵公司追索保证金利息及其他任何费用与责任。</w:t>
      </w:r>
    </w:p>
    <w:p>
      <w:pPr>
        <w:ind w:firstLine="560"/>
        <w:rPr>
          <w:rFonts w:ascii="宋体" w:hAnsi="宋体"/>
          <w:color w:val="auto"/>
          <w:sz w:val="28"/>
          <w:szCs w:val="28"/>
          <w:highlight w:val="none"/>
        </w:rPr>
      </w:pPr>
      <w:r>
        <w:rPr>
          <w:rFonts w:hint="eastAsia" w:ascii="宋体" w:hAnsi="宋体"/>
          <w:color w:val="auto"/>
          <w:sz w:val="28"/>
          <w:szCs w:val="28"/>
          <w:highlight w:val="none"/>
        </w:rPr>
        <w:t>七、如在竞价该项目的过程中发生争议需提起诉讼或仲裁，除贵公司存在重大过错、故意行为之外，我方承诺不将贵公司列为相关诉讼、仲裁的被告，被申请人和第三人。</w:t>
      </w:r>
    </w:p>
    <w:p>
      <w:pPr>
        <w:ind w:right="1200" w:firstLine="560"/>
        <w:jc w:val="right"/>
        <w:rPr>
          <w:rFonts w:ascii="宋体" w:hAnsi="宋体"/>
          <w:color w:val="auto"/>
          <w:sz w:val="28"/>
          <w:szCs w:val="28"/>
          <w:highlight w:val="none"/>
        </w:rPr>
      </w:pPr>
    </w:p>
    <w:p>
      <w:pPr>
        <w:ind w:right="1200" w:firstLine="560"/>
        <w:jc w:val="right"/>
        <w:rPr>
          <w:rFonts w:ascii="宋体" w:hAnsi="宋体"/>
          <w:color w:val="auto"/>
          <w:sz w:val="28"/>
          <w:szCs w:val="28"/>
          <w:highlight w:val="none"/>
        </w:rPr>
      </w:pPr>
    </w:p>
    <w:p>
      <w:pPr>
        <w:ind w:right="1200" w:firstLine="560"/>
        <w:jc w:val="right"/>
        <w:rPr>
          <w:rFonts w:ascii="宋体" w:hAnsi="宋体"/>
          <w:color w:val="auto"/>
          <w:sz w:val="28"/>
          <w:szCs w:val="28"/>
          <w:highlight w:val="none"/>
        </w:rPr>
      </w:pPr>
      <w:r>
        <w:rPr>
          <w:rFonts w:hint="eastAsia" w:ascii="宋体" w:hAnsi="宋体"/>
          <w:color w:val="auto"/>
          <w:sz w:val="28"/>
          <w:szCs w:val="28"/>
          <w:highlight w:val="none"/>
        </w:rPr>
        <w:t>承诺人（签章）</w:t>
      </w:r>
    </w:p>
    <w:p>
      <w:pPr>
        <w:ind w:firstLine="560"/>
        <w:jc w:val="right"/>
        <w:rPr>
          <w:rFonts w:ascii="宋体" w:hAnsi="宋体"/>
          <w:color w:val="auto"/>
          <w:sz w:val="28"/>
          <w:szCs w:val="28"/>
          <w:highlight w:val="none"/>
        </w:rPr>
      </w:pPr>
      <w:r>
        <w:rPr>
          <w:rFonts w:hint="eastAsia" w:ascii="宋体" w:hAnsi="宋体"/>
          <w:color w:val="auto"/>
          <w:sz w:val="28"/>
          <w:szCs w:val="28"/>
          <w:highlight w:val="none"/>
        </w:rPr>
        <w:t>二○二</w:t>
      </w:r>
      <w:r>
        <w:rPr>
          <w:rFonts w:hint="eastAsia" w:ascii="宋体" w:hAnsi="宋体"/>
          <w:color w:val="auto"/>
          <w:sz w:val="28"/>
          <w:szCs w:val="28"/>
          <w:highlight w:val="none"/>
          <w:lang w:val="en-US" w:eastAsia="zh-CN"/>
        </w:rPr>
        <w:t>二</w:t>
      </w:r>
      <w:r>
        <w:rPr>
          <w:rFonts w:hint="eastAsia" w:ascii="宋体" w:hAnsi="宋体"/>
          <w:color w:val="auto"/>
          <w:sz w:val="28"/>
          <w:szCs w:val="28"/>
          <w:highlight w:val="none"/>
        </w:rPr>
        <w:t>年    月    日</w:t>
      </w:r>
    </w:p>
    <w:p>
      <w:pPr>
        <w:tabs>
          <w:tab w:val="left" w:pos="5210"/>
        </w:tabs>
        <w:spacing w:line="360" w:lineRule="auto"/>
        <w:ind w:firstLine="560"/>
        <w:rPr>
          <w:rFonts w:ascii="宋体" w:hAnsi="宋体"/>
          <w:b/>
          <w:color w:val="auto"/>
          <w:sz w:val="48"/>
          <w:szCs w:val="48"/>
          <w:highlight w:val="none"/>
        </w:rPr>
      </w:pPr>
      <w:r>
        <w:rPr>
          <w:rFonts w:hint="eastAsia" w:ascii="宋体" w:hAnsi="宋体"/>
          <w:b/>
          <w:color w:val="auto"/>
          <w:sz w:val="48"/>
          <w:szCs w:val="48"/>
          <w:highlight w:val="none"/>
        </w:rPr>
        <w:br w:type="page"/>
      </w:r>
    </w:p>
    <w:p>
      <w:pPr>
        <w:spacing w:line="360" w:lineRule="auto"/>
        <w:ind w:right="-395" w:rightChars="-188" w:firstLine="0" w:firstLineChars="0"/>
        <w:jc w:val="center"/>
        <w:rPr>
          <w:rFonts w:ascii="宋体" w:hAnsi="宋体"/>
          <w:b/>
          <w:color w:val="auto"/>
          <w:sz w:val="48"/>
          <w:szCs w:val="48"/>
          <w:highlight w:val="none"/>
        </w:rPr>
      </w:pPr>
    </w:p>
    <w:p>
      <w:pPr>
        <w:spacing w:line="360" w:lineRule="auto"/>
        <w:ind w:right="-395" w:rightChars="-188" w:firstLine="0" w:firstLineChars="0"/>
        <w:jc w:val="center"/>
        <w:rPr>
          <w:rFonts w:ascii="宋体" w:hAnsi="宋体"/>
          <w:b/>
          <w:color w:val="auto"/>
          <w:sz w:val="48"/>
          <w:szCs w:val="48"/>
          <w:highlight w:val="none"/>
        </w:rPr>
      </w:pPr>
    </w:p>
    <w:p>
      <w:pPr>
        <w:spacing w:line="360" w:lineRule="auto"/>
        <w:ind w:right="-395" w:rightChars="-188" w:firstLine="0" w:firstLineChars="0"/>
        <w:jc w:val="center"/>
        <w:rPr>
          <w:rFonts w:ascii="宋体" w:hAnsi="宋体"/>
          <w:b/>
          <w:color w:val="auto"/>
          <w:sz w:val="48"/>
          <w:szCs w:val="48"/>
          <w:highlight w:val="none"/>
        </w:rPr>
      </w:pPr>
    </w:p>
    <w:p>
      <w:pPr>
        <w:spacing w:line="360" w:lineRule="auto"/>
        <w:ind w:right="-395" w:rightChars="-188" w:firstLine="0" w:firstLineChars="0"/>
        <w:jc w:val="center"/>
        <w:rPr>
          <w:rFonts w:ascii="宋体" w:hAnsi="宋体"/>
          <w:b/>
          <w:color w:val="auto"/>
          <w:sz w:val="48"/>
          <w:szCs w:val="48"/>
          <w:highlight w:val="none"/>
        </w:rPr>
      </w:pPr>
    </w:p>
    <w:p>
      <w:pPr>
        <w:spacing w:line="60" w:lineRule="auto"/>
        <w:ind w:firstLine="0" w:firstLineChars="0"/>
        <w:jc w:val="center"/>
        <w:rPr>
          <w:rFonts w:ascii="宋体" w:hAnsi="宋体"/>
          <w:b/>
          <w:color w:val="auto"/>
          <w:sz w:val="44"/>
          <w:szCs w:val="44"/>
          <w:highlight w:val="none"/>
        </w:rPr>
      </w:pPr>
      <w:r>
        <w:rPr>
          <w:rFonts w:hint="eastAsia" w:ascii="宋体" w:hAnsi="宋体"/>
          <w:b/>
          <w:color w:val="auto"/>
          <w:sz w:val="44"/>
          <w:szCs w:val="44"/>
          <w:highlight w:val="none"/>
          <w:lang w:val="en-US" w:eastAsia="zh-CN"/>
        </w:rPr>
        <w:t>清大智创工业设计（台州）有限公司10</w:t>
      </w:r>
      <w:r>
        <w:rPr>
          <w:rFonts w:hint="eastAsia" w:ascii="宋体" w:hAnsi="宋体"/>
          <w:b/>
          <w:color w:val="auto"/>
          <w:sz w:val="44"/>
          <w:szCs w:val="44"/>
          <w:highlight w:val="none"/>
        </w:rPr>
        <w:t>%股权</w:t>
      </w:r>
    </w:p>
    <w:p>
      <w:pPr>
        <w:spacing w:line="360" w:lineRule="auto"/>
        <w:ind w:firstLine="723"/>
        <w:jc w:val="center"/>
        <w:rPr>
          <w:rFonts w:ascii="宋体" w:hAnsi="宋体"/>
          <w:b/>
          <w:color w:val="auto"/>
          <w:sz w:val="36"/>
          <w:szCs w:val="36"/>
          <w:highlight w:val="none"/>
        </w:rPr>
      </w:pPr>
    </w:p>
    <w:p>
      <w:pPr>
        <w:pStyle w:val="4"/>
        <w:spacing w:before="100" w:beforeAutospacing="1" w:after="100" w:afterAutospacing="1"/>
        <w:ind w:firstLine="0" w:firstLineChars="0"/>
        <w:rPr>
          <w:rFonts w:ascii="宋体" w:hAnsi="宋体"/>
          <w:color w:val="auto"/>
          <w:kern w:val="2"/>
          <w:sz w:val="48"/>
          <w:szCs w:val="48"/>
          <w:highlight w:val="none"/>
        </w:rPr>
      </w:pPr>
      <w:bookmarkStart w:id="25" w:name="_Toc528773695"/>
      <w:bookmarkStart w:id="26" w:name="_Toc6735"/>
      <w:bookmarkStart w:id="27" w:name="_Toc10080"/>
      <w:r>
        <w:rPr>
          <w:rFonts w:hint="eastAsia" w:ascii="宋体" w:hAnsi="宋体"/>
          <w:color w:val="auto"/>
          <w:kern w:val="2"/>
          <w:sz w:val="48"/>
          <w:szCs w:val="48"/>
          <w:highlight w:val="none"/>
        </w:rPr>
        <w:t>转让合同</w:t>
      </w:r>
      <w:bookmarkEnd w:id="25"/>
      <w:bookmarkEnd w:id="26"/>
      <w:bookmarkEnd w:id="27"/>
    </w:p>
    <w:p>
      <w:pPr>
        <w:spacing w:line="360" w:lineRule="auto"/>
        <w:ind w:firstLine="0" w:firstLineChars="0"/>
        <w:jc w:val="center"/>
        <w:rPr>
          <w:rFonts w:ascii="宋体" w:hAnsi="宋体"/>
          <w:b/>
          <w:color w:val="auto"/>
          <w:sz w:val="70"/>
          <w:szCs w:val="70"/>
          <w:highlight w:val="none"/>
        </w:rPr>
      </w:pPr>
    </w:p>
    <w:p>
      <w:pPr>
        <w:spacing w:line="360" w:lineRule="auto"/>
        <w:ind w:firstLine="0" w:firstLineChars="0"/>
        <w:jc w:val="center"/>
        <w:rPr>
          <w:rFonts w:ascii="宋体" w:hAnsi="宋体"/>
          <w:b/>
          <w:color w:val="auto"/>
          <w:sz w:val="56"/>
          <w:szCs w:val="56"/>
          <w:highlight w:val="none"/>
        </w:rPr>
      </w:pPr>
      <w:r>
        <w:rPr>
          <w:rFonts w:hint="eastAsia" w:ascii="宋体" w:hAnsi="宋体"/>
          <w:b/>
          <w:color w:val="auto"/>
          <w:sz w:val="56"/>
          <w:szCs w:val="56"/>
          <w:highlight w:val="none"/>
        </w:rPr>
        <w:t>（样稿）</w:t>
      </w:r>
    </w:p>
    <w:p>
      <w:pPr>
        <w:spacing w:line="360" w:lineRule="auto"/>
        <w:ind w:firstLine="720"/>
        <w:rPr>
          <w:rFonts w:ascii="宋体" w:hAnsi="宋体"/>
          <w:color w:val="auto"/>
          <w:sz w:val="36"/>
          <w:szCs w:val="36"/>
          <w:highlight w:val="none"/>
        </w:rPr>
      </w:pPr>
    </w:p>
    <w:p>
      <w:pPr>
        <w:ind w:firstLine="560"/>
        <w:rPr>
          <w:rFonts w:ascii="宋体" w:hAnsi="宋体"/>
          <w:color w:val="auto"/>
          <w:sz w:val="28"/>
          <w:szCs w:val="28"/>
          <w:highlight w:val="none"/>
        </w:rPr>
      </w:pPr>
    </w:p>
    <w:p>
      <w:pPr>
        <w:ind w:firstLine="560"/>
        <w:rPr>
          <w:rFonts w:ascii="宋体" w:hAnsi="宋体"/>
          <w:color w:val="auto"/>
          <w:sz w:val="28"/>
          <w:szCs w:val="28"/>
          <w:highlight w:val="none"/>
        </w:rPr>
      </w:pPr>
    </w:p>
    <w:p>
      <w:pPr>
        <w:ind w:firstLine="560"/>
        <w:rPr>
          <w:rFonts w:ascii="宋体" w:hAnsi="宋体"/>
          <w:color w:val="auto"/>
          <w:sz w:val="28"/>
          <w:szCs w:val="28"/>
          <w:highlight w:val="none"/>
        </w:rPr>
      </w:pPr>
    </w:p>
    <w:p>
      <w:pPr>
        <w:ind w:firstLine="560"/>
        <w:rPr>
          <w:rFonts w:ascii="宋体" w:hAnsi="宋体"/>
          <w:color w:val="auto"/>
          <w:sz w:val="28"/>
          <w:szCs w:val="28"/>
          <w:highlight w:val="none"/>
        </w:rPr>
      </w:pPr>
    </w:p>
    <w:p>
      <w:pPr>
        <w:ind w:firstLine="560"/>
        <w:rPr>
          <w:rFonts w:ascii="宋体" w:hAnsi="宋体"/>
          <w:color w:val="auto"/>
          <w:sz w:val="28"/>
          <w:szCs w:val="28"/>
          <w:highlight w:val="none"/>
        </w:rPr>
      </w:pPr>
    </w:p>
    <w:p>
      <w:pPr>
        <w:ind w:firstLine="560"/>
        <w:rPr>
          <w:rFonts w:ascii="宋体" w:hAnsi="宋体"/>
          <w:color w:val="auto"/>
          <w:sz w:val="28"/>
          <w:szCs w:val="28"/>
          <w:highlight w:val="none"/>
        </w:rPr>
      </w:pPr>
    </w:p>
    <w:p>
      <w:pPr>
        <w:ind w:firstLine="560"/>
        <w:rPr>
          <w:rFonts w:ascii="宋体" w:hAnsi="宋体"/>
          <w:color w:val="auto"/>
          <w:sz w:val="28"/>
          <w:szCs w:val="28"/>
          <w:highlight w:val="none"/>
        </w:rPr>
      </w:pPr>
    </w:p>
    <w:p>
      <w:pPr>
        <w:ind w:firstLine="560"/>
        <w:rPr>
          <w:rFonts w:ascii="宋体" w:hAnsi="宋体"/>
          <w:color w:val="auto"/>
          <w:sz w:val="28"/>
          <w:szCs w:val="28"/>
          <w:highlight w:val="none"/>
        </w:rPr>
      </w:pPr>
    </w:p>
    <w:p>
      <w:pPr>
        <w:ind w:firstLine="0" w:firstLineChars="0"/>
        <w:jc w:val="center"/>
        <w:rPr>
          <w:rFonts w:ascii="宋体" w:hAnsi="宋体"/>
          <w:b/>
          <w:color w:val="auto"/>
          <w:sz w:val="28"/>
          <w:szCs w:val="28"/>
          <w:highlight w:val="none"/>
        </w:rPr>
      </w:pPr>
      <w:r>
        <w:rPr>
          <w:rFonts w:hint="eastAsia" w:ascii="宋体" w:hAnsi="宋体"/>
          <w:color w:val="auto"/>
          <w:sz w:val="28"/>
          <w:szCs w:val="28"/>
          <w:highlight w:val="none"/>
        </w:rPr>
        <w:t>台州市产权交易所有限公司   编制</w:t>
      </w:r>
    </w:p>
    <w:p>
      <w:pPr>
        <w:ind w:firstLine="562"/>
        <w:rPr>
          <w:b/>
          <w:color w:val="auto"/>
          <w:sz w:val="28"/>
          <w:szCs w:val="28"/>
          <w:highlight w:val="none"/>
        </w:rPr>
      </w:pPr>
      <w:r>
        <w:rPr>
          <w:b/>
          <w:color w:val="auto"/>
          <w:sz w:val="28"/>
          <w:szCs w:val="28"/>
          <w:highlight w:val="none"/>
        </w:rPr>
        <w:br w:type="page"/>
      </w:r>
    </w:p>
    <w:p>
      <w:pPr>
        <w:pStyle w:val="7"/>
        <w:adjustRightInd w:val="0"/>
        <w:snapToGrid w:val="0"/>
        <w:spacing w:line="360" w:lineRule="auto"/>
        <w:jc w:val="center"/>
        <w:rPr>
          <w:b/>
          <w:color w:val="auto"/>
          <w:sz w:val="32"/>
          <w:szCs w:val="32"/>
          <w:highlight w:val="none"/>
        </w:rPr>
      </w:pPr>
      <w:r>
        <w:rPr>
          <w:rFonts w:hint="eastAsia"/>
          <w:b/>
          <w:color w:val="auto"/>
          <w:sz w:val="32"/>
          <w:szCs w:val="32"/>
          <w:highlight w:val="none"/>
        </w:rPr>
        <w:t>本合同的当事人</w:t>
      </w:r>
    </w:p>
    <w:p>
      <w:pPr>
        <w:adjustRightInd w:val="0"/>
        <w:snapToGrid w:val="0"/>
        <w:spacing w:line="360" w:lineRule="auto"/>
        <w:ind w:firstLine="560"/>
        <w:rPr>
          <w:rFonts w:ascii="宋体" w:hAnsi="宋体"/>
          <w:color w:val="auto"/>
          <w:sz w:val="28"/>
          <w:szCs w:val="28"/>
          <w:highlight w:val="none"/>
        </w:rPr>
      </w:pPr>
    </w:p>
    <w:p>
      <w:pPr>
        <w:adjustRightInd w:val="0"/>
        <w:snapToGrid w:val="0"/>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出让人（以下简称甲方）：</w:t>
      </w:r>
      <w:r>
        <w:rPr>
          <w:rFonts w:hint="eastAsia" w:ascii="宋体" w:hAnsi="宋体"/>
          <w:color w:val="000000"/>
          <w:sz w:val="24"/>
          <w:szCs w:val="24"/>
          <w:highlight w:val="none"/>
          <w:lang w:eastAsia="zh-CN"/>
        </w:rPr>
        <w:t>台州浙华科技开发有限公司</w:t>
      </w:r>
    </w:p>
    <w:p>
      <w:pPr>
        <w:adjustRightInd w:val="0"/>
        <w:snapToGrid w:val="0"/>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主体资格证号：</w:t>
      </w:r>
      <w:r>
        <w:rPr>
          <w:rFonts w:ascii="宋体" w:hAnsi="宋体"/>
          <w:color w:val="auto"/>
          <w:sz w:val="28"/>
          <w:szCs w:val="28"/>
          <w:highlight w:val="none"/>
        </w:rPr>
        <w:t>91110105101860253A</w:t>
      </w:r>
    </w:p>
    <w:p>
      <w:pPr>
        <w:adjustRightInd w:val="0"/>
        <w:snapToGrid w:val="0"/>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注册地址/住所：</w:t>
      </w:r>
      <w:r>
        <w:rPr>
          <w:rFonts w:hint="eastAsia" w:ascii="宋体" w:hAnsi="宋体" w:eastAsia="宋体" w:cs="宋体"/>
          <w:i w:val="0"/>
          <w:caps w:val="0"/>
          <w:color w:val="444444"/>
          <w:spacing w:val="0"/>
          <w:sz w:val="24"/>
          <w:szCs w:val="24"/>
          <w:highlight w:val="none"/>
          <w:shd w:val="clear" w:fill="FFFFFF"/>
        </w:rPr>
        <w:t>浙江省台州市经济开发区开发大道东段188号主楼三层311</w:t>
      </w:r>
    </w:p>
    <w:p>
      <w:pPr>
        <w:adjustRightInd w:val="0"/>
        <w:snapToGrid w:val="0"/>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经济性质：</w:t>
      </w:r>
      <w:r>
        <w:rPr>
          <w:rFonts w:hint="eastAsia" w:ascii="宋体" w:hAnsi="宋体"/>
          <w:color w:val="000000"/>
          <w:sz w:val="28"/>
          <w:szCs w:val="28"/>
          <w:highlight w:val="none"/>
          <w:lang w:eastAsia="zh-CN"/>
        </w:rPr>
        <w:t>有限责任公司</w:t>
      </w:r>
    </w:p>
    <w:p>
      <w:pPr>
        <w:adjustRightInd w:val="0"/>
        <w:snapToGrid w:val="0"/>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注册资本：</w:t>
      </w:r>
      <w:r>
        <w:rPr>
          <w:rFonts w:hint="eastAsia" w:ascii="宋体" w:hAnsi="宋体"/>
          <w:color w:val="auto"/>
          <w:sz w:val="28"/>
          <w:szCs w:val="28"/>
          <w:highlight w:val="none"/>
          <w:lang w:val="en-US" w:eastAsia="zh-CN"/>
        </w:rPr>
        <w:t>1000</w:t>
      </w:r>
      <w:r>
        <w:rPr>
          <w:rFonts w:hint="eastAsia" w:ascii="宋体" w:hAnsi="宋体"/>
          <w:color w:val="auto"/>
          <w:sz w:val="28"/>
          <w:szCs w:val="28"/>
          <w:highlight w:val="none"/>
        </w:rPr>
        <w:t>万元人民币</w:t>
      </w:r>
    </w:p>
    <w:p>
      <w:pPr>
        <w:adjustRightInd w:val="0"/>
        <w:snapToGrid w:val="0"/>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法定代表人：</w:t>
      </w:r>
      <w:r>
        <w:rPr>
          <w:rFonts w:hint="eastAsia" w:ascii="宋体" w:hAnsi="宋体"/>
          <w:color w:val="auto"/>
          <w:sz w:val="28"/>
          <w:szCs w:val="28"/>
          <w:highlight w:val="none"/>
          <w:lang w:eastAsia="zh-CN"/>
        </w:rPr>
        <w:t>冯叶成</w:t>
      </w:r>
      <w:r>
        <w:rPr>
          <w:rFonts w:hint="eastAsia" w:ascii="宋体" w:hAnsi="宋体"/>
          <w:color w:val="auto"/>
          <w:sz w:val="28"/>
          <w:szCs w:val="28"/>
          <w:highlight w:val="none"/>
        </w:rPr>
        <w:t xml:space="preserve">         职务：负责人</w:t>
      </w:r>
    </w:p>
    <w:p>
      <w:pPr>
        <w:pStyle w:val="5"/>
        <w:adjustRightInd w:val="0"/>
        <w:snapToGrid w:val="0"/>
        <w:spacing w:line="360" w:lineRule="auto"/>
        <w:ind w:firstLine="560"/>
        <w:rPr>
          <w:rFonts w:hint="eastAsia" w:ascii="宋体" w:hAnsi="宋体" w:eastAsia="宋体"/>
          <w:color w:val="auto"/>
          <w:sz w:val="28"/>
          <w:szCs w:val="28"/>
          <w:highlight w:val="none"/>
          <w:lang w:eastAsia="zh-CN"/>
        </w:rPr>
      </w:pPr>
      <w:r>
        <w:rPr>
          <w:rFonts w:hint="eastAsia" w:ascii="宋体" w:hAnsi="宋体"/>
          <w:color w:val="auto"/>
          <w:sz w:val="28"/>
          <w:szCs w:val="28"/>
          <w:highlight w:val="none"/>
        </w:rPr>
        <w:t>开户银行：</w:t>
      </w:r>
      <w:r>
        <w:rPr>
          <w:rFonts w:hint="eastAsia" w:ascii="宋体" w:hAnsi="宋体"/>
          <w:color w:val="auto"/>
          <w:sz w:val="28"/>
          <w:szCs w:val="28"/>
          <w:highlight w:val="none"/>
          <w:lang w:eastAsia="zh-CN"/>
        </w:rPr>
        <w:t>中国银行椒江支行</w:t>
      </w:r>
    </w:p>
    <w:p>
      <w:pPr>
        <w:adjustRightInd w:val="0"/>
        <w:snapToGrid w:val="0"/>
        <w:spacing w:line="360" w:lineRule="auto"/>
        <w:ind w:firstLine="560"/>
        <w:rPr>
          <w:rFonts w:hint="default" w:ascii="宋体" w:hAnsi="宋体" w:eastAsia="宋体"/>
          <w:color w:val="auto"/>
          <w:sz w:val="28"/>
          <w:szCs w:val="28"/>
          <w:highlight w:val="none"/>
          <w:lang w:val="en-US" w:eastAsia="zh-CN"/>
        </w:rPr>
      </w:pPr>
      <w:r>
        <w:rPr>
          <w:rFonts w:hint="eastAsia" w:ascii="宋体" w:hAnsi="宋体"/>
          <w:color w:val="auto"/>
          <w:sz w:val="28"/>
          <w:szCs w:val="28"/>
          <w:highlight w:val="none"/>
        </w:rPr>
        <w:t>账号：</w:t>
      </w:r>
      <w:r>
        <w:rPr>
          <w:rFonts w:hint="eastAsia" w:ascii="宋体" w:hAnsi="宋体"/>
          <w:color w:val="auto"/>
          <w:sz w:val="28"/>
          <w:szCs w:val="28"/>
          <w:highlight w:val="none"/>
          <w:lang w:val="en-US" w:eastAsia="zh-CN"/>
        </w:rPr>
        <w:t>359771925661</w:t>
      </w:r>
    </w:p>
    <w:p>
      <w:pPr>
        <w:adjustRightInd w:val="0"/>
        <w:snapToGrid w:val="0"/>
        <w:spacing w:line="360" w:lineRule="auto"/>
        <w:ind w:firstLine="560"/>
        <w:rPr>
          <w:rFonts w:hint="default" w:ascii="宋体" w:hAnsi="宋体" w:eastAsia="宋体"/>
          <w:color w:val="auto"/>
          <w:sz w:val="28"/>
          <w:szCs w:val="28"/>
          <w:highlight w:val="none"/>
          <w:lang w:val="en-US" w:eastAsia="zh-CN"/>
        </w:rPr>
      </w:pPr>
      <w:r>
        <w:rPr>
          <w:rFonts w:hint="eastAsia" w:ascii="宋体" w:hAnsi="宋体"/>
          <w:color w:val="auto"/>
          <w:sz w:val="28"/>
          <w:szCs w:val="28"/>
          <w:highlight w:val="none"/>
        </w:rPr>
        <w:t xml:space="preserve">邮编： </w:t>
      </w:r>
      <w:r>
        <w:rPr>
          <w:rFonts w:hint="eastAsia" w:ascii="宋体" w:hAnsi="宋体"/>
          <w:color w:val="auto"/>
          <w:sz w:val="28"/>
          <w:szCs w:val="28"/>
          <w:highlight w:val="none"/>
          <w:lang w:val="en-US" w:eastAsia="zh-CN"/>
        </w:rPr>
        <w:t>318000</w:t>
      </w:r>
      <w:r>
        <w:rPr>
          <w:rFonts w:hint="eastAsia" w:ascii="宋体" w:hAnsi="宋体"/>
          <w:color w:val="auto"/>
          <w:sz w:val="28"/>
          <w:szCs w:val="28"/>
          <w:highlight w:val="none"/>
        </w:rPr>
        <w:t xml:space="preserve">                电话：</w:t>
      </w:r>
      <w:r>
        <w:rPr>
          <w:rFonts w:hint="eastAsia" w:ascii="宋体" w:hAnsi="宋体"/>
          <w:color w:val="auto"/>
          <w:sz w:val="28"/>
          <w:szCs w:val="28"/>
          <w:highlight w:val="none"/>
          <w:lang w:val="en-US" w:eastAsia="zh-CN"/>
        </w:rPr>
        <w:t>0576-88300346</w:t>
      </w:r>
    </w:p>
    <w:p>
      <w:pPr>
        <w:adjustRightInd w:val="0"/>
        <w:snapToGrid w:val="0"/>
        <w:spacing w:line="360" w:lineRule="auto"/>
        <w:ind w:firstLine="560"/>
        <w:rPr>
          <w:rFonts w:ascii="宋体" w:hAnsi="宋体"/>
          <w:color w:val="auto"/>
          <w:sz w:val="28"/>
          <w:szCs w:val="28"/>
          <w:highlight w:val="none"/>
        </w:rPr>
      </w:pPr>
    </w:p>
    <w:p>
      <w:pPr>
        <w:adjustRightInd w:val="0"/>
        <w:snapToGrid w:val="0"/>
        <w:spacing w:line="360" w:lineRule="auto"/>
        <w:ind w:firstLine="560"/>
        <w:rPr>
          <w:rFonts w:ascii="宋体" w:hAnsi="宋体"/>
          <w:color w:val="auto"/>
          <w:sz w:val="28"/>
          <w:szCs w:val="28"/>
          <w:highlight w:val="none"/>
        </w:rPr>
      </w:pPr>
    </w:p>
    <w:p>
      <w:pPr>
        <w:adjustRightInd w:val="0"/>
        <w:snapToGrid w:val="0"/>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 xml:space="preserve">受让人（以下简称乙方）：  </w:t>
      </w:r>
    </w:p>
    <w:p>
      <w:pPr>
        <w:adjustRightInd w:val="0"/>
        <w:snapToGrid w:val="0"/>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 xml:space="preserve">主体资格证号或身份证号：  </w:t>
      </w:r>
    </w:p>
    <w:p>
      <w:pPr>
        <w:adjustRightInd w:val="0"/>
        <w:snapToGrid w:val="0"/>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 xml:space="preserve">注册地址/住所：  </w:t>
      </w:r>
    </w:p>
    <w:p>
      <w:pPr>
        <w:tabs>
          <w:tab w:val="left" w:pos="4640"/>
        </w:tabs>
        <w:adjustRightInd w:val="0"/>
        <w:snapToGrid w:val="0"/>
        <w:spacing w:line="360" w:lineRule="auto"/>
        <w:ind w:left="6257" w:leftChars="266" w:hanging="5698" w:hangingChars="2035"/>
        <w:rPr>
          <w:rFonts w:ascii="宋体" w:hAnsi="宋体"/>
          <w:color w:val="auto"/>
          <w:sz w:val="28"/>
          <w:szCs w:val="28"/>
          <w:highlight w:val="none"/>
        </w:rPr>
      </w:pPr>
      <w:r>
        <w:rPr>
          <w:rFonts w:hint="eastAsia" w:ascii="宋体" w:hAnsi="宋体"/>
          <w:color w:val="auto"/>
          <w:sz w:val="28"/>
          <w:szCs w:val="28"/>
          <w:highlight w:val="none"/>
        </w:rPr>
        <w:t xml:space="preserve">经济性质：                          注册资本：  </w:t>
      </w:r>
    </w:p>
    <w:p>
      <w:pPr>
        <w:tabs>
          <w:tab w:val="left" w:pos="6705"/>
        </w:tabs>
        <w:adjustRightInd w:val="0"/>
        <w:snapToGrid w:val="0"/>
        <w:spacing w:line="360" w:lineRule="auto"/>
        <w:ind w:left="6257" w:leftChars="266" w:hanging="5698" w:hangingChars="2035"/>
        <w:rPr>
          <w:rFonts w:ascii="宋体" w:hAnsi="宋体"/>
          <w:color w:val="auto"/>
          <w:sz w:val="28"/>
          <w:szCs w:val="28"/>
          <w:highlight w:val="none"/>
        </w:rPr>
      </w:pPr>
      <w:r>
        <w:rPr>
          <w:rFonts w:hint="eastAsia" w:ascii="宋体" w:hAnsi="宋体"/>
          <w:color w:val="auto"/>
          <w:sz w:val="28"/>
          <w:szCs w:val="28"/>
          <w:highlight w:val="none"/>
        </w:rPr>
        <w:t xml:space="preserve">法定代表人：                        职务：  </w:t>
      </w:r>
    </w:p>
    <w:p>
      <w:pPr>
        <w:tabs>
          <w:tab w:val="left" w:pos="4320"/>
          <w:tab w:val="left" w:pos="4680"/>
          <w:tab w:val="left" w:pos="5220"/>
          <w:tab w:val="left" w:pos="6900"/>
          <w:tab w:val="left" w:pos="8190"/>
        </w:tabs>
        <w:adjustRightInd w:val="0"/>
        <w:snapToGrid w:val="0"/>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开户银行：                          帐号：</w:t>
      </w:r>
    </w:p>
    <w:p>
      <w:pPr>
        <w:tabs>
          <w:tab w:val="left" w:pos="5040"/>
        </w:tabs>
        <w:adjustRightInd w:val="0"/>
        <w:snapToGrid w:val="0"/>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 xml:space="preserve">邮编：                              电话：  </w:t>
      </w:r>
    </w:p>
    <w:p>
      <w:pPr>
        <w:tabs>
          <w:tab w:val="left" w:pos="5040"/>
        </w:tabs>
        <w:spacing w:line="360" w:lineRule="auto"/>
        <w:ind w:firstLine="560"/>
        <w:rPr>
          <w:rFonts w:ascii="宋体" w:hAnsi="宋体"/>
          <w:color w:val="auto"/>
          <w:sz w:val="28"/>
          <w:szCs w:val="28"/>
          <w:highlight w:val="none"/>
        </w:rPr>
      </w:pPr>
    </w:p>
    <w:p>
      <w:pPr>
        <w:tabs>
          <w:tab w:val="left" w:pos="5040"/>
        </w:tabs>
        <w:spacing w:line="360" w:lineRule="auto"/>
        <w:ind w:firstLine="560"/>
        <w:rPr>
          <w:rFonts w:ascii="宋体" w:hAnsi="宋体"/>
          <w:color w:val="auto"/>
          <w:sz w:val="28"/>
          <w:szCs w:val="28"/>
          <w:highlight w:val="none"/>
        </w:rPr>
      </w:pPr>
    </w:p>
    <w:p>
      <w:pPr>
        <w:tabs>
          <w:tab w:val="left" w:pos="3780"/>
        </w:tabs>
        <w:adjustRightInd w:val="0"/>
        <w:snapToGrid w:val="0"/>
        <w:spacing w:line="360" w:lineRule="auto"/>
        <w:ind w:firstLine="560"/>
        <w:jc w:val="left"/>
        <w:rPr>
          <w:rFonts w:ascii="宋体" w:hAnsi="宋体"/>
          <w:color w:val="auto"/>
          <w:sz w:val="28"/>
          <w:szCs w:val="28"/>
          <w:highlight w:val="none"/>
        </w:rPr>
      </w:pPr>
    </w:p>
    <w:p>
      <w:pPr>
        <w:tabs>
          <w:tab w:val="left" w:pos="3780"/>
        </w:tabs>
        <w:adjustRightInd w:val="0"/>
        <w:snapToGrid w:val="0"/>
        <w:spacing w:line="360" w:lineRule="auto"/>
        <w:ind w:firstLine="0" w:firstLineChars="0"/>
        <w:jc w:val="left"/>
        <w:rPr>
          <w:rFonts w:ascii="宋体" w:hAnsi="宋体"/>
          <w:color w:val="auto"/>
          <w:sz w:val="28"/>
          <w:szCs w:val="28"/>
          <w:highlight w:val="none"/>
        </w:rPr>
      </w:pPr>
    </w:p>
    <w:p>
      <w:pPr>
        <w:tabs>
          <w:tab w:val="left" w:pos="3780"/>
        </w:tabs>
        <w:adjustRightInd w:val="0"/>
        <w:snapToGrid w:val="0"/>
        <w:spacing w:line="360" w:lineRule="auto"/>
        <w:ind w:firstLine="560"/>
        <w:jc w:val="left"/>
        <w:rPr>
          <w:rFonts w:ascii="宋体" w:hAnsi="宋体"/>
          <w:b/>
          <w:color w:val="auto"/>
          <w:sz w:val="28"/>
          <w:szCs w:val="28"/>
          <w:highlight w:val="none"/>
        </w:rPr>
      </w:pPr>
      <w:r>
        <w:rPr>
          <w:rFonts w:hint="eastAsia" w:ascii="宋体" w:hAnsi="宋体"/>
          <w:color w:val="auto"/>
          <w:sz w:val="28"/>
          <w:szCs w:val="28"/>
          <w:highlight w:val="none"/>
        </w:rPr>
        <w:t>根据《中华人民共和国民法典》和《企业国有资产交易监督管理办法》以及《企业国有产权交易操作规则》等相关法律、法规、规章及有关单位批准，甲方将持有的</w:t>
      </w:r>
      <w:r>
        <w:rPr>
          <w:rFonts w:hint="eastAsia"/>
          <w:sz w:val="28"/>
          <w:szCs w:val="28"/>
          <w:highlight w:val="none"/>
          <w:u w:val="none"/>
          <w:lang w:eastAsia="zh-CN"/>
        </w:rPr>
        <w:t>清大智创工业设计（台州）有限公司</w:t>
      </w:r>
      <w:r>
        <w:rPr>
          <w:rFonts w:hint="eastAsia" w:ascii="宋体" w:hAnsi="宋体"/>
          <w:color w:val="auto"/>
          <w:sz w:val="28"/>
          <w:szCs w:val="28"/>
          <w:highlight w:val="none"/>
        </w:rPr>
        <w:t>（下称“</w:t>
      </w:r>
      <w:r>
        <w:rPr>
          <w:rFonts w:hint="eastAsia" w:ascii="宋体" w:hAnsi="宋体"/>
          <w:color w:val="auto"/>
          <w:sz w:val="28"/>
          <w:szCs w:val="28"/>
          <w:highlight w:val="none"/>
          <w:lang w:eastAsia="zh-CN"/>
        </w:rPr>
        <w:t>清大智创</w:t>
      </w:r>
      <w:r>
        <w:rPr>
          <w:rFonts w:hint="eastAsia" w:ascii="宋体" w:hAnsi="宋体"/>
          <w:color w:val="auto"/>
          <w:sz w:val="28"/>
          <w:szCs w:val="28"/>
          <w:highlight w:val="none"/>
        </w:rPr>
        <w:t>” 或</w:t>
      </w:r>
      <w:r>
        <w:rPr>
          <w:rFonts w:ascii="宋体" w:hAnsi="宋体"/>
          <w:color w:val="auto"/>
          <w:sz w:val="28"/>
          <w:szCs w:val="28"/>
          <w:highlight w:val="none"/>
        </w:rPr>
        <w:t>“标的公司”</w:t>
      </w:r>
      <w:r>
        <w:rPr>
          <w:rFonts w:hint="eastAsia" w:ascii="宋体" w:hAnsi="宋体"/>
          <w:color w:val="auto"/>
          <w:sz w:val="28"/>
          <w:szCs w:val="28"/>
          <w:highlight w:val="none"/>
        </w:rPr>
        <w:t>）</w:t>
      </w:r>
      <w:r>
        <w:rPr>
          <w:rFonts w:hint="eastAsia" w:ascii="宋体" w:hAnsi="宋体"/>
          <w:color w:val="auto"/>
          <w:sz w:val="28"/>
          <w:szCs w:val="28"/>
          <w:highlight w:val="none"/>
          <w:lang w:val="en-US" w:eastAsia="zh-CN"/>
        </w:rPr>
        <w:t>10</w:t>
      </w:r>
      <w:r>
        <w:rPr>
          <w:rFonts w:hint="eastAsia" w:ascii="宋体" w:hAnsi="宋体"/>
          <w:color w:val="auto"/>
          <w:sz w:val="28"/>
          <w:szCs w:val="28"/>
          <w:highlight w:val="none"/>
        </w:rPr>
        <w:t>%股权转让给乙方。为此，甲、乙双方遵循自愿、公平、诚实信用的原则及转让相关规定订立本合同，以致共同遵守。</w:t>
      </w:r>
    </w:p>
    <w:p>
      <w:pPr>
        <w:tabs>
          <w:tab w:val="left" w:pos="3780"/>
        </w:tabs>
        <w:adjustRightInd w:val="0"/>
        <w:snapToGrid w:val="0"/>
        <w:spacing w:line="360" w:lineRule="auto"/>
        <w:ind w:firstLine="562"/>
        <w:jc w:val="left"/>
        <w:rPr>
          <w:rFonts w:ascii="宋体" w:hAnsi="宋体"/>
          <w:b/>
          <w:color w:val="auto"/>
          <w:sz w:val="28"/>
          <w:szCs w:val="28"/>
          <w:highlight w:val="none"/>
        </w:rPr>
      </w:pPr>
      <w:r>
        <w:rPr>
          <w:rFonts w:hint="eastAsia" w:ascii="宋体" w:hAnsi="宋体"/>
          <w:b/>
          <w:color w:val="auto"/>
          <w:sz w:val="28"/>
          <w:szCs w:val="28"/>
          <w:highlight w:val="none"/>
        </w:rPr>
        <w:t>鉴于：</w:t>
      </w:r>
    </w:p>
    <w:p>
      <w:pPr>
        <w:pStyle w:val="18"/>
        <w:numPr>
          <w:ilvl w:val="0"/>
          <w:numId w:val="4"/>
        </w:numPr>
        <w:adjustRightInd w:val="0"/>
        <w:snapToGrid w:val="0"/>
        <w:spacing w:line="360" w:lineRule="auto"/>
        <w:ind w:left="0" w:firstLine="560"/>
        <w:rPr>
          <w:rFonts w:hint="eastAsia" w:ascii="宋体" w:hAnsi="宋体"/>
          <w:color w:val="auto"/>
          <w:sz w:val="28"/>
          <w:szCs w:val="28"/>
          <w:highlight w:val="none"/>
        </w:rPr>
      </w:pPr>
      <w:r>
        <w:rPr>
          <w:rFonts w:hint="eastAsia"/>
          <w:sz w:val="28"/>
          <w:szCs w:val="28"/>
          <w:highlight w:val="none"/>
          <w:u w:val="none"/>
          <w:lang w:eastAsia="zh-CN"/>
        </w:rPr>
        <w:t>清大智创工业设计（台州）有限公司</w:t>
      </w:r>
      <w:r>
        <w:rPr>
          <w:rFonts w:hint="eastAsia" w:ascii="宋体" w:hAnsi="宋体"/>
          <w:color w:val="auto"/>
          <w:sz w:val="28"/>
          <w:szCs w:val="28"/>
          <w:highlight w:val="none"/>
        </w:rPr>
        <w:t>（以下简称“</w:t>
      </w:r>
      <w:r>
        <w:rPr>
          <w:rFonts w:hint="eastAsia" w:ascii="宋体" w:hAnsi="宋体"/>
          <w:color w:val="auto"/>
          <w:sz w:val="28"/>
          <w:szCs w:val="28"/>
          <w:highlight w:val="none"/>
          <w:lang w:eastAsia="zh-CN"/>
        </w:rPr>
        <w:t>清大智创</w:t>
      </w:r>
      <w:r>
        <w:rPr>
          <w:rFonts w:hint="eastAsia" w:ascii="宋体" w:hAnsi="宋体"/>
          <w:color w:val="auto"/>
          <w:sz w:val="28"/>
          <w:szCs w:val="28"/>
          <w:highlight w:val="none"/>
        </w:rPr>
        <w:t>”）成立于20</w:t>
      </w:r>
      <w:r>
        <w:rPr>
          <w:rFonts w:hint="eastAsia" w:ascii="宋体" w:hAnsi="宋体"/>
          <w:color w:val="auto"/>
          <w:sz w:val="28"/>
          <w:szCs w:val="28"/>
          <w:highlight w:val="none"/>
          <w:lang w:val="en-US" w:eastAsia="zh-CN"/>
        </w:rPr>
        <w:t>19</w:t>
      </w:r>
      <w:r>
        <w:rPr>
          <w:rFonts w:hint="eastAsia" w:ascii="宋体" w:hAnsi="宋体"/>
          <w:color w:val="auto"/>
          <w:sz w:val="28"/>
          <w:szCs w:val="28"/>
          <w:highlight w:val="none"/>
        </w:rPr>
        <w:t>年</w:t>
      </w:r>
      <w:r>
        <w:rPr>
          <w:rFonts w:hint="eastAsia" w:ascii="宋体" w:hAnsi="宋体"/>
          <w:color w:val="auto"/>
          <w:sz w:val="28"/>
          <w:szCs w:val="28"/>
          <w:highlight w:val="none"/>
          <w:lang w:val="en-US" w:eastAsia="zh-CN"/>
        </w:rPr>
        <w:t>8</w:t>
      </w:r>
      <w:r>
        <w:rPr>
          <w:rFonts w:hint="eastAsia" w:ascii="宋体" w:hAnsi="宋体"/>
          <w:color w:val="auto"/>
          <w:sz w:val="28"/>
          <w:szCs w:val="28"/>
          <w:highlight w:val="none"/>
        </w:rPr>
        <w:t>月</w:t>
      </w:r>
      <w:r>
        <w:rPr>
          <w:rFonts w:hint="eastAsia" w:ascii="宋体" w:hAnsi="宋体"/>
          <w:color w:val="auto"/>
          <w:sz w:val="28"/>
          <w:szCs w:val="28"/>
          <w:highlight w:val="none"/>
          <w:lang w:val="en-US" w:eastAsia="zh-CN"/>
        </w:rPr>
        <w:t>16</w:t>
      </w:r>
      <w:r>
        <w:rPr>
          <w:rFonts w:hint="eastAsia" w:ascii="宋体" w:hAnsi="宋体"/>
          <w:color w:val="auto"/>
          <w:sz w:val="28"/>
          <w:szCs w:val="28"/>
          <w:highlight w:val="none"/>
        </w:rPr>
        <w:t>日，注册资本</w:t>
      </w:r>
      <w:r>
        <w:rPr>
          <w:rFonts w:hint="eastAsia" w:ascii="宋体" w:hAnsi="宋体"/>
          <w:color w:val="auto"/>
          <w:sz w:val="28"/>
          <w:szCs w:val="28"/>
          <w:highlight w:val="none"/>
          <w:lang w:val="en-US" w:eastAsia="zh-CN"/>
        </w:rPr>
        <w:t>100</w:t>
      </w:r>
      <w:r>
        <w:rPr>
          <w:rFonts w:hint="eastAsia" w:ascii="宋体" w:hAnsi="宋体"/>
          <w:color w:val="auto"/>
          <w:sz w:val="28"/>
          <w:szCs w:val="28"/>
          <w:highlight w:val="none"/>
        </w:rPr>
        <w:t>万元，统一社会信用代码为91331021MA2DWQ5934，法定代表人为</w:t>
      </w:r>
      <w:r>
        <w:rPr>
          <w:rFonts w:hint="eastAsia" w:ascii="宋体" w:hAnsi="宋体"/>
          <w:color w:val="auto"/>
          <w:sz w:val="28"/>
          <w:szCs w:val="28"/>
          <w:highlight w:val="none"/>
          <w:lang w:eastAsia="zh-CN"/>
        </w:rPr>
        <w:t>李培</w:t>
      </w:r>
      <w:r>
        <w:rPr>
          <w:rFonts w:hint="eastAsia" w:ascii="宋体" w:hAnsi="宋体"/>
          <w:color w:val="auto"/>
          <w:sz w:val="28"/>
          <w:szCs w:val="28"/>
          <w:highlight w:val="none"/>
        </w:rPr>
        <w:t>；经营范围：工业设计服务，多媒体设计服务，包装装潢设计服务，模型设计服务，美术图案设计服务，体育产品设计服务，市场营销策划，应用软件开发，大型活动组织服务，展览服务。（依法须经批准的项目，经相关部门批准后方可开展经营活动）</w:t>
      </w:r>
    </w:p>
    <w:p>
      <w:pPr>
        <w:pStyle w:val="18"/>
        <w:numPr>
          <w:ilvl w:val="0"/>
          <w:numId w:val="4"/>
        </w:numPr>
        <w:adjustRightInd w:val="0"/>
        <w:snapToGrid w:val="0"/>
        <w:spacing w:line="360" w:lineRule="auto"/>
        <w:ind w:left="0" w:firstLine="560"/>
        <w:rPr>
          <w:rFonts w:ascii="宋体" w:hAnsi="宋体"/>
          <w:color w:val="auto"/>
          <w:sz w:val="28"/>
          <w:szCs w:val="28"/>
          <w:highlight w:val="none"/>
        </w:rPr>
      </w:pPr>
      <w:r>
        <w:rPr>
          <w:rFonts w:hint="eastAsia" w:ascii="宋体" w:hAnsi="宋体"/>
          <w:color w:val="auto"/>
          <w:sz w:val="28"/>
          <w:szCs w:val="28"/>
          <w:highlight w:val="none"/>
        </w:rPr>
        <w:t>转让标的经有资质的</w:t>
      </w:r>
      <w:r>
        <w:rPr>
          <w:rFonts w:hint="eastAsia" w:ascii="宋体" w:hAnsi="宋体"/>
          <w:color w:val="auto"/>
          <w:sz w:val="28"/>
          <w:szCs w:val="28"/>
          <w:highlight w:val="none"/>
          <w:lang w:eastAsia="zh-CN"/>
        </w:rPr>
        <w:t>台州兴元资产评估有限公司</w:t>
      </w:r>
      <w:r>
        <w:rPr>
          <w:rFonts w:hint="eastAsia" w:ascii="宋体" w:hAnsi="宋体"/>
          <w:color w:val="auto"/>
          <w:sz w:val="28"/>
          <w:szCs w:val="28"/>
          <w:highlight w:val="none"/>
        </w:rPr>
        <w:t>评估，出具了以2021年</w:t>
      </w:r>
      <w:r>
        <w:rPr>
          <w:rFonts w:hint="eastAsia" w:ascii="宋体" w:hAnsi="宋体"/>
          <w:color w:val="auto"/>
          <w:sz w:val="28"/>
          <w:szCs w:val="28"/>
          <w:highlight w:val="none"/>
          <w:lang w:val="en-US" w:eastAsia="zh-CN"/>
        </w:rPr>
        <w:t>12</w:t>
      </w:r>
      <w:r>
        <w:rPr>
          <w:rFonts w:hint="eastAsia" w:ascii="宋体" w:hAnsi="宋体"/>
          <w:color w:val="auto"/>
          <w:sz w:val="28"/>
          <w:szCs w:val="28"/>
          <w:highlight w:val="none"/>
        </w:rPr>
        <w:t>月31日为评估基准日的</w:t>
      </w:r>
      <w:bookmarkStart w:id="28" w:name="_Hlk92892134"/>
      <w:r>
        <w:rPr>
          <w:rFonts w:hint="eastAsia" w:ascii="宋体" w:hAnsi="宋体"/>
          <w:color w:val="auto"/>
          <w:sz w:val="28"/>
          <w:szCs w:val="28"/>
          <w:highlight w:val="none"/>
          <w:lang w:eastAsia="zh-CN"/>
        </w:rPr>
        <w:t>台兴</w:t>
      </w:r>
      <w:r>
        <w:rPr>
          <w:rFonts w:hint="eastAsia" w:ascii="宋体" w:hAnsi="宋体"/>
          <w:color w:val="auto"/>
          <w:sz w:val="28"/>
          <w:szCs w:val="28"/>
          <w:highlight w:val="none"/>
        </w:rPr>
        <w:t>评报字[202</w:t>
      </w:r>
      <w:r>
        <w:rPr>
          <w:rFonts w:hint="eastAsia" w:ascii="宋体" w:hAnsi="宋体"/>
          <w:color w:val="auto"/>
          <w:sz w:val="28"/>
          <w:szCs w:val="28"/>
          <w:highlight w:val="none"/>
          <w:lang w:val="en-US" w:eastAsia="zh-CN"/>
        </w:rPr>
        <w:t>2</w:t>
      </w:r>
      <w:r>
        <w:rPr>
          <w:rFonts w:hint="eastAsia" w:ascii="宋体" w:hAnsi="宋体"/>
          <w:color w:val="auto"/>
          <w:sz w:val="28"/>
          <w:szCs w:val="28"/>
          <w:highlight w:val="none"/>
        </w:rPr>
        <w:t>]第</w:t>
      </w:r>
      <w:r>
        <w:rPr>
          <w:rFonts w:hint="eastAsia" w:ascii="宋体" w:hAnsi="宋体"/>
          <w:color w:val="auto"/>
          <w:sz w:val="28"/>
          <w:szCs w:val="28"/>
          <w:highlight w:val="none"/>
          <w:lang w:val="en-US" w:eastAsia="zh-CN"/>
        </w:rPr>
        <w:t>13</w:t>
      </w:r>
      <w:r>
        <w:rPr>
          <w:rFonts w:hint="eastAsia" w:ascii="宋体" w:hAnsi="宋体"/>
          <w:color w:val="auto"/>
          <w:sz w:val="28"/>
          <w:szCs w:val="28"/>
          <w:highlight w:val="none"/>
        </w:rPr>
        <w:t>号</w:t>
      </w:r>
      <w:bookmarkEnd w:id="28"/>
      <w:r>
        <w:rPr>
          <w:rFonts w:hint="eastAsia" w:ascii="宋体" w:hAnsi="宋体"/>
          <w:color w:val="auto"/>
          <w:sz w:val="28"/>
          <w:szCs w:val="28"/>
          <w:highlight w:val="none"/>
        </w:rPr>
        <w:t>《</w:t>
      </w:r>
      <w:bookmarkStart w:id="29" w:name="_Hlk92892116"/>
      <w:r>
        <w:rPr>
          <w:rFonts w:hint="eastAsia" w:ascii="宋体" w:hAnsi="宋体"/>
          <w:color w:val="auto"/>
          <w:sz w:val="28"/>
          <w:szCs w:val="28"/>
          <w:highlight w:val="none"/>
          <w:lang w:eastAsia="zh-CN"/>
        </w:rPr>
        <w:t>台州浙华科技开发有限公司</w:t>
      </w:r>
      <w:r>
        <w:rPr>
          <w:rFonts w:hint="eastAsia" w:ascii="宋体" w:hAnsi="宋体"/>
          <w:color w:val="auto"/>
          <w:sz w:val="28"/>
          <w:szCs w:val="28"/>
          <w:highlight w:val="none"/>
        </w:rPr>
        <w:t>拟了解</w:t>
      </w:r>
      <w:r>
        <w:rPr>
          <w:rFonts w:hint="eastAsia"/>
          <w:sz w:val="28"/>
          <w:szCs w:val="28"/>
          <w:highlight w:val="none"/>
          <w:u w:val="none"/>
          <w:lang w:eastAsia="zh-CN"/>
        </w:rPr>
        <w:t>清大智创工业设计（台州）有限公司</w:t>
      </w:r>
      <w:r>
        <w:rPr>
          <w:rFonts w:hint="eastAsia" w:ascii="宋体" w:hAnsi="宋体"/>
          <w:color w:val="auto"/>
          <w:sz w:val="28"/>
          <w:szCs w:val="28"/>
          <w:highlight w:val="none"/>
        </w:rPr>
        <w:t>股东全部权益价值对涉及的</w:t>
      </w:r>
      <w:r>
        <w:rPr>
          <w:rFonts w:hint="eastAsia"/>
          <w:sz w:val="28"/>
          <w:szCs w:val="28"/>
          <w:highlight w:val="none"/>
          <w:u w:val="none"/>
          <w:lang w:eastAsia="zh-CN"/>
        </w:rPr>
        <w:t>清大智创工业设计（台州）有限公</w:t>
      </w:r>
      <w:r>
        <w:rPr>
          <w:rFonts w:hint="eastAsia" w:ascii="宋体" w:hAnsi="宋体"/>
          <w:color w:val="auto"/>
          <w:sz w:val="28"/>
          <w:szCs w:val="28"/>
          <w:highlight w:val="none"/>
          <w:lang w:eastAsia="zh-CN"/>
        </w:rPr>
        <w:t>司</w:t>
      </w:r>
      <w:r>
        <w:rPr>
          <w:rFonts w:hint="eastAsia" w:ascii="宋体" w:hAnsi="宋体"/>
          <w:color w:val="auto"/>
          <w:sz w:val="28"/>
          <w:szCs w:val="28"/>
          <w:highlight w:val="none"/>
        </w:rPr>
        <w:t>股东全部权益价值项目资产评估报告</w:t>
      </w:r>
      <w:bookmarkEnd w:id="29"/>
      <w:r>
        <w:rPr>
          <w:rFonts w:hint="eastAsia" w:ascii="宋体" w:hAnsi="宋体"/>
          <w:color w:val="auto"/>
          <w:sz w:val="28"/>
          <w:szCs w:val="28"/>
          <w:highlight w:val="none"/>
        </w:rPr>
        <w:t>》。</w:t>
      </w:r>
    </w:p>
    <w:p>
      <w:pPr>
        <w:pStyle w:val="18"/>
        <w:numPr>
          <w:ilvl w:val="0"/>
          <w:numId w:val="4"/>
        </w:numPr>
        <w:adjustRightInd w:val="0"/>
        <w:snapToGrid w:val="0"/>
        <w:spacing w:line="360" w:lineRule="auto"/>
        <w:ind w:left="0" w:firstLine="560"/>
        <w:rPr>
          <w:rFonts w:ascii="宋体" w:hAnsi="宋体"/>
          <w:color w:val="auto"/>
          <w:sz w:val="28"/>
          <w:szCs w:val="28"/>
          <w:highlight w:val="none"/>
        </w:rPr>
      </w:pPr>
      <w:bookmarkStart w:id="30" w:name="待定09"/>
      <w:r>
        <w:rPr>
          <w:rFonts w:hint="eastAsia" w:ascii="宋体" w:hAnsi="宋体"/>
          <w:color w:val="auto"/>
          <w:sz w:val="28"/>
          <w:szCs w:val="28"/>
          <w:highlight w:val="none"/>
        </w:rPr>
        <w:t>本次股权转让已经必要的内部决策和批准程序，资产评估</w:t>
      </w:r>
      <w:r>
        <w:rPr>
          <w:rFonts w:hint="eastAsia" w:ascii="宋体" w:hAnsi="宋体"/>
          <w:color w:val="auto"/>
          <w:sz w:val="28"/>
          <w:szCs w:val="28"/>
          <w:highlight w:val="none"/>
          <w:lang w:val="en-US" w:eastAsia="zh-CN"/>
        </w:rPr>
        <w:t>已经浙江清华长三角研究院</w:t>
      </w:r>
      <w:r>
        <w:rPr>
          <w:rFonts w:hint="eastAsia" w:ascii="宋体" w:hAnsi="宋体"/>
          <w:color w:val="auto"/>
          <w:sz w:val="28"/>
          <w:szCs w:val="28"/>
          <w:highlight w:val="none"/>
        </w:rPr>
        <w:t>备案，转让行为已</w:t>
      </w:r>
      <w:r>
        <w:rPr>
          <w:rFonts w:hint="eastAsia" w:ascii="宋体" w:hAnsi="宋体"/>
          <w:color w:val="auto"/>
          <w:sz w:val="28"/>
          <w:szCs w:val="28"/>
          <w:highlight w:val="none"/>
          <w:lang w:val="en-US" w:eastAsia="zh-CN"/>
        </w:rPr>
        <w:t>经浙江浙华投资有限公司股东决议通过</w:t>
      </w:r>
      <w:r>
        <w:rPr>
          <w:rFonts w:hint="eastAsia" w:ascii="宋体" w:hAnsi="宋体"/>
          <w:color w:val="auto"/>
          <w:sz w:val="28"/>
          <w:szCs w:val="28"/>
          <w:highlight w:val="none"/>
        </w:rPr>
        <w:t>。</w:t>
      </w:r>
    </w:p>
    <w:bookmarkEnd w:id="30"/>
    <w:p>
      <w:pPr>
        <w:pStyle w:val="18"/>
        <w:numPr>
          <w:ilvl w:val="0"/>
          <w:numId w:val="4"/>
        </w:numPr>
        <w:adjustRightInd w:val="0"/>
        <w:snapToGrid w:val="0"/>
        <w:spacing w:line="360" w:lineRule="auto"/>
        <w:ind w:left="0" w:firstLine="560"/>
        <w:rPr>
          <w:rFonts w:ascii="宋体" w:hAnsi="宋体"/>
          <w:color w:val="auto"/>
          <w:sz w:val="28"/>
          <w:szCs w:val="28"/>
          <w:highlight w:val="none"/>
        </w:rPr>
      </w:pPr>
      <w:r>
        <w:rPr>
          <w:rFonts w:hint="eastAsia" w:ascii="宋体" w:hAnsi="宋体"/>
          <w:color w:val="auto"/>
          <w:sz w:val="28"/>
          <w:szCs w:val="28"/>
          <w:highlight w:val="none"/>
        </w:rPr>
        <w:t>甲、乙双方当事人对上述情况及本次股权转让的相关资料均已进行全面详细的了解。</w:t>
      </w:r>
    </w:p>
    <w:p>
      <w:pPr>
        <w:pStyle w:val="18"/>
        <w:numPr>
          <w:ilvl w:val="0"/>
          <w:numId w:val="4"/>
        </w:numPr>
        <w:adjustRightInd w:val="0"/>
        <w:snapToGrid w:val="0"/>
        <w:spacing w:line="360" w:lineRule="auto"/>
        <w:ind w:left="0" w:firstLine="560"/>
        <w:rPr>
          <w:rFonts w:ascii="宋体" w:hAnsi="宋体"/>
          <w:color w:val="auto"/>
          <w:sz w:val="28"/>
          <w:szCs w:val="28"/>
          <w:highlight w:val="none"/>
        </w:rPr>
      </w:pPr>
      <w:r>
        <w:rPr>
          <w:rFonts w:hint="eastAsia" w:ascii="宋体" w:hAnsi="宋体"/>
          <w:color w:val="auto"/>
          <w:sz w:val="28"/>
          <w:szCs w:val="28"/>
          <w:highlight w:val="none"/>
        </w:rPr>
        <w:t>本次股权转让，双方当事人均已被授权。</w:t>
      </w:r>
    </w:p>
    <w:p>
      <w:pPr>
        <w:pStyle w:val="18"/>
        <w:tabs>
          <w:tab w:val="left" w:pos="3780"/>
        </w:tabs>
        <w:adjustRightInd w:val="0"/>
        <w:snapToGrid w:val="0"/>
        <w:spacing w:line="360" w:lineRule="auto"/>
        <w:ind w:firstLine="562"/>
        <w:jc w:val="left"/>
        <w:rPr>
          <w:rFonts w:ascii="宋体" w:hAnsi="宋体"/>
          <w:b/>
          <w:color w:val="auto"/>
          <w:sz w:val="28"/>
          <w:szCs w:val="28"/>
          <w:highlight w:val="none"/>
        </w:rPr>
      </w:pPr>
      <w:r>
        <w:rPr>
          <w:rFonts w:hint="eastAsia" w:ascii="宋体" w:hAnsi="宋体"/>
          <w:b/>
          <w:color w:val="auto"/>
          <w:sz w:val="28"/>
          <w:szCs w:val="28"/>
          <w:highlight w:val="none"/>
        </w:rPr>
        <w:t>第一条 转让的标的</w:t>
      </w:r>
    </w:p>
    <w:p>
      <w:pPr>
        <w:tabs>
          <w:tab w:val="left" w:pos="3780"/>
        </w:tabs>
        <w:adjustRightInd w:val="0"/>
        <w:snapToGrid w:val="0"/>
        <w:spacing w:line="360" w:lineRule="auto"/>
        <w:ind w:firstLine="560"/>
        <w:jc w:val="left"/>
        <w:rPr>
          <w:rFonts w:ascii="宋体" w:hAnsi="宋体"/>
          <w:b/>
          <w:color w:val="auto"/>
          <w:sz w:val="28"/>
          <w:szCs w:val="28"/>
          <w:highlight w:val="none"/>
        </w:rPr>
      </w:pPr>
      <w:r>
        <w:rPr>
          <w:rFonts w:hint="eastAsia" w:ascii="宋体" w:hAnsi="宋体"/>
          <w:color w:val="auto"/>
          <w:sz w:val="28"/>
          <w:szCs w:val="28"/>
          <w:highlight w:val="none"/>
        </w:rPr>
        <w:t>甲方将持有的</w:t>
      </w:r>
      <w:r>
        <w:rPr>
          <w:rFonts w:hint="eastAsia"/>
          <w:sz w:val="28"/>
          <w:szCs w:val="28"/>
          <w:highlight w:val="none"/>
          <w:u w:val="single"/>
          <w:lang w:eastAsia="zh-CN"/>
        </w:rPr>
        <w:t>清大智创工业设计（台州）有限公司</w:t>
      </w:r>
      <w:r>
        <w:rPr>
          <w:rFonts w:hint="eastAsia" w:ascii="宋体" w:hAnsi="宋体"/>
          <w:color w:val="auto"/>
          <w:sz w:val="28"/>
          <w:szCs w:val="28"/>
          <w:highlight w:val="none"/>
          <w:u w:val="single"/>
          <w:lang w:val="en-US" w:eastAsia="zh-CN"/>
        </w:rPr>
        <w:t>10</w:t>
      </w:r>
      <w:r>
        <w:rPr>
          <w:rFonts w:hint="eastAsia" w:ascii="宋体" w:hAnsi="宋体"/>
          <w:color w:val="auto"/>
          <w:sz w:val="28"/>
          <w:szCs w:val="28"/>
          <w:highlight w:val="none"/>
          <w:u w:val="single"/>
        </w:rPr>
        <w:t>%的股权</w:t>
      </w:r>
      <w:r>
        <w:rPr>
          <w:rFonts w:hint="eastAsia" w:ascii="宋体" w:hAnsi="宋体"/>
          <w:color w:val="auto"/>
          <w:sz w:val="28"/>
          <w:szCs w:val="28"/>
          <w:highlight w:val="none"/>
        </w:rPr>
        <w:t>有偿转让给乙方。</w:t>
      </w:r>
    </w:p>
    <w:p>
      <w:pPr>
        <w:pStyle w:val="18"/>
        <w:numPr>
          <w:ilvl w:val="0"/>
          <w:numId w:val="5"/>
        </w:numPr>
        <w:tabs>
          <w:tab w:val="left" w:pos="3780"/>
        </w:tabs>
        <w:adjustRightInd w:val="0"/>
        <w:snapToGrid w:val="0"/>
        <w:spacing w:line="360" w:lineRule="auto"/>
        <w:ind w:firstLine="562"/>
        <w:jc w:val="left"/>
        <w:rPr>
          <w:rFonts w:ascii="宋体" w:hAnsi="宋体"/>
          <w:b/>
          <w:color w:val="auto"/>
          <w:sz w:val="28"/>
          <w:szCs w:val="28"/>
          <w:highlight w:val="none"/>
        </w:rPr>
      </w:pPr>
      <w:r>
        <w:rPr>
          <w:rFonts w:hint="eastAsia" w:ascii="宋体" w:hAnsi="宋体"/>
          <w:b/>
          <w:color w:val="auto"/>
          <w:sz w:val="28"/>
          <w:szCs w:val="28"/>
          <w:highlight w:val="none"/>
        </w:rPr>
        <w:t>转让标的公司涉及的债权、债务的承继和清偿办法。</w:t>
      </w:r>
    </w:p>
    <w:p>
      <w:pPr>
        <w:adjustRightInd w:val="0"/>
        <w:snapToGrid w:val="0"/>
        <w:spacing w:line="360" w:lineRule="auto"/>
        <w:ind w:firstLine="560"/>
        <w:rPr>
          <w:rFonts w:ascii="宋体" w:hAnsi="宋体"/>
          <w:bCs/>
          <w:color w:val="auto"/>
          <w:sz w:val="28"/>
          <w:szCs w:val="28"/>
          <w:highlight w:val="none"/>
        </w:rPr>
      </w:pPr>
      <w:r>
        <w:rPr>
          <w:rFonts w:hint="eastAsia" w:ascii="宋体" w:hAnsi="宋体"/>
          <w:color w:val="auto"/>
          <w:sz w:val="28"/>
          <w:szCs w:val="28"/>
          <w:highlight w:val="none"/>
        </w:rPr>
        <w:t>本次股权转让完成后，</w:t>
      </w:r>
      <w:r>
        <w:rPr>
          <w:rFonts w:hint="eastAsia" w:ascii="宋体" w:hAnsi="宋体"/>
          <w:color w:val="auto"/>
          <w:sz w:val="28"/>
          <w:szCs w:val="28"/>
          <w:highlight w:val="none"/>
          <w:lang w:eastAsia="zh-CN"/>
        </w:rPr>
        <w:t>清大智创</w:t>
      </w:r>
      <w:r>
        <w:rPr>
          <w:rFonts w:hint="eastAsia" w:ascii="宋体" w:hAnsi="宋体"/>
          <w:color w:val="auto"/>
          <w:sz w:val="28"/>
          <w:szCs w:val="28"/>
          <w:highlight w:val="none"/>
        </w:rPr>
        <w:t>的法人主体未发生变化，为依法存续的有限责任公司。故此，其所有债权、债务依然由</w:t>
      </w:r>
      <w:r>
        <w:rPr>
          <w:rFonts w:hint="eastAsia" w:ascii="宋体" w:hAnsi="宋体"/>
          <w:color w:val="auto"/>
          <w:sz w:val="28"/>
          <w:szCs w:val="28"/>
          <w:highlight w:val="none"/>
          <w:lang w:eastAsia="zh-CN"/>
        </w:rPr>
        <w:t>清大智创</w:t>
      </w:r>
      <w:r>
        <w:rPr>
          <w:rFonts w:hint="eastAsia" w:ascii="宋体" w:hAnsi="宋体"/>
          <w:color w:val="auto"/>
          <w:sz w:val="28"/>
          <w:szCs w:val="28"/>
          <w:highlight w:val="none"/>
        </w:rPr>
        <w:t>承继。</w:t>
      </w:r>
    </w:p>
    <w:p>
      <w:pPr>
        <w:pStyle w:val="18"/>
        <w:tabs>
          <w:tab w:val="left" w:pos="3780"/>
        </w:tabs>
        <w:adjustRightInd w:val="0"/>
        <w:snapToGrid w:val="0"/>
        <w:spacing w:line="360" w:lineRule="auto"/>
        <w:ind w:firstLine="562"/>
        <w:jc w:val="left"/>
        <w:rPr>
          <w:rFonts w:ascii="宋体" w:hAnsi="宋体"/>
          <w:b/>
          <w:color w:val="auto"/>
          <w:sz w:val="28"/>
          <w:szCs w:val="28"/>
          <w:highlight w:val="none"/>
        </w:rPr>
      </w:pPr>
      <w:r>
        <w:rPr>
          <w:rFonts w:hint="eastAsia" w:ascii="宋体" w:hAnsi="宋体"/>
          <w:b/>
          <w:color w:val="auto"/>
          <w:sz w:val="28"/>
          <w:szCs w:val="28"/>
          <w:highlight w:val="none"/>
        </w:rPr>
        <w:t>第三条 股权转让方式</w:t>
      </w:r>
    </w:p>
    <w:p>
      <w:pPr>
        <w:tabs>
          <w:tab w:val="left" w:pos="3780"/>
        </w:tabs>
        <w:adjustRightInd w:val="0"/>
        <w:snapToGrid w:val="0"/>
        <w:spacing w:line="360" w:lineRule="auto"/>
        <w:ind w:firstLine="560"/>
        <w:jc w:val="left"/>
        <w:rPr>
          <w:rFonts w:hint="eastAsia" w:ascii="宋体" w:hAnsi="宋体" w:eastAsia="宋体"/>
          <w:color w:val="auto"/>
          <w:sz w:val="28"/>
          <w:szCs w:val="28"/>
          <w:highlight w:val="none"/>
          <w:lang w:val="en-US" w:eastAsia="zh-CN"/>
        </w:rPr>
      </w:pPr>
      <w:bookmarkStart w:id="31" w:name="待定10"/>
      <w:r>
        <w:rPr>
          <w:rFonts w:hint="eastAsia" w:ascii="宋体" w:hAnsi="宋体"/>
          <w:color w:val="auto"/>
          <w:sz w:val="28"/>
          <w:szCs w:val="28"/>
          <w:highlight w:val="none"/>
          <w:u w:val="single"/>
        </w:rPr>
        <w:t>网络竞价方</w:t>
      </w:r>
      <w:r>
        <w:rPr>
          <w:rFonts w:hint="eastAsia" w:ascii="宋体" w:hAnsi="宋体"/>
          <w:color w:val="auto"/>
          <w:sz w:val="28"/>
          <w:szCs w:val="28"/>
          <w:highlight w:val="none"/>
          <w:u w:val="single"/>
          <w:lang w:val="en-US" w:eastAsia="zh-CN"/>
        </w:rPr>
        <w:t>式。</w:t>
      </w:r>
    </w:p>
    <w:bookmarkEnd w:id="31"/>
    <w:p>
      <w:pPr>
        <w:pStyle w:val="18"/>
        <w:tabs>
          <w:tab w:val="left" w:pos="3780"/>
        </w:tabs>
        <w:adjustRightInd w:val="0"/>
        <w:snapToGrid w:val="0"/>
        <w:spacing w:line="360" w:lineRule="auto"/>
        <w:ind w:firstLine="562"/>
        <w:jc w:val="left"/>
        <w:rPr>
          <w:rFonts w:ascii="宋体" w:hAnsi="宋体"/>
          <w:b/>
          <w:color w:val="auto"/>
          <w:sz w:val="28"/>
          <w:szCs w:val="28"/>
          <w:highlight w:val="none"/>
        </w:rPr>
      </w:pPr>
      <w:r>
        <w:rPr>
          <w:rFonts w:hint="eastAsia" w:ascii="宋体" w:hAnsi="宋体"/>
          <w:b/>
          <w:color w:val="auto"/>
          <w:sz w:val="28"/>
          <w:szCs w:val="28"/>
          <w:highlight w:val="none"/>
        </w:rPr>
        <w:t>第四条 股权转让价格</w:t>
      </w:r>
    </w:p>
    <w:p>
      <w:pPr>
        <w:tabs>
          <w:tab w:val="left" w:pos="3780"/>
        </w:tabs>
        <w:adjustRightInd w:val="0"/>
        <w:snapToGrid w:val="0"/>
        <w:spacing w:line="360" w:lineRule="auto"/>
        <w:ind w:firstLine="560"/>
        <w:jc w:val="left"/>
        <w:rPr>
          <w:rFonts w:ascii="宋体" w:hAnsi="宋体"/>
          <w:color w:val="auto"/>
          <w:sz w:val="28"/>
          <w:szCs w:val="28"/>
          <w:highlight w:val="none"/>
        </w:rPr>
      </w:pPr>
      <w:r>
        <w:rPr>
          <w:rFonts w:hint="eastAsia" w:ascii="宋体" w:hAnsi="宋体"/>
          <w:color w:val="auto"/>
          <w:sz w:val="28"/>
          <w:szCs w:val="28"/>
          <w:highlight w:val="none"/>
        </w:rPr>
        <w:t>甲方将本合同第一条规定的转让标的以人民币（大写）</w:t>
      </w:r>
      <w:r>
        <w:rPr>
          <w:rFonts w:hint="eastAsia" w:ascii="宋体" w:hAnsi="宋体"/>
          <w:color w:val="auto"/>
          <w:sz w:val="28"/>
          <w:szCs w:val="28"/>
          <w:highlight w:val="none"/>
          <w:u w:val="single"/>
        </w:rPr>
        <w:t>【*   】</w:t>
      </w:r>
      <w:r>
        <w:rPr>
          <w:rFonts w:ascii="宋体" w:hAnsi="宋体"/>
          <w:color w:val="auto"/>
          <w:sz w:val="28"/>
          <w:szCs w:val="28"/>
          <w:highlight w:val="none"/>
          <w:u w:val="single"/>
        </w:rPr>
        <w:t>元</w:t>
      </w:r>
      <w:r>
        <w:rPr>
          <w:rFonts w:hint="eastAsia" w:ascii="宋体" w:hAnsi="宋体"/>
          <w:color w:val="auto"/>
          <w:sz w:val="28"/>
          <w:szCs w:val="28"/>
          <w:highlight w:val="none"/>
        </w:rPr>
        <w:t>，（小写）￥</w:t>
      </w:r>
      <w:r>
        <w:rPr>
          <w:rFonts w:hint="eastAsia" w:ascii="宋体" w:hAnsi="宋体"/>
          <w:color w:val="auto"/>
          <w:sz w:val="28"/>
          <w:szCs w:val="28"/>
          <w:highlight w:val="none"/>
          <w:u w:val="single"/>
        </w:rPr>
        <w:t>【*   】</w:t>
      </w:r>
      <w:r>
        <w:rPr>
          <w:rFonts w:hint="eastAsia" w:ascii="宋体" w:hAnsi="宋体"/>
          <w:color w:val="auto"/>
          <w:sz w:val="28"/>
          <w:szCs w:val="28"/>
          <w:highlight w:val="none"/>
        </w:rPr>
        <w:t>元转让给乙方。</w:t>
      </w:r>
    </w:p>
    <w:p>
      <w:pPr>
        <w:pStyle w:val="18"/>
        <w:tabs>
          <w:tab w:val="left" w:pos="3780"/>
        </w:tabs>
        <w:adjustRightInd w:val="0"/>
        <w:snapToGrid w:val="0"/>
        <w:spacing w:line="360" w:lineRule="auto"/>
        <w:ind w:firstLine="562"/>
        <w:jc w:val="left"/>
        <w:rPr>
          <w:rFonts w:ascii="宋体" w:hAnsi="宋体"/>
          <w:b/>
          <w:color w:val="auto"/>
          <w:sz w:val="28"/>
          <w:szCs w:val="28"/>
          <w:highlight w:val="none"/>
        </w:rPr>
      </w:pPr>
      <w:r>
        <w:rPr>
          <w:rFonts w:hint="eastAsia" w:ascii="宋体" w:hAnsi="宋体"/>
          <w:b/>
          <w:color w:val="auto"/>
          <w:sz w:val="28"/>
          <w:szCs w:val="28"/>
          <w:highlight w:val="none"/>
        </w:rPr>
        <w:t>第五条 股权转让价款的支付方式、期限及付款条件</w:t>
      </w:r>
    </w:p>
    <w:p>
      <w:pPr>
        <w:tabs>
          <w:tab w:val="left" w:pos="3780"/>
        </w:tabs>
        <w:adjustRightInd w:val="0"/>
        <w:snapToGrid w:val="0"/>
        <w:spacing w:line="360" w:lineRule="auto"/>
        <w:ind w:firstLine="560"/>
        <w:jc w:val="left"/>
        <w:rPr>
          <w:rFonts w:ascii="宋体" w:hAnsi="宋体"/>
          <w:color w:val="auto"/>
          <w:sz w:val="28"/>
          <w:szCs w:val="28"/>
          <w:highlight w:val="none"/>
        </w:rPr>
      </w:pPr>
      <w:r>
        <w:rPr>
          <w:rFonts w:hint="eastAsia" w:ascii="宋体" w:hAnsi="宋体"/>
          <w:color w:val="auto"/>
          <w:sz w:val="28"/>
          <w:szCs w:val="28"/>
          <w:highlight w:val="none"/>
        </w:rPr>
        <w:t>甲、乙双方在本合同签订生效后，乙方于五个工作日内，一次性足额支付产权转让价款。上述款项应汇入台州市产权交易所有限公司，开户行：</w:t>
      </w:r>
      <w:r>
        <w:rPr>
          <w:rFonts w:hint="eastAsia" w:ascii="宋体" w:hAnsi="宋体"/>
          <w:color w:val="auto"/>
          <w:sz w:val="28"/>
          <w:szCs w:val="28"/>
          <w:highlight w:val="none"/>
          <w:lang w:val="en-GB"/>
        </w:rPr>
        <w:t>浙江民泰商业银行</w:t>
      </w:r>
      <w:r>
        <w:rPr>
          <w:rFonts w:hint="eastAsia" w:ascii="宋体" w:hAnsi="宋体"/>
          <w:color w:val="auto"/>
          <w:sz w:val="28"/>
          <w:szCs w:val="28"/>
          <w:highlight w:val="none"/>
        </w:rPr>
        <w:t>股份有限公司</w:t>
      </w:r>
      <w:r>
        <w:rPr>
          <w:rFonts w:hint="eastAsia" w:ascii="宋体" w:hAnsi="宋体"/>
          <w:color w:val="auto"/>
          <w:sz w:val="28"/>
          <w:szCs w:val="28"/>
          <w:highlight w:val="none"/>
          <w:lang w:val="en-GB"/>
        </w:rPr>
        <w:t>椒江</w:t>
      </w:r>
      <w:r>
        <w:rPr>
          <w:rFonts w:hint="eastAsia" w:ascii="宋体" w:hAnsi="宋体"/>
          <w:color w:val="auto"/>
          <w:sz w:val="28"/>
          <w:szCs w:val="28"/>
          <w:highlight w:val="none"/>
        </w:rPr>
        <w:t>市府大道</w:t>
      </w:r>
      <w:r>
        <w:rPr>
          <w:rFonts w:hint="eastAsia" w:ascii="宋体" w:hAnsi="宋体"/>
          <w:color w:val="auto"/>
          <w:sz w:val="28"/>
          <w:szCs w:val="28"/>
          <w:highlight w:val="none"/>
          <w:lang w:val="en-GB"/>
        </w:rPr>
        <w:t>支行</w:t>
      </w:r>
      <w:r>
        <w:rPr>
          <w:rFonts w:hint="eastAsia" w:ascii="宋体" w:hAnsi="宋体"/>
          <w:color w:val="auto"/>
          <w:sz w:val="28"/>
          <w:szCs w:val="28"/>
          <w:highlight w:val="none"/>
        </w:rPr>
        <w:t>，帐号：583016260800028合同订立后，乙方先期汇入的</w:t>
      </w:r>
      <w:r>
        <w:rPr>
          <w:rFonts w:hint="eastAsia" w:ascii="宋体" w:hAnsi="宋体"/>
          <w:color w:val="auto"/>
          <w:sz w:val="28"/>
          <w:szCs w:val="28"/>
          <w:highlight w:val="none"/>
          <w:lang w:val="en-US" w:eastAsia="zh-CN"/>
        </w:rPr>
        <w:t>2</w:t>
      </w:r>
      <w:r>
        <w:rPr>
          <w:rFonts w:hint="eastAsia" w:ascii="宋体" w:hAnsi="宋体"/>
          <w:color w:val="auto"/>
          <w:sz w:val="28"/>
          <w:szCs w:val="28"/>
          <w:highlight w:val="none"/>
          <w:u w:val="single"/>
        </w:rPr>
        <w:t>万元</w:t>
      </w:r>
      <w:r>
        <w:rPr>
          <w:rFonts w:hint="eastAsia" w:ascii="宋体" w:hAnsi="宋体"/>
          <w:color w:val="auto"/>
          <w:sz w:val="28"/>
          <w:szCs w:val="28"/>
          <w:highlight w:val="none"/>
        </w:rPr>
        <w:t>竞买保证金转为本合同履约保证金，该保证金可转作应支付的部分转让价款。</w:t>
      </w:r>
    </w:p>
    <w:p>
      <w:pPr>
        <w:pStyle w:val="18"/>
        <w:tabs>
          <w:tab w:val="left" w:pos="3780"/>
        </w:tabs>
        <w:adjustRightInd w:val="0"/>
        <w:snapToGrid w:val="0"/>
        <w:spacing w:line="360" w:lineRule="auto"/>
        <w:ind w:firstLine="562"/>
        <w:jc w:val="left"/>
        <w:rPr>
          <w:rFonts w:ascii="宋体" w:hAnsi="宋体"/>
          <w:b/>
          <w:color w:val="auto"/>
          <w:sz w:val="28"/>
          <w:szCs w:val="28"/>
          <w:highlight w:val="none"/>
        </w:rPr>
      </w:pPr>
      <w:r>
        <w:rPr>
          <w:rFonts w:hint="eastAsia" w:ascii="宋体" w:hAnsi="宋体"/>
          <w:b/>
          <w:color w:val="auto"/>
          <w:sz w:val="28"/>
          <w:szCs w:val="28"/>
          <w:highlight w:val="none"/>
        </w:rPr>
        <w:t>第六条 股权交割事项</w:t>
      </w:r>
    </w:p>
    <w:p>
      <w:pPr>
        <w:tabs>
          <w:tab w:val="left" w:pos="3780"/>
        </w:tabs>
        <w:adjustRightInd w:val="0"/>
        <w:snapToGrid w:val="0"/>
        <w:spacing w:line="360" w:lineRule="auto"/>
        <w:ind w:firstLine="560"/>
        <w:jc w:val="left"/>
        <w:rPr>
          <w:rFonts w:ascii="宋体" w:hAnsi="宋体"/>
          <w:color w:val="auto"/>
          <w:sz w:val="28"/>
          <w:szCs w:val="28"/>
          <w:highlight w:val="none"/>
        </w:rPr>
      </w:pPr>
      <w:r>
        <w:rPr>
          <w:rFonts w:hint="eastAsia" w:ascii="宋体" w:hAnsi="宋体"/>
          <w:color w:val="auto"/>
          <w:sz w:val="28"/>
          <w:szCs w:val="28"/>
          <w:highlight w:val="none"/>
        </w:rPr>
        <w:t>1、乙方应当在本合同所载成交款付清后20个工作日内与甲方办理股权交接手续。</w:t>
      </w:r>
    </w:p>
    <w:p>
      <w:pPr>
        <w:tabs>
          <w:tab w:val="left" w:pos="3780"/>
        </w:tabs>
        <w:adjustRightInd w:val="0"/>
        <w:snapToGrid w:val="0"/>
        <w:spacing w:line="360" w:lineRule="auto"/>
        <w:ind w:firstLine="560"/>
        <w:jc w:val="left"/>
        <w:rPr>
          <w:rFonts w:ascii="宋体" w:hAnsi="宋体"/>
          <w:color w:val="auto"/>
          <w:sz w:val="28"/>
          <w:szCs w:val="28"/>
          <w:highlight w:val="none"/>
        </w:rPr>
      </w:pPr>
      <w:r>
        <w:rPr>
          <w:rFonts w:hint="eastAsia" w:ascii="宋体" w:hAnsi="宋体"/>
          <w:color w:val="auto"/>
          <w:sz w:val="28"/>
          <w:szCs w:val="28"/>
          <w:highlight w:val="none"/>
        </w:rPr>
        <w:t>2、股权转让评估基准日（2021年</w:t>
      </w:r>
      <w:r>
        <w:rPr>
          <w:rFonts w:hint="eastAsia" w:ascii="宋体" w:hAnsi="宋体"/>
          <w:color w:val="auto"/>
          <w:sz w:val="28"/>
          <w:szCs w:val="28"/>
          <w:highlight w:val="none"/>
          <w:lang w:val="en-US" w:eastAsia="zh-CN"/>
        </w:rPr>
        <w:t>12</w:t>
      </w:r>
      <w:r>
        <w:rPr>
          <w:rFonts w:hint="eastAsia" w:ascii="宋体" w:hAnsi="宋体"/>
          <w:color w:val="auto"/>
          <w:sz w:val="28"/>
          <w:szCs w:val="28"/>
          <w:highlight w:val="none"/>
        </w:rPr>
        <w:t>月31日）至股权转让交割日期间，标的企业经营损益不再进行审计清算，由乙方享有或承担。</w:t>
      </w:r>
    </w:p>
    <w:p>
      <w:pPr>
        <w:pStyle w:val="18"/>
        <w:tabs>
          <w:tab w:val="left" w:pos="3780"/>
        </w:tabs>
        <w:adjustRightInd w:val="0"/>
        <w:snapToGrid w:val="0"/>
        <w:spacing w:line="360" w:lineRule="auto"/>
        <w:ind w:firstLine="562"/>
        <w:rPr>
          <w:rFonts w:ascii="宋体" w:hAnsi="宋体"/>
          <w:b/>
          <w:color w:val="auto"/>
          <w:sz w:val="28"/>
          <w:szCs w:val="28"/>
          <w:highlight w:val="none"/>
        </w:rPr>
      </w:pPr>
      <w:r>
        <w:rPr>
          <w:rFonts w:hint="eastAsia" w:ascii="宋体" w:hAnsi="宋体"/>
          <w:b/>
          <w:color w:val="auto"/>
          <w:sz w:val="28"/>
          <w:szCs w:val="28"/>
          <w:highlight w:val="none"/>
        </w:rPr>
        <w:t>第七条 权证的变更</w:t>
      </w:r>
    </w:p>
    <w:p>
      <w:pPr>
        <w:pStyle w:val="18"/>
        <w:tabs>
          <w:tab w:val="left" w:pos="3780"/>
        </w:tabs>
        <w:adjustRightInd w:val="0"/>
        <w:snapToGrid w:val="0"/>
        <w:spacing w:line="360" w:lineRule="auto"/>
        <w:ind w:firstLine="560"/>
        <w:jc w:val="left"/>
        <w:rPr>
          <w:rFonts w:ascii="宋体" w:hAnsi="宋体"/>
          <w:bCs/>
          <w:color w:val="auto"/>
          <w:sz w:val="28"/>
          <w:szCs w:val="28"/>
          <w:highlight w:val="none"/>
        </w:rPr>
      </w:pPr>
      <w:r>
        <w:rPr>
          <w:rFonts w:hint="eastAsia" w:ascii="宋体" w:hAnsi="宋体"/>
          <w:color w:val="auto"/>
          <w:sz w:val="28"/>
          <w:szCs w:val="28"/>
          <w:highlight w:val="none"/>
        </w:rPr>
        <w:t>甲乙双方协商和共同配合，由乙方完成所转让股权的权证变更手续。</w:t>
      </w:r>
    </w:p>
    <w:p>
      <w:pPr>
        <w:pStyle w:val="18"/>
        <w:tabs>
          <w:tab w:val="left" w:pos="3780"/>
        </w:tabs>
        <w:adjustRightInd w:val="0"/>
        <w:snapToGrid w:val="0"/>
        <w:spacing w:line="360" w:lineRule="auto"/>
        <w:ind w:firstLine="562"/>
        <w:jc w:val="left"/>
        <w:rPr>
          <w:rFonts w:ascii="宋体" w:hAnsi="宋体"/>
          <w:b/>
          <w:color w:val="auto"/>
          <w:sz w:val="28"/>
          <w:szCs w:val="28"/>
          <w:highlight w:val="none"/>
        </w:rPr>
      </w:pPr>
      <w:r>
        <w:rPr>
          <w:rFonts w:hint="eastAsia" w:ascii="宋体" w:hAnsi="宋体"/>
          <w:b/>
          <w:color w:val="auto"/>
          <w:sz w:val="28"/>
          <w:szCs w:val="28"/>
          <w:highlight w:val="none"/>
        </w:rPr>
        <w:t>第八条 股权转让的税收和费用</w:t>
      </w:r>
    </w:p>
    <w:p>
      <w:pPr>
        <w:pStyle w:val="18"/>
        <w:numPr>
          <w:ilvl w:val="0"/>
          <w:numId w:val="6"/>
        </w:numPr>
        <w:tabs>
          <w:tab w:val="left" w:pos="709"/>
        </w:tabs>
        <w:adjustRightInd w:val="0"/>
        <w:snapToGrid w:val="0"/>
        <w:spacing w:line="360" w:lineRule="auto"/>
        <w:ind w:left="0" w:firstLine="560"/>
        <w:jc w:val="left"/>
        <w:rPr>
          <w:rFonts w:ascii="宋体" w:hAnsi="宋体"/>
          <w:color w:val="auto"/>
          <w:sz w:val="28"/>
          <w:szCs w:val="28"/>
          <w:highlight w:val="none"/>
        </w:rPr>
      </w:pPr>
      <w:r>
        <w:rPr>
          <w:rFonts w:hint="eastAsia" w:ascii="宋体" w:hAnsi="宋体"/>
          <w:color w:val="auto"/>
          <w:sz w:val="28"/>
          <w:szCs w:val="28"/>
          <w:highlight w:val="none"/>
        </w:rPr>
        <w:t>本次股权转让中涉及的有关税收，按照国家有关法律规定缴纳。</w:t>
      </w:r>
    </w:p>
    <w:p>
      <w:pPr>
        <w:pStyle w:val="18"/>
        <w:numPr>
          <w:ilvl w:val="0"/>
          <w:numId w:val="6"/>
        </w:numPr>
        <w:tabs>
          <w:tab w:val="left" w:pos="709"/>
        </w:tabs>
        <w:adjustRightInd w:val="0"/>
        <w:snapToGrid w:val="0"/>
        <w:spacing w:line="360" w:lineRule="auto"/>
        <w:ind w:left="0" w:firstLine="560"/>
        <w:jc w:val="left"/>
        <w:rPr>
          <w:rFonts w:ascii="宋体" w:hAnsi="宋体"/>
          <w:color w:val="auto"/>
          <w:sz w:val="28"/>
          <w:szCs w:val="28"/>
          <w:highlight w:val="none"/>
        </w:rPr>
      </w:pPr>
      <w:r>
        <w:rPr>
          <w:rFonts w:hint="eastAsia" w:ascii="宋体" w:hAnsi="宋体"/>
          <w:color w:val="auto"/>
          <w:sz w:val="28"/>
          <w:szCs w:val="28"/>
          <w:highlight w:val="none"/>
        </w:rPr>
        <w:t>本次股权转让中涉及的交易</w:t>
      </w:r>
      <w:r>
        <w:rPr>
          <w:rFonts w:hint="eastAsia" w:ascii="宋体" w:hAnsi="宋体"/>
          <w:color w:val="auto"/>
          <w:sz w:val="28"/>
          <w:szCs w:val="28"/>
          <w:highlight w:val="none"/>
          <w:lang w:eastAsia="zh-CN"/>
        </w:rPr>
        <w:t>服务费</w:t>
      </w:r>
      <w:r>
        <w:rPr>
          <w:rFonts w:hint="eastAsia" w:ascii="宋体" w:hAnsi="宋体"/>
          <w:color w:val="auto"/>
          <w:sz w:val="28"/>
          <w:szCs w:val="28"/>
          <w:highlight w:val="none"/>
        </w:rPr>
        <w:t>由乙方承担。</w:t>
      </w:r>
    </w:p>
    <w:p>
      <w:pPr>
        <w:pStyle w:val="18"/>
        <w:numPr>
          <w:ilvl w:val="0"/>
          <w:numId w:val="6"/>
        </w:numPr>
        <w:tabs>
          <w:tab w:val="left" w:pos="709"/>
        </w:tabs>
        <w:adjustRightInd w:val="0"/>
        <w:snapToGrid w:val="0"/>
        <w:spacing w:line="360" w:lineRule="auto"/>
        <w:ind w:left="0" w:firstLine="560"/>
        <w:jc w:val="left"/>
        <w:rPr>
          <w:rFonts w:ascii="宋体" w:hAnsi="宋体"/>
          <w:color w:val="auto"/>
          <w:sz w:val="28"/>
          <w:szCs w:val="28"/>
          <w:highlight w:val="none"/>
        </w:rPr>
      </w:pPr>
      <w:r>
        <w:rPr>
          <w:rFonts w:hint="eastAsia" w:ascii="宋体" w:hAnsi="宋体"/>
          <w:color w:val="auto"/>
          <w:sz w:val="28"/>
          <w:szCs w:val="28"/>
          <w:highlight w:val="none"/>
        </w:rPr>
        <w:t>权证变更涉及的有关费用，由乙方承担。</w:t>
      </w:r>
    </w:p>
    <w:p>
      <w:pPr>
        <w:pStyle w:val="18"/>
        <w:tabs>
          <w:tab w:val="left" w:pos="3780"/>
        </w:tabs>
        <w:adjustRightInd w:val="0"/>
        <w:snapToGrid w:val="0"/>
        <w:spacing w:line="360" w:lineRule="auto"/>
        <w:ind w:firstLine="562"/>
        <w:jc w:val="left"/>
        <w:rPr>
          <w:rFonts w:ascii="宋体" w:hAnsi="宋体"/>
          <w:b/>
          <w:color w:val="auto"/>
          <w:sz w:val="28"/>
          <w:szCs w:val="28"/>
          <w:highlight w:val="none"/>
        </w:rPr>
      </w:pPr>
      <w:r>
        <w:rPr>
          <w:rFonts w:hint="eastAsia" w:ascii="宋体" w:hAnsi="宋体"/>
          <w:b/>
          <w:color w:val="auto"/>
          <w:sz w:val="28"/>
          <w:szCs w:val="28"/>
          <w:highlight w:val="none"/>
        </w:rPr>
        <w:t>第九条 甲、乙双方的权利义务</w:t>
      </w:r>
    </w:p>
    <w:p>
      <w:pPr>
        <w:pStyle w:val="18"/>
        <w:tabs>
          <w:tab w:val="left" w:pos="709"/>
        </w:tabs>
        <w:adjustRightInd w:val="0"/>
        <w:snapToGrid w:val="0"/>
        <w:spacing w:line="360" w:lineRule="auto"/>
        <w:ind w:firstLine="560" w:firstLineChars="0"/>
        <w:jc w:val="left"/>
        <w:rPr>
          <w:rFonts w:ascii="宋体" w:hAnsi="宋体"/>
          <w:color w:val="auto"/>
          <w:sz w:val="28"/>
          <w:szCs w:val="28"/>
          <w:highlight w:val="none"/>
        </w:rPr>
      </w:pPr>
      <w:r>
        <w:rPr>
          <w:rFonts w:hint="eastAsia" w:ascii="宋体" w:hAnsi="宋体"/>
          <w:color w:val="auto"/>
          <w:sz w:val="28"/>
          <w:szCs w:val="28"/>
          <w:highlight w:val="none"/>
        </w:rPr>
        <w:t>甲方的权利义务：</w:t>
      </w:r>
    </w:p>
    <w:p>
      <w:pPr>
        <w:tabs>
          <w:tab w:val="left" w:pos="3780"/>
        </w:tabs>
        <w:adjustRightInd w:val="0"/>
        <w:snapToGrid w:val="0"/>
        <w:spacing w:line="360" w:lineRule="auto"/>
        <w:ind w:firstLine="560"/>
        <w:jc w:val="left"/>
        <w:rPr>
          <w:rFonts w:ascii="宋体" w:hAnsi="宋体"/>
          <w:color w:val="auto"/>
          <w:sz w:val="28"/>
          <w:szCs w:val="28"/>
          <w:highlight w:val="none"/>
        </w:rPr>
      </w:pPr>
      <w:r>
        <w:rPr>
          <w:rFonts w:hint="eastAsia" w:ascii="宋体" w:hAnsi="宋体"/>
          <w:color w:val="auto"/>
          <w:sz w:val="28"/>
          <w:szCs w:val="28"/>
          <w:highlight w:val="none"/>
        </w:rPr>
        <w:t>1、对转让标的拥有合法、有效的处分权，并按国家相关法律、法规取得有效转让批准；</w:t>
      </w:r>
    </w:p>
    <w:p>
      <w:pPr>
        <w:tabs>
          <w:tab w:val="left" w:pos="3780"/>
        </w:tabs>
        <w:adjustRightInd w:val="0"/>
        <w:snapToGrid w:val="0"/>
        <w:spacing w:line="360" w:lineRule="auto"/>
        <w:ind w:firstLine="560"/>
        <w:jc w:val="left"/>
        <w:rPr>
          <w:rFonts w:ascii="宋体" w:hAnsi="宋体"/>
          <w:color w:val="auto"/>
          <w:sz w:val="28"/>
          <w:szCs w:val="28"/>
          <w:highlight w:val="none"/>
        </w:rPr>
      </w:pPr>
      <w:r>
        <w:rPr>
          <w:rFonts w:hint="eastAsia" w:ascii="宋体" w:hAnsi="宋体"/>
          <w:color w:val="auto"/>
          <w:sz w:val="28"/>
          <w:szCs w:val="28"/>
          <w:highlight w:val="none"/>
        </w:rPr>
        <w:t>2、为签订本合同之前的所提交的各项证明文件及资料均为真实、完整的；</w:t>
      </w:r>
    </w:p>
    <w:p>
      <w:pPr>
        <w:tabs>
          <w:tab w:val="left" w:pos="3780"/>
        </w:tabs>
        <w:adjustRightInd w:val="0"/>
        <w:snapToGrid w:val="0"/>
        <w:spacing w:line="360" w:lineRule="auto"/>
        <w:ind w:firstLine="560"/>
        <w:jc w:val="left"/>
        <w:rPr>
          <w:rFonts w:ascii="宋体" w:hAnsi="宋体"/>
          <w:b/>
          <w:bCs/>
          <w:color w:val="auto"/>
          <w:sz w:val="28"/>
          <w:szCs w:val="28"/>
          <w:highlight w:val="none"/>
        </w:rPr>
      </w:pPr>
      <w:r>
        <w:rPr>
          <w:rFonts w:hint="eastAsia" w:ascii="宋体" w:hAnsi="宋体"/>
          <w:color w:val="auto"/>
          <w:sz w:val="28"/>
          <w:szCs w:val="28"/>
          <w:highlight w:val="none"/>
        </w:rPr>
        <w:t>3、签订本合同所需的包括但不限于授权、审批、公司内部决策等在内的一切批准手续均已合法取得，本合同成立的前提条件均已满足。</w:t>
      </w:r>
    </w:p>
    <w:p>
      <w:pPr>
        <w:pStyle w:val="18"/>
        <w:tabs>
          <w:tab w:val="left" w:pos="709"/>
        </w:tabs>
        <w:adjustRightInd w:val="0"/>
        <w:snapToGrid w:val="0"/>
        <w:spacing w:line="360" w:lineRule="auto"/>
        <w:ind w:firstLine="0" w:firstLineChars="0"/>
        <w:jc w:val="left"/>
        <w:rPr>
          <w:rFonts w:ascii="宋体" w:hAnsi="宋体"/>
          <w:color w:val="auto"/>
          <w:sz w:val="28"/>
          <w:szCs w:val="28"/>
          <w:highlight w:val="none"/>
        </w:rPr>
      </w:pPr>
      <w:r>
        <w:rPr>
          <w:rFonts w:hint="eastAsia" w:ascii="宋体" w:hAnsi="宋体"/>
          <w:color w:val="auto"/>
          <w:sz w:val="28"/>
          <w:szCs w:val="28"/>
          <w:highlight w:val="none"/>
        </w:rPr>
        <w:t>乙方的权利义务：</w:t>
      </w:r>
    </w:p>
    <w:p>
      <w:pPr>
        <w:tabs>
          <w:tab w:val="left" w:pos="3780"/>
        </w:tabs>
        <w:adjustRightInd w:val="0"/>
        <w:snapToGrid w:val="0"/>
        <w:spacing w:line="360" w:lineRule="auto"/>
        <w:ind w:firstLine="560"/>
        <w:jc w:val="left"/>
        <w:rPr>
          <w:rFonts w:ascii="宋体" w:hAnsi="宋体"/>
          <w:color w:val="auto"/>
          <w:sz w:val="28"/>
          <w:szCs w:val="28"/>
          <w:highlight w:val="none"/>
        </w:rPr>
      </w:pPr>
      <w:r>
        <w:rPr>
          <w:rFonts w:hint="eastAsia" w:ascii="宋体" w:hAnsi="宋体"/>
          <w:color w:val="auto"/>
          <w:sz w:val="28"/>
          <w:szCs w:val="28"/>
          <w:highlight w:val="none"/>
        </w:rPr>
        <w:t>4、乙方承诺拥有完全的权利和行为能力进行股权受让，无欺诈行为；</w:t>
      </w:r>
    </w:p>
    <w:p>
      <w:pPr>
        <w:tabs>
          <w:tab w:val="left" w:pos="3780"/>
        </w:tabs>
        <w:adjustRightInd w:val="0"/>
        <w:snapToGrid w:val="0"/>
        <w:spacing w:line="360" w:lineRule="auto"/>
        <w:ind w:firstLine="560"/>
        <w:jc w:val="left"/>
        <w:rPr>
          <w:rFonts w:ascii="宋体" w:hAnsi="宋体"/>
          <w:color w:val="auto"/>
          <w:sz w:val="28"/>
          <w:szCs w:val="28"/>
          <w:highlight w:val="none"/>
        </w:rPr>
      </w:pPr>
      <w:r>
        <w:rPr>
          <w:rFonts w:hint="eastAsia" w:ascii="宋体" w:hAnsi="宋体"/>
          <w:color w:val="auto"/>
          <w:sz w:val="28"/>
          <w:szCs w:val="28"/>
          <w:highlight w:val="none"/>
        </w:rPr>
        <w:t>5、乙方承诺签订本合同所需的各项授权、审批以及内部决策等在内的一切批准手续均已合法取得；</w:t>
      </w:r>
    </w:p>
    <w:p>
      <w:pPr>
        <w:tabs>
          <w:tab w:val="left" w:pos="3780"/>
        </w:tabs>
        <w:adjustRightInd w:val="0"/>
        <w:snapToGrid w:val="0"/>
        <w:spacing w:line="360" w:lineRule="auto"/>
        <w:ind w:firstLine="560"/>
        <w:jc w:val="left"/>
        <w:rPr>
          <w:rFonts w:ascii="宋体" w:hAnsi="宋体"/>
          <w:color w:val="auto"/>
          <w:sz w:val="28"/>
          <w:szCs w:val="28"/>
          <w:highlight w:val="none"/>
        </w:rPr>
      </w:pPr>
      <w:r>
        <w:rPr>
          <w:rFonts w:hint="eastAsia" w:ascii="宋体" w:hAnsi="宋体"/>
          <w:color w:val="auto"/>
          <w:sz w:val="28"/>
          <w:szCs w:val="28"/>
          <w:highlight w:val="none"/>
        </w:rPr>
        <w:t>6、乙方承诺受让转让标的没有违反对受让方具有约束力的合同、协议等所有法律文书；</w:t>
      </w:r>
    </w:p>
    <w:p>
      <w:pPr>
        <w:tabs>
          <w:tab w:val="left" w:pos="3780"/>
        </w:tabs>
        <w:adjustRightInd w:val="0"/>
        <w:snapToGrid w:val="0"/>
        <w:spacing w:line="360" w:lineRule="auto"/>
        <w:ind w:firstLine="560"/>
        <w:jc w:val="left"/>
        <w:rPr>
          <w:rFonts w:ascii="宋体" w:hAnsi="宋体"/>
          <w:color w:val="auto"/>
          <w:sz w:val="28"/>
          <w:szCs w:val="28"/>
          <w:highlight w:val="none"/>
        </w:rPr>
      </w:pPr>
      <w:r>
        <w:rPr>
          <w:rFonts w:hint="eastAsia" w:ascii="宋体" w:hAnsi="宋体"/>
          <w:color w:val="auto"/>
          <w:sz w:val="28"/>
          <w:szCs w:val="28"/>
          <w:highlight w:val="none"/>
        </w:rPr>
        <w:t>7、乙方保证按本合同之约定支付股权转让价款。</w:t>
      </w:r>
    </w:p>
    <w:p>
      <w:pPr>
        <w:pStyle w:val="18"/>
        <w:tabs>
          <w:tab w:val="left" w:pos="3780"/>
        </w:tabs>
        <w:adjustRightInd w:val="0"/>
        <w:snapToGrid w:val="0"/>
        <w:spacing w:line="360" w:lineRule="auto"/>
        <w:ind w:firstLine="562"/>
        <w:jc w:val="left"/>
        <w:rPr>
          <w:rFonts w:ascii="宋体" w:hAnsi="宋体"/>
          <w:b/>
          <w:color w:val="auto"/>
          <w:sz w:val="28"/>
          <w:szCs w:val="28"/>
          <w:highlight w:val="none"/>
        </w:rPr>
      </w:pPr>
      <w:r>
        <w:rPr>
          <w:rFonts w:hint="eastAsia" w:ascii="宋体" w:hAnsi="宋体"/>
          <w:b/>
          <w:color w:val="auto"/>
          <w:sz w:val="28"/>
          <w:szCs w:val="28"/>
          <w:highlight w:val="none"/>
        </w:rPr>
        <w:t>第十条 违约责任</w:t>
      </w:r>
    </w:p>
    <w:p>
      <w:pPr>
        <w:adjustRightInd w:val="0"/>
        <w:snapToGrid w:val="0"/>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本合同各方当事人应当按照法律规定及本合同的约定严格履行各自的义务。当事人一方不履行合同义务或者履行合同义务不符合约定的，应当承担继续履行、采取补救措施或者赔偿损失等违约责任。</w:t>
      </w:r>
    </w:p>
    <w:p>
      <w:pPr>
        <w:pStyle w:val="18"/>
        <w:tabs>
          <w:tab w:val="left" w:pos="709"/>
        </w:tabs>
        <w:adjustRightInd w:val="0"/>
        <w:snapToGrid w:val="0"/>
        <w:spacing w:line="360" w:lineRule="auto"/>
        <w:ind w:firstLine="560"/>
        <w:jc w:val="left"/>
        <w:rPr>
          <w:rFonts w:ascii="宋体" w:hAnsi="宋体"/>
          <w:color w:val="auto"/>
          <w:sz w:val="28"/>
          <w:szCs w:val="28"/>
          <w:highlight w:val="none"/>
        </w:rPr>
      </w:pPr>
      <w:r>
        <w:rPr>
          <w:rFonts w:hint="eastAsia" w:ascii="宋体" w:hAnsi="宋体"/>
          <w:color w:val="auto"/>
          <w:sz w:val="28"/>
          <w:szCs w:val="28"/>
          <w:highlight w:val="none"/>
        </w:rPr>
        <w:t>1、甲方应按合同约定配合乙方办理股权转让变更登记手续。如甲方拒不配合导致迟延办理股权转让变更登记手续的，则应自逾期之日起至甲方配合之日止按乙方已</w:t>
      </w:r>
      <w:r>
        <w:rPr>
          <w:rFonts w:ascii="宋体" w:hAnsi="宋体"/>
          <w:color w:val="auto"/>
          <w:sz w:val="28"/>
          <w:szCs w:val="28"/>
          <w:highlight w:val="none"/>
        </w:rPr>
        <w:t>支付的股权</w:t>
      </w:r>
      <w:r>
        <w:rPr>
          <w:rFonts w:hint="eastAsia" w:ascii="宋体" w:hAnsi="宋体"/>
          <w:color w:val="auto"/>
          <w:sz w:val="28"/>
          <w:szCs w:val="28"/>
          <w:highlight w:val="none"/>
        </w:rPr>
        <w:t>转让</w:t>
      </w:r>
      <w:r>
        <w:rPr>
          <w:rFonts w:ascii="宋体" w:hAnsi="宋体"/>
          <w:color w:val="auto"/>
          <w:sz w:val="28"/>
          <w:szCs w:val="28"/>
          <w:highlight w:val="none"/>
        </w:rPr>
        <w:t>价款</w:t>
      </w:r>
      <w:r>
        <w:rPr>
          <w:rFonts w:hint="eastAsia" w:ascii="宋体" w:hAnsi="宋体"/>
          <w:color w:val="auto"/>
          <w:sz w:val="28"/>
          <w:szCs w:val="28"/>
          <w:highlight w:val="none"/>
        </w:rPr>
        <w:t>的日</w:t>
      </w:r>
      <w:r>
        <w:rPr>
          <w:rFonts w:hint="eastAsia" w:ascii="宋体" w:hAnsi="宋体"/>
          <w:color w:val="auto"/>
          <w:sz w:val="28"/>
          <w:szCs w:val="28"/>
          <w:highlight w:val="none"/>
          <w:u w:val="single"/>
        </w:rPr>
        <w:t>0.0</w:t>
      </w:r>
      <w:r>
        <w:rPr>
          <w:rFonts w:ascii="宋体" w:hAnsi="宋体"/>
          <w:color w:val="auto"/>
          <w:sz w:val="28"/>
          <w:szCs w:val="28"/>
          <w:highlight w:val="none"/>
          <w:u w:val="single"/>
        </w:rPr>
        <w:t>2</w:t>
      </w:r>
      <w:r>
        <w:rPr>
          <w:rFonts w:hint="eastAsia" w:ascii="宋体" w:hAnsi="宋体"/>
          <w:color w:val="auto"/>
          <w:sz w:val="28"/>
          <w:szCs w:val="28"/>
          <w:highlight w:val="none"/>
          <w:u w:val="single"/>
        </w:rPr>
        <w:t>%</w:t>
      </w:r>
      <w:r>
        <w:rPr>
          <w:rFonts w:hint="eastAsia" w:ascii="宋体" w:hAnsi="宋体"/>
          <w:color w:val="auto"/>
          <w:sz w:val="28"/>
          <w:szCs w:val="28"/>
          <w:highlight w:val="none"/>
        </w:rPr>
        <w:t>向乙方支付违约金。</w:t>
      </w:r>
    </w:p>
    <w:p>
      <w:pPr>
        <w:pStyle w:val="18"/>
        <w:tabs>
          <w:tab w:val="left" w:pos="709"/>
        </w:tabs>
        <w:adjustRightInd w:val="0"/>
        <w:snapToGrid w:val="0"/>
        <w:spacing w:line="360" w:lineRule="auto"/>
        <w:ind w:firstLine="560"/>
        <w:jc w:val="left"/>
        <w:rPr>
          <w:rFonts w:ascii="宋体" w:hAnsi="宋体"/>
          <w:color w:val="auto"/>
          <w:sz w:val="28"/>
          <w:szCs w:val="28"/>
          <w:highlight w:val="none"/>
        </w:rPr>
      </w:pPr>
      <w:r>
        <w:rPr>
          <w:rFonts w:hint="eastAsia" w:ascii="宋体" w:hAnsi="宋体"/>
          <w:color w:val="auto"/>
          <w:sz w:val="28"/>
          <w:szCs w:val="28"/>
          <w:highlight w:val="none"/>
        </w:rPr>
        <w:t>2、乙方逾期支付股权转让款项的，视为乙方根本违约，甲方有权解除《股权转让合同》，同时有权不予返还保证金并要求乙方赔偿全部损失。</w:t>
      </w:r>
    </w:p>
    <w:p>
      <w:pPr>
        <w:pStyle w:val="18"/>
        <w:tabs>
          <w:tab w:val="left" w:pos="709"/>
        </w:tabs>
        <w:adjustRightInd w:val="0"/>
        <w:snapToGrid w:val="0"/>
        <w:spacing w:line="360" w:lineRule="auto"/>
        <w:ind w:firstLine="560"/>
        <w:jc w:val="left"/>
        <w:rPr>
          <w:rFonts w:ascii="宋体" w:hAnsi="宋体"/>
          <w:color w:val="auto"/>
          <w:sz w:val="28"/>
          <w:szCs w:val="28"/>
          <w:highlight w:val="none"/>
        </w:rPr>
      </w:pPr>
      <w:r>
        <w:rPr>
          <w:rFonts w:hint="eastAsia" w:ascii="宋体" w:hAnsi="宋体"/>
          <w:color w:val="auto"/>
          <w:sz w:val="28"/>
          <w:szCs w:val="28"/>
          <w:highlight w:val="none"/>
        </w:rPr>
        <w:t>3、一方违约，除应按上述约定承担违约责任外，还应支付守约方为主张权利支出的全部费用（包括但不限于诉讼费用、律师费、公证费、鉴定费、评估费等）。</w:t>
      </w:r>
    </w:p>
    <w:p>
      <w:pPr>
        <w:pStyle w:val="18"/>
        <w:tabs>
          <w:tab w:val="left" w:pos="3780"/>
        </w:tabs>
        <w:adjustRightInd w:val="0"/>
        <w:snapToGrid w:val="0"/>
        <w:spacing w:line="360" w:lineRule="auto"/>
        <w:ind w:firstLine="562"/>
        <w:jc w:val="left"/>
        <w:rPr>
          <w:rFonts w:ascii="宋体" w:hAnsi="宋体"/>
          <w:b/>
          <w:color w:val="auto"/>
          <w:sz w:val="28"/>
          <w:szCs w:val="28"/>
          <w:highlight w:val="none"/>
        </w:rPr>
      </w:pPr>
      <w:r>
        <w:rPr>
          <w:rFonts w:hint="eastAsia" w:ascii="宋体" w:hAnsi="宋体"/>
          <w:b/>
          <w:color w:val="auto"/>
          <w:sz w:val="28"/>
          <w:szCs w:val="28"/>
          <w:highlight w:val="none"/>
        </w:rPr>
        <w:t>第十一条 争议的解决方式</w:t>
      </w:r>
    </w:p>
    <w:p>
      <w:pPr>
        <w:tabs>
          <w:tab w:val="left" w:pos="3780"/>
        </w:tabs>
        <w:adjustRightInd w:val="0"/>
        <w:snapToGrid w:val="0"/>
        <w:spacing w:line="360" w:lineRule="auto"/>
        <w:ind w:firstLine="560"/>
        <w:jc w:val="left"/>
        <w:rPr>
          <w:rFonts w:ascii="宋体" w:hAnsi="宋体"/>
          <w:color w:val="auto"/>
          <w:sz w:val="28"/>
          <w:szCs w:val="28"/>
          <w:highlight w:val="none"/>
        </w:rPr>
      </w:pPr>
      <w:r>
        <w:rPr>
          <w:rFonts w:hint="eastAsia" w:ascii="宋体" w:hAnsi="宋体"/>
          <w:color w:val="auto"/>
          <w:sz w:val="28"/>
          <w:szCs w:val="28"/>
          <w:highlight w:val="none"/>
        </w:rPr>
        <w:t>甲、乙双方在履行本合同过程中若发生争议，应由双方协商解决，如协商解决不下，一方当事人可向甲方所在地人民法院起诉。</w:t>
      </w:r>
    </w:p>
    <w:p>
      <w:pPr>
        <w:pStyle w:val="18"/>
        <w:tabs>
          <w:tab w:val="left" w:pos="3780"/>
        </w:tabs>
        <w:adjustRightInd w:val="0"/>
        <w:snapToGrid w:val="0"/>
        <w:spacing w:line="360" w:lineRule="auto"/>
        <w:ind w:firstLine="562"/>
        <w:jc w:val="left"/>
        <w:rPr>
          <w:rFonts w:ascii="宋体" w:hAnsi="宋体"/>
          <w:b/>
          <w:color w:val="auto"/>
          <w:sz w:val="28"/>
          <w:szCs w:val="28"/>
          <w:highlight w:val="none"/>
        </w:rPr>
      </w:pPr>
      <w:r>
        <w:rPr>
          <w:rFonts w:hint="eastAsia" w:ascii="宋体" w:hAnsi="宋体"/>
          <w:b/>
          <w:color w:val="auto"/>
          <w:sz w:val="28"/>
          <w:szCs w:val="28"/>
          <w:highlight w:val="none"/>
        </w:rPr>
        <w:t>第十二条 法律适用</w:t>
      </w:r>
    </w:p>
    <w:p>
      <w:pPr>
        <w:tabs>
          <w:tab w:val="left" w:pos="3780"/>
        </w:tabs>
        <w:adjustRightInd w:val="0"/>
        <w:snapToGrid w:val="0"/>
        <w:spacing w:line="360" w:lineRule="auto"/>
        <w:ind w:firstLine="560"/>
        <w:jc w:val="left"/>
        <w:rPr>
          <w:rFonts w:ascii="宋体" w:hAnsi="宋体"/>
          <w:color w:val="auto"/>
          <w:sz w:val="28"/>
          <w:szCs w:val="28"/>
          <w:highlight w:val="none"/>
        </w:rPr>
      </w:pPr>
      <w:r>
        <w:rPr>
          <w:rFonts w:hint="eastAsia" w:ascii="宋体" w:hAnsi="宋体"/>
          <w:color w:val="auto"/>
          <w:sz w:val="28"/>
          <w:szCs w:val="28"/>
          <w:highlight w:val="none"/>
        </w:rPr>
        <w:t>本合同的适用和解释均为中华人民共和国的法律。</w:t>
      </w:r>
    </w:p>
    <w:p>
      <w:pPr>
        <w:pStyle w:val="18"/>
        <w:tabs>
          <w:tab w:val="left" w:pos="3780"/>
        </w:tabs>
        <w:adjustRightInd w:val="0"/>
        <w:snapToGrid w:val="0"/>
        <w:spacing w:line="360" w:lineRule="auto"/>
        <w:ind w:firstLine="562"/>
        <w:jc w:val="left"/>
        <w:rPr>
          <w:rFonts w:ascii="宋体" w:hAnsi="宋体"/>
          <w:b/>
          <w:color w:val="auto"/>
          <w:sz w:val="28"/>
          <w:szCs w:val="28"/>
          <w:highlight w:val="none"/>
        </w:rPr>
      </w:pPr>
      <w:r>
        <w:rPr>
          <w:rFonts w:hint="eastAsia" w:ascii="宋体" w:hAnsi="宋体"/>
          <w:b/>
          <w:color w:val="auto"/>
          <w:sz w:val="28"/>
          <w:szCs w:val="28"/>
          <w:highlight w:val="none"/>
        </w:rPr>
        <w:t>第十三条 合同的变更</w:t>
      </w:r>
    </w:p>
    <w:p>
      <w:pPr>
        <w:tabs>
          <w:tab w:val="left" w:pos="3780"/>
        </w:tabs>
        <w:adjustRightInd w:val="0"/>
        <w:snapToGrid w:val="0"/>
        <w:spacing w:line="360" w:lineRule="auto"/>
        <w:ind w:firstLine="560"/>
        <w:jc w:val="left"/>
        <w:rPr>
          <w:rFonts w:ascii="宋体" w:hAnsi="宋体"/>
          <w:color w:val="auto"/>
          <w:sz w:val="28"/>
          <w:szCs w:val="28"/>
          <w:highlight w:val="none"/>
        </w:rPr>
      </w:pPr>
      <w:r>
        <w:rPr>
          <w:rFonts w:hint="eastAsia" w:ascii="宋体" w:hAnsi="宋体"/>
          <w:color w:val="auto"/>
          <w:sz w:val="28"/>
          <w:szCs w:val="28"/>
          <w:highlight w:val="none"/>
        </w:rPr>
        <w:t>双方当事人协商一致可变更本合同，但不得损害国家和社会公共利益及不违反有关规定。</w:t>
      </w:r>
    </w:p>
    <w:p>
      <w:pPr>
        <w:pStyle w:val="18"/>
        <w:tabs>
          <w:tab w:val="left" w:pos="3780"/>
        </w:tabs>
        <w:adjustRightInd w:val="0"/>
        <w:snapToGrid w:val="0"/>
        <w:spacing w:line="360" w:lineRule="auto"/>
        <w:ind w:firstLine="562"/>
        <w:jc w:val="left"/>
        <w:rPr>
          <w:rFonts w:ascii="宋体" w:hAnsi="宋体"/>
          <w:b/>
          <w:color w:val="auto"/>
          <w:sz w:val="28"/>
          <w:szCs w:val="28"/>
          <w:highlight w:val="none"/>
        </w:rPr>
      </w:pPr>
      <w:r>
        <w:rPr>
          <w:rFonts w:hint="eastAsia" w:ascii="宋体" w:hAnsi="宋体"/>
          <w:b/>
          <w:color w:val="auto"/>
          <w:sz w:val="28"/>
          <w:szCs w:val="28"/>
          <w:highlight w:val="none"/>
        </w:rPr>
        <w:t>第十四条 合同的解除</w:t>
      </w:r>
    </w:p>
    <w:p>
      <w:pPr>
        <w:tabs>
          <w:tab w:val="left" w:pos="3780"/>
        </w:tabs>
        <w:adjustRightInd w:val="0"/>
        <w:snapToGrid w:val="0"/>
        <w:spacing w:line="360" w:lineRule="auto"/>
        <w:ind w:firstLine="560"/>
        <w:jc w:val="left"/>
        <w:rPr>
          <w:rFonts w:ascii="宋体" w:hAnsi="宋体"/>
          <w:color w:val="auto"/>
          <w:sz w:val="28"/>
          <w:szCs w:val="28"/>
          <w:highlight w:val="none"/>
        </w:rPr>
      </w:pPr>
      <w:r>
        <w:rPr>
          <w:rFonts w:hint="eastAsia" w:ascii="宋体" w:hAnsi="宋体"/>
          <w:color w:val="auto"/>
          <w:sz w:val="28"/>
          <w:szCs w:val="28"/>
          <w:highlight w:val="none"/>
        </w:rPr>
        <w:t>有下列情形之一的，当事人可以解除合同：</w:t>
      </w:r>
    </w:p>
    <w:p>
      <w:pPr>
        <w:tabs>
          <w:tab w:val="left" w:pos="3780"/>
        </w:tabs>
        <w:adjustRightInd w:val="0"/>
        <w:snapToGrid w:val="0"/>
        <w:spacing w:line="360" w:lineRule="auto"/>
        <w:ind w:firstLine="560"/>
        <w:jc w:val="left"/>
        <w:rPr>
          <w:rFonts w:ascii="宋体" w:hAnsi="宋体"/>
          <w:color w:val="auto"/>
          <w:sz w:val="28"/>
          <w:szCs w:val="28"/>
          <w:highlight w:val="none"/>
        </w:rPr>
      </w:pPr>
      <w:r>
        <w:rPr>
          <w:rFonts w:hint="eastAsia" w:ascii="宋体" w:hAnsi="宋体"/>
          <w:color w:val="auto"/>
          <w:sz w:val="28"/>
          <w:szCs w:val="28"/>
          <w:highlight w:val="none"/>
        </w:rPr>
        <w:t>1、因不可抗力致使不能实现合同目的；</w:t>
      </w:r>
    </w:p>
    <w:p>
      <w:pPr>
        <w:tabs>
          <w:tab w:val="left" w:pos="3780"/>
        </w:tabs>
        <w:adjustRightInd w:val="0"/>
        <w:snapToGrid w:val="0"/>
        <w:spacing w:line="360" w:lineRule="auto"/>
        <w:ind w:firstLine="560"/>
        <w:jc w:val="left"/>
        <w:rPr>
          <w:rFonts w:ascii="宋体" w:hAnsi="宋体"/>
          <w:color w:val="auto"/>
          <w:sz w:val="28"/>
          <w:szCs w:val="28"/>
          <w:highlight w:val="none"/>
        </w:rPr>
      </w:pPr>
      <w:bookmarkStart w:id="32" w:name="斟酌06"/>
      <w:r>
        <w:rPr>
          <w:rFonts w:hint="eastAsia" w:ascii="宋体" w:hAnsi="宋体"/>
          <w:color w:val="auto"/>
          <w:sz w:val="28"/>
          <w:szCs w:val="28"/>
          <w:highlight w:val="none"/>
        </w:rPr>
        <w:t>2、在履行期限届满之前，当事人一方明确表示或者以自己的行为表明不履行主要债务，另一方有权解除合同；</w:t>
      </w:r>
    </w:p>
    <w:p>
      <w:pPr>
        <w:tabs>
          <w:tab w:val="left" w:pos="3780"/>
        </w:tabs>
        <w:adjustRightInd w:val="0"/>
        <w:snapToGrid w:val="0"/>
        <w:spacing w:line="360" w:lineRule="auto"/>
        <w:ind w:firstLine="560"/>
        <w:jc w:val="left"/>
        <w:rPr>
          <w:rFonts w:ascii="宋体" w:hAnsi="宋体"/>
          <w:color w:val="auto"/>
          <w:sz w:val="28"/>
          <w:szCs w:val="28"/>
          <w:highlight w:val="none"/>
        </w:rPr>
      </w:pPr>
      <w:r>
        <w:rPr>
          <w:rFonts w:hint="eastAsia" w:ascii="宋体" w:hAnsi="宋体"/>
          <w:color w:val="auto"/>
          <w:sz w:val="28"/>
          <w:szCs w:val="28"/>
          <w:highlight w:val="none"/>
        </w:rPr>
        <w:t>3、当事人一方迟延履行主要债务，经催告后在合理期限内仍未履行，另一方有权解除合同；</w:t>
      </w:r>
    </w:p>
    <w:p>
      <w:pPr>
        <w:tabs>
          <w:tab w:val="left" w:pos="3780"/>
        </w:tabs>
        <w:adjustRightInd w:val="0"/>
        <w:snapToGrid w:val="0"/>
        <w:spacing w:line="360" w:lineRule="auto"/>
        <w:ind w:firstLine="560"/>
        <w:jc w:val="left"/>
        <w:rPr>
          <w:rFonts w:ascii="宋体" w:hAnsi="宋体"/>
          <w:color w:val="auto"/>
          <w:sz w:val="28"/>
          <w:szCs w:val="28"/>
          <w:highlight w:val="none"/>
        </w:rPr>
      </w:pPr>
      <w:r>
        <w:rPr>
          <w:rFonts w:hint="eastAsia" w:ascii="宋体" w:hAnsi="宋体"/>
          <w:color w:val="auto"/>
          <w:sz w:val="28"/>
          <w:szCs w:val="28"/>
          <w:highlight w:val="none"/>
        </w:rPr>
        <w:t>4、当事人一方迟延履行债务或者有其他违约行为致使不能实现合同目的，另一方有权解除合同；</w:t>
      </w:r>
    </w:p>
    <w:bookmarkEnd w:id="32"/>
    <w:p>
      <w:pPr>
        <w:tabs>
          <w:tab w:val="left" w:pos="3780"/>
        </w:tabs>
        <w:adjustRightInd w:val="0"/>
        <w:snapToGrid w:val="0"/>
        <w:spacing w:line="360" w:lineRule="auto"/>
        <w:ind w:firstLine="560"/>
        <w:jc w:val="left"/>
        <w:rPr>
          <w:rFonts w:ascii="宋体" w:hAnsi="宋体"/>
          <w:color w:val="auto"/>
          <w:sz w:val="28"/>
          <w:szCs w:val="28"/>
          <w:highlight w:val="none"/>
        </w:rPr>
      </w:pPr>
      <w:r>
        <w:rPr>
          <w:rFonts w:hint="eastAsia" w:ascii="宋体" w:hAnsi="宋体"/>
          <w:color w:val="auto"/>
          <w:sz w:val="28"/>
          <w:szCs w:val="28"/>
          <w:highlight w:val="none"/>
        </w:rPr>
        <w:t>5、法律规定的其他情形。</w:t>
      </w:r>
    </w:p>
    <w:p>
      <w:pPr>
        <w:tabs>
          <w:tab w:val="left" w:pos="3780"/>
        </w:tabs>
        <w:adjustRightInd w:val="0"/>
        <w:snapToGrid w:val="0"/>
        <w:spacing w:line="360" w:lineRule="auto"/>
        <w:ind w:firstLine="560"/>
        <w:jc w:val="left"/>
        <w:rPr>
          <w:rFonts w:ascii="宋体" w:hAnsi="宋体"/>
          <w:color w:val="auto"/>
          <w:sz w:val="28"/>
          <w:szCs w:val="28"/>
          <w:highlight w:val="none"/>
        </w:rPr>
      </w:pPr>
      <w:r>
        <w:rPr>
          <w:rFonts w:hint="eastAsia" w:ascii="宋体" w:hAnsi="宋体"/>
          <w:color w:val="auto"/>
          <w:sz w:val="28"/>
          <w:szCs w:val="28"/>
          <w:highlight w:val="none"/>
        </w:rPr>
        <w:t>变更或解除本合同均应采用书面形式，并送台州市产权交易所有限公司备案。</w:t>
      </w:r>
    </w:p>
    <w:p>
      <w:pPr>
        <w:pStyle w:val="18"/>
        <w:tabs>
          <w:tab w:val="left" w:pos="3780"/>
        </w:tabs>
        <w:adjustRightInd w:val="0"/>
        <w:snapToGrid w:val="0"/>
        <w:spacing w:line="360" w:lineRule="auto"/>
        <w:ind w:firstLine="562"/>
        <w:jc w:val="left"/>
        <w:rPr>
          <w:rFonts w:ascii="宋体" w:hAnsi="宋体"/>
          <w:b/>
          <w:color w:val="auto"/>
          <w:sz w:val="28"/>
          <w:szCs w:val="28"/>
          <w:highlight w:val="none"/>
        </w:rPr>
      </w:pPr>
      <w:r>
        <w:rPr>
          <w:rFonts w:hint="eastAsia" w:ascii="宋体" w:hAnsi="宋体"/>
          <w:b/>
          <w:color w:val="auto"/>
          <w:sz w:val="28"/>
          <w:szCs w:val="28"/>
          <w:highlight w:val="none"/>
        </w:rPr>
        <w:t>第十五条 合同的生效</w:t>
      </w:r>
    </w:p>
    <w:p>
      <w:pPr>
        <w:tabs>
          <w:tab w:val="left" w:pos="3780"/>
        </w:tabs>
        <w:adjustRightInd w:val="0"/>
        <w:snapToGrid w:val="0"/>
        <w:spacing w:line="360" w:lineRule="auto"/>
        <w:ind w:firstLine="560"/>
        <w:jc w:val="left"/>
        <w:rPr>
          <w:rFonts w:ascii="宋体" w:hAnsi="宋体"/>
          <w:color w:val="auto"/>
          <w:sz w:val="28"/>
          <w:szCs w:val="28"/>
          <w:highlight w:val="none"/>
        </w:rPr>
      </w:pPr>
      <w:r>
        <w:rPr>
          <w:rFonts w:hint="eastAsia" w:ascii="宋体" w:hAnsi="宋体"/>
          <w:color w:val="auto"/>
          <w:sz w:val="28"/>
          <w:szCs w:val="28"/>
          <w:highlight w:val="none"/>
        </w:rPr>
        <w:t>本合同自甲、乙双方的授权代表签字、盖章后生效。本合同生效后，双方对本合同内容的变更或补充应采用书面形式订立，并作为本合同的附件。附件与本合同具有同等的法律效力。</w:t>
      </w:r>
    </w:p>
    <w:p>
      <w:pPr>
        <w:tabs>
          <w:tab w:val="left" w:pos="3780"/>
        </w:tabs>
        <w:adjustRightInd w:val="0"/>
        <w:snapToGrid w:val="0"/>
        <w:spacing w:line="360" w:lineRule="auto"/>
        <w:ind w:firstLine="560"/>
        <w:jc w:val="left"/>
        <w:rPr>
          <w:rFonts w:ascii="宋体" w:hAnsi="宋体"/>
          <w:color w:val="auto"/>
          <w:sz w:val="28"/>
          <w:szCs w:val="28"/>
          <w:highlight w:val="none"/>
        </w:rPr>
      </w:pPr>
      <w:r>
        <w:rPr>
          <w:rFonts w:hint="eastAsia" w:ascii="宋体" w:hAnsi="宋体"/>
          <w:color w:val="auto"/>
          <w:sz w:val="28"/>
          <w:szCs w:val="28"/>
          <w:highlight w:val="none"/>
        </w:rPr>
        <w:t>本合同一式</w:t>
      </w:r>
      <w:r>
        <w:rPr>
          <w:rFonts w:hint="eastAsia" w:ascii="宋体" w:hAnsi="宋体"/>
          <w:color w:val="auto"/>
          <w:sz w:val="28"/>
          <w:szCs w:val="28"/>
          <w:highlight w:val="none"/>
          <w:u w:val="single"/>
        </w:rPr>
        <w:t>陆</w:t>
      </w:r>
      <w:r>
        <w:rPr>
          <w:rFonts w:hint="eastAsia" w:ascii="宋体" w:hAnsi="宋体"/>
          <w:color w:val="auto"/>
          <w:sz w:val="28"/>
          <w:szCs w:val="28"/>
          <w:highlight w:val="none"/>
        </w:rPr>
        <w:t>份，甲、乙双方各执</w:t>
      </w:r>
      <w:r>
        <w:rPr>
          <w:rFonts w:hint="eastAsia" w:ascii="宋体" w:hAnsi="宋体"/>
          <w:color w:val="auto"/>
          <w:sz w:val="28"/>
          <w:szCs w:val="28"/>
          <w:highlight w:val="none"/>
          <w:u w:val="single"/>
        </w:rPr>
        <w:t>壹</w:t>
      </w:r>
      <w:r>
        <w:rPr>
          <w:rFonts w:hint="eastAsia" w:ascii="宋体" w:hAnsi="宋体"/>
          <w:color w:val="auto"/>
          <w:sz w:val="28"/>
          <w:szCs w:val="28"/>
          <w:highlight w:val="none"/>
        </w:rPr>
        <w:t>份，标的公司执</w:t>
      </w:r>
      <w:r>
        <w:rPr>
          <w:rFonts w:hint="eastAsia" w:ascii="宋体" w:hAnsi="宋体"/>
          <w:color w:val="auto"/>
          <w:sz w:val="28"/>
          <w:szCs w:val="28"/>
          <w:highlight w:val="none"/>
          <w:u w:val="single"/>
        </w:rPr>
        <w:t>壹</w:t>
      </w:r>
      <w:r>
        <w:rPr>
          <w:rFonts w:hint="eastAsia" w:ascii="宋体" w:hAnsi="宋体"/>
          <w:color w:val="auto"/>
          <w:sz w:val="28"/>
          <w:szCs w:val="28"/>
          <w:highlight w:val="none"/>
        </w:rPr>
        <w:t>份，台州市产权交易所有限公司执</w:t>
      </w:r>
      <w:r>
        <w:rPr>
          <w:rFonts w:hint="eastAsia" w:ascii="宋体" w:hAnsi="宋体"/>
          <w:color w:val="auto"/>
          <w:sz w:val="28"/>
          <w:szCs w:val="28"/>
          <w:highlight w:val="none"/>
          <w:u w:val="single"/>
        </w:rPr>
        <w:t>壹</w:t>
      </w:r>
      <w:r>
        <w:rPr>
          <w:rFonts w:hint="eastAsia" w:ascii="宋体" w:hAnsi="宋体"/>
          <w:color w:val="auto"/>
          <w:sz w:val="28"/>
          <w:szCs w:val="28"/>
          <w:highlight w:val="none"/>
        </w:rPr>
        <w:t>份，其余</w:t>
      </w:r>
      <w:r>
        <w:rPr>
          <w:rFonts w:hint="eastAsia" w:ascii="宋体" w:hAnsi="宋体"/>
          <w:color w:val="auto"/>
          <w:sz w:val="28"/>
          <w:szCs w:val="28"/>
          <w:highlight w:val="none"/>
          <w:u w:val="single"/>
        </w:rPr>
        <w:t>贰</w:t>
      </w:r>
      <w:r>
        <w:rPr>
          <w:rFonts w:hint="eastAsia" w:ascii="宋体" w:hAnsi="宋体"/>
          <w:color w:val="auto"/>
          <w:sz w:val="28"/>
          <w:szCs w:val="28"/>
          <w:highlight w:val="none"/>
        </w:rPr>
        <w:t>份报相关部门。</w:t>
      </w:r>
    </w:p>
    <w:p>
      <w:pPr>
        <w:tabs>
          <w:tab w:val="left" w:pos="3780"/>
        </w:tabs>
        <w:spacing w:after="156" w:afterLines="50" w:line="420" w:lineRule="exact"/>
        <w:ind w:firstLine="560"/>
        <w:jc w:val="left"/>
        <w:rPr>
          <w:rFonts w:ascii="宋体" w:hAnsi="宋体"/>
          <w:color w:val="auto"/>
          <w:sz w:val="28"/>
          <w:szCs w:val="28"/>
          <w:highlight w:val="none"/>
        </w:rPr>
      </w:pPr>
      <w:r>
        <w:rPr>
          <w:rFonts w:hint="eastAsia" w:ascii="宋体" w:hAnsi="宋体"/>
          <w:color w:val="auto"/>
          <w:sz w:val="28"/>
          <w:szCs w:val="28"/>
          <w:highlight w:val="none"/>
        </w:rPr>
        <w:br w:type="page"/>
      </w:r>
    </w:p>
    <w:p>
      <w:pPr>
        <w:spacing w:line="360" w:lineRule="exact"/>
        <w:ind w:firstLine="560"/>
        <w:rPr>
          <w:rFonts w:ascii="宋体" w:hAnsi="宋体"/>
          <w:color w:val="auto"/>
          <w:sz w:val="28"/>
          <w:szCs w:val="28"/>
          <w:highlight w:val="none"/>
        </w:rPr>
      </w:pPr>
      <w:r>
        <w:rPr>
          <w:rFonts w:hint="eastAsia" w:ascii="宋体" w:hAnsi="宋体"/>
          <w:color w:val="auto"/>
          <w:sz w:val="28"/>
          <w:szCs w:val="28"/>
          <w:highlight w:val="none"/>
        </w:rPr>
        <w:t>(此页无正文)</w:t>
      </w:r>
    </w:p>
    <w:p>
      <w:pPr>
        <w:spacing w:line="360" w:lineRule="exact"/>
        <w:ind w:firstLine="560"/>
        <w:rPr>
          <w:rFonts w:ascii="宋体" w:hAnsi="宋体"/>
          <w:color w:val="auto"/>
          <w:sz w:val="28"/>
          <w:szCs w:val="28"/>
          <w:highlight w:val="none"/>
        </w:rPr>
      </w:pPr>
    </w:p>
    <w:p>
      <w:pPr>
        <w:spacing w:line="360" w:lineRule="exact"/>
        <w:ind w:firstLine="560"/>
        <w:rPr>
          <w:rFonts w:ascii="宋体" w:hAnsi="宋体"/>
          <w:color w:val="auto"/>
          <w:sz w:val="28"/>
          <w:szCs w:val="28"/>
          <w:highlight w:val="none"/>
        </w:rPr>
      </w:pPr>
    </w:p>
    <w:tbl>
      <w:tblPr>
        <w:tblStyle w:val="14"/>
        <w:tblW w:w="9060" w:type="dxa"/>
        <w:tblInd w:w="0" w:type="dxa"/>
        <w:tblLayout w:type="fixed"/>
        <w:tblCellMar>
          <w:top w:w="0" w:type="dxa"/>
          <w:left w:w="108" w:type="dxa"/>
          <w:bottom w:w="0" w:type="dxa"/>
          <w:right w:w="108" w:type="dxa"/>
        </w:tblCellMar>
      </w:tblPr>
      <w:tblGrid>
        <w:gridCol w:w="4530"/>
        <w:gridCol w:w="4530"/>
      </w:tblGrid>
      <w:tr>
        <w:tblPrEx>
          <w:tblCellMar>
            <w:top w:w="0" w:type="dxa"/>
            <w:left w:w="108" w:type="dxa"/>
            <w:bottom w:w="0" w:type="dxa"/>
            <w:right w:w="108" w:type="dxa"/>
          </w:tblCellMar>
        </w:tblPrEx>
        <w:trPr>
          <w:trHeight w:val="851" w:hRule="atLeast"/>
        </w:trPr>
        <w:tc>
          <w:tcPr>
            <w:tcW w:w="4530" w:type="dxa"/>
            <w:vAlign w:val="center"/>
          </w:tcPr>
          <w:p>
            <w:pPr>
              <w:spacing w:line="360" w:lineRule="exact"/>
              <w:ind w:firstLine="0" w:firstLineChars="0"/>
              <w:rPr>
                <w:rFonts w:ascii="宋体" w:hAnsi="宋体"/>
                <w:color w:val="auto"/>
                <w:sz w:val="28"/>
                <w:szCs w:val="28"/>
                <w:highlight w:val="none"/>
              </w:rPr>
            </w:pPr>
            <w:r>
              <w:rPr>
                <w:rFonts w:hint="eastAsia" w:ascii="宋体" w:hAnsi="宋体"/>
                <w:color w:val="auto"/>
                <w:sz w:val="28"/>
                <w:szCs w:val="28"/>
                <w:highlight w:val="none"/>
              </w:rPr>
              <w:t>出让方（甲方）：</w:t>
            </w:r>
          </w:p>
          <w:p>
            <w:pPr>
              <w:spacing w:line="360" w:lineRule="exact"/>
              <w:ind w:firstLine="840" w:firstLineChars="300"/>
              <w:rPr>
                <w:rFonts w:ascii="宋体" w:hAnsi="宋体"/>
                <w:color w:val="auto"/>
                <w:sz w:val="28"/>
                <w:szCs w:val="28"/>
                <w:highlight w:val="none"/>
              </w:rPr>
            </w:pPr>
            <w:r>
              <w:rPr>
                <w:rFonts w:hint="eastAsia" w:ascii="宋体" w:hAnsi="宋体"/>
                <w:color w:val="auto"/>
                <w:sz w:val="28"/>
                <w:szCs w:val="28"/>
                <w:highlight w:val="none"/>
              </w:rPr>
              <w:t>（盖章）</w:t>
            </w:r>
          </w:p>
          <w:p>
            <w:pPr>
              <w:spacing w:line="360" w:lineRule="exact"/>
              <w:ind w:firstLine="840" w:firstLineChars="300"/>
              <w:rPr>
                <w:rFonts w:ascii="宋体" w:hAnsi="宋体"/>
                <w:color w:val="auto"/>
                <w:sz w:val="28"/>
                <w:szCs w:val="28"/>
                <w:highlight w:val="none"/>
              </w:rPr>
            </w:pPr>
          </w:p>
        </w:tc>
        <w:tc>
          <w:tcPr>
            <w:tcW w:w="4530" w:type="dxa"/>
            <w:vAlign w:val="center"/>
          </w:tcPr>
          <w:p>
            <w:pPr>
              <w:spacing w:line="360" w:lineRule="exact"/>
              <w:ind w:firstLine="0" w:firstLineChars="0"/>
              <w:rPr>
                <w:rFonts w:ascii="宋体" w:hAnsi="宋体"/>
                <w:color w:val="auto"/>
                <w:sz w:val="28"/>
                <w:szCs w:val="28"/>
                <w:highlight w:val="none"/>
              </w:rPr>
            </w:pPr>
            <w:r>
              <w:rPr>
                <w:rFonts w:hint="eastAsia" w:ascii="宋体" w:hAnsi="宋体"/>
                <w:color w:val="auto"/>
                <w:sz w:val="28"/>
                <w:szCs w:val="28"/>
                <w:highlight w:val="none"/>
              </w:rPr>
              <w:t>受让方（乙方）：</w:t>
            </w:r>
          </w:p>
          <w:p>
            <w:pPr>
              <w:spacing w:line="360" w:lineRule="exact"/>
              <w:ind w:firstLine="840" w:firstLineChars="300"/>
              <w:rPr>
                <w:rFonts w:ascii="宋体" w:hAnsi="宋体"/>
                <w:color w:val="auto"/>
                <w:sz w:val="28"/>
                <w:szCs w:val="28"/>
                <w:highlight w:val="none"/>
              </w:rPr>
            </w:pPr>
            <w:r>
              <w:rPr>
                <w:rFonts w:hint="eastAsia" w:ascii="宋体" w:hAnsi="宋体"/>
                <w:color w:val="auto"/>
                <w:sz w:val="28"/>
                <w:szCs w:val="28"/>
                <w:highlight w:val="none"/>
              </w:rPr>
              <w:t>（盖章）</w:t>
            </w:r>
          </w:p>
          <w:p>
            <w:pPr>
              <w:spacing w:line="360" w:lineRule="exact"/>
              <w:ind w:firstLine="840" w:firstLineChars="300"/>
              <w:rPr>
                <w:rFonts w:ascii="宋体" w:hAnsi="宋体"/>
                <w:color w:val="auto"/>
                <w:sz w:val="28"/>
                <w:szCs w:val="28"/>
                <w:highlight w:val="none"/>
              </w:rPr>
            </w:pPr>
          </w:p>
        </w:tc>
      </w:tr>
      <w:tr>
        <w:tblPrEx>
          <w:tblCellMar>
            <w:top w:w="0" w:type="dxa"/>
            <w:left w:w="108" w:type="dxa"/>
            <w:bottom w:w="0" w:type="dxa"/>
            <w:right w:w="108" w:type="dxa"/>
          </w:tblCellMar>
        </w:tblPrEx>
        <w:trPr>
          <w:trHeight w:val="851" w:hRule="atLeast"/>
        </w:trPr>
        <w:tc>
          <w:tcPr>
            <w:tcW w:w="4530" w:type="dxa"/>
            <w:vAlign w:val="center"/>
          </w:tcPr>
          <w:p>
            <w:pPr>
              <w:spacing w:line="360" w:lineRule="exact"/>
              <w:ind w:firstLine="0" w:firstLineChars="0"/>
              <w:rPr>
                <w:rFonts w:ascii="宋体" w:hAnsi="宋体"/>
                <w:color w:val="auto"/>
                <w:sz w:val="28"/>
                <w:szCs w:val="28"/>
                <w:highlight w:val="none"/>
              </w:rPr>
            </w:pPr>
            <w:r>
              <w:rPr>
                <w:rFonts w:hint="eastAsia" w:ascii="宋体" w:hAnsi="宋体"/>
                <w:color w:val="auto"/>
                <w:sz w:val="28"/>
                <w:szCs w:val="28"/>
                <w:highlight w:val="none"/>
              </w:rPr>
              <w:t>法定代表人（签字）：</w:t>
            </w:r>
          </w:p>
          <w:p>
            <w:pPr>
              <w:spacing w:line="360" w:lineRule="exact"/>
              <w:ind w:firstLine="0" w:firstLineChars="0"/>
              <w:rPr>
                <w:rFonts w:ascii="宋体" w:hAnsi="宋体"/>
                <w:color w:val="auto"/>
                <w:sz w:val="28"/>
                <w:szCs w:val="28"/>
                <w:highlight w:val="none"/>
              </w:rPr>
            </w:pPr>
            <w:r>
              <w:rPr>
                <w:rFonts w:hint="eastAsia" w:ascii="宋体" w:hAnsi="宋体"/>
                <w:color w:val="auto"/>
                <w:sz w:val="28"/>
                <w:szCs w:val="28"/>
                <w:highlight w:val="none"/>
              </w:rPr>
              <w:t>或授权代表：</w:t>
            </w:r>
          </w:p>
          <w:p>
            <w:pPr>
              <w:spacing w:line="360" w:lineRule="exact"/>
              <w:ind w:firstLine="0" w:firstLineChars="0"/>
              <w:rPr>
                <w:rFonts w:ascii="宋体" w:hAnsi="宋体"/>
                <w:color w:val="auto"/>
                <w:sz w:val="28"/>
                <w:szCs w:val="28"/>
                <w:highlight w:val="none"/>
              </w:rPr>
            </w:pPr>
          </w:p>
        </w:tc>
        <w:tc>
          <w:tcPr>
            <w:tcW w:w="4530" w:type="dxa"/>
            <w:vAlign w:val="center"/>
          </w:tcPr>
          <w:p>
            <w:pPr>
              <w:spacing w:line="360" w:lineRule="exact"/>
              <w:ind w:firstLine="0" w:firstLineChars="0"/>
              <w:rPr>
                <w:rFonts w:ascii="宋体" w:hAnsi="宋体"/>
                <w:color w:val="auto"/>
                <w:sz w:val="28"/>
                <w:szCs w:val="28"/>
                <w:highlight w:val="none"/>
              </w:rPr>
            </w:pPr>
            <w:r>
              <w:rPr>
                <w:rFonts w:hint="eastAsia" w:ascii="宋体" w:hAnsi="宋体"/>
                <w:color w:val="auto"/>
                <w:sz w:val="28"/>
                <w:szCs w:val="28"/>
                <w:highlight w:val="none"/>
              </w:rPr>
              <w:t>法定代表人（签字）：</w:t>
            </w:r>
          </w:p>
          <w:p>
            <w:pPr>
              <w:spacing w:line="360" w:lineRule="exact"/>
              <w:ind w:firstLine="0" w:firstLineChars="0"/>
              <w:rPr>
                <w:rFonts w:ascii="宋体" w:hAnsi="宋体"/>
                <w:color w:val="auto"/>
                <w:sz w:val="28"/>
                <w:szCs w:val="28"/>
                <w:highlight w:val="none"/>
              </w:rPr>
            </w:pPr>
            <w:r>
              <w:rPr>
                <w:rFonts w:hint="eastAsia" w:ascii="宋体" w:hAnsi="宋体"/>
                <w:color w:val="auto"/>
                <w:sz w:val="28"/>
                <w:szCs w:val="28"/>
                <w:highlight w:val="none"/>
              </w:rPr>
              <w:t>或授权代表：</w:t>
            </w:r>
          </w:p>
          <w:p>
            <w:pPr>
              <w:spacing w:line="360" w:lineRule="exact"/>
              <w:ind w:firstLine="0" w:firstLineChars="0"/>
              <w:rPr>
                <w:rFonts w:ascii="宋体" w:hAnsi="宋体"/>
                <w:color w:val="auto"/>
                <w:sz w:val="28"/>
                <w:szCs w:val="28"/>
                <w:highlight w:val="none"/>
              </w:rPr>
            </w:pPr>
          </w:p>
        </w:tc>
      </w:tr>
      <w:tr>
        <w:tblPrEx>
          <w:tblCellMar>
            <w:top w:w="0" w:type="dxa"/>
            <w:left w:w="108" w:type="dxa"/>
            <w:bottom w:w="0" w:type="dxa"/>
            <w:right w:w="108" w:type="dxa"/>
          </w:tblCellMar>
        </w:tblPrEx>
        <w:trPr>
          <w:trHeight w:val="851" w:hRule="atLeast"/>
        </w:trPr>
        <w:tc>
          <w:tcPr>
            <w:tcW w:w="4530" w:type="dxa"/>
            <w:vAlign w:val="center"/>
          </w:tcPr>
          <w:p>
            <w:pPr>
              <w:spacing w:line="360" w:lineRule="exact"/>
              <w:ind w:firstLine="0" w:firstLineChars="0"/>
              <w:rPr>
                <w:rFonts w:ascii="宋体" w:hAnsi="宋体"/>
                <w:color w:val="auto"/>
                <w:sz w:val="28"/>
                <w:szCs w:val="28"/>
                <w:highlight w:val="none"/>
              </w:rPr>
            </w:pPr>
            <w:r>
              <w:rPr>
                <w:rFonts w:hint="eastAsia" w:ascii="宋体" w:hAnsi="宋体"/>
                <w:color w:val="auto"/>
                <w:sz w:val="28"/>
                <w:szCs w:val="28"/>
                <w:highlight w:val="none"/>
              </w:rPr>
              <w:t>签订时间：    年    月   日</w:t>
            </w:r>
          </w:p>
        </w:tc>
        <w:tc>
          <w:tcPr>
            <w:tcW w:w="4530" w:type="dxa"/>
            <w:vAlign w:val="center"/>
          </w:tcPr>
          <w:p>
            <w:pPr>
              <w:spacing w:line="360" w:lineRule="exact"/>
              <w:ind w:firstLine="0" w:firstLineChars="0"/>
              <w:rPr>
                <w:rFonts w:ascii="宋体" w:hAnsi="宋体"/>
                <w:color w:val="auto"/>
                <w:sz w:val="28"/>
                <w:szCs w:val="28"/>
                <w:highlight w:val="none"/>
              </w:rPr>
            </w:pPr>
            <w:r>
              <w:rPr>
                <w:rFonts w:hint="eastAsia" w:ascii="宋体" w:hAnsi="宋体"/>
                <w:color w:val="auto"/>
                <w:sz w:val="28"/>
                <w:szCs w:val="28"/>
                <w:highlight w:val="none"/>
              </w:rPr>
              <w:t>签订时间：    年  月   日</w:t>
            </w:r>
          </w:p>
        </w:tc>
      </w:tr>
      <w:tr>
        <w:tblPrEx>
          <w:tblCellMar>
            <w:top w:w="0" w:type="dxa"/>
            <w:left w:w="108" w:type="dxa"/>
            <w:bottom w:w="0" w:type="dxa"/>
            <w:right w:w="108" w:type="dxa"/>
          </w:tblCellMar>
        </w:tblPrEx>
        <w:trPr>
          <w:trHeight w:val="851" w:hRule="atLeast"/>
        </w:trPr>
        <w:tc>
          <w:tcPr>
            <w:tcW w:w="4530" w:type="dxa"/>
            <w:vAlign w:val="center"/>
          </w:tcPr>
          <w:p>
            <w:pPr>
              <w:spacing w:line="360" w:lineRule="exact"/>
              <w:ind w:firstLine="0" w:firstLineChars="0"/>
              <w:rPr>
                <w:rFonts w:ascii="宋体" w:hAnsi="宋体"/>
                <w:color w:val="auto"/>
                <w:sz w:val="28"/>
                <w:szCs w:val="28"/>
                <w:highlight w:val="none"/>
              </w:rPr>
            </w:pPr>
            <w:r>
              <w:rPr>
                <w:rFonts w:hint="eastAsia" w:ascii="宋体" w:hAnsi="宋体"/>
                <w:color w:val="auto"/>
                <w:sz w:val="28"/>
                <w:szCs w:val="28"/>
                <w:highlight w:val="none"/>
              </w:rPr>
              <w:t>签订地点：</w:t>
            </w:r>
          </w:p>
        </w:tc>
        <w:tc>
          <w:tcPr>
            <w:tcW w:w="4530" w:type="dxa"/>
            <w:vAlign w:val="center"/>
          </w:tcPr>
          <w:p>
            <w:pPr>
              <w:spacing w:line="360" w:lineRule="exact"/>
              <w:ind w:firstLine="0" w:firstLineChars="0"/>
              <w:rPr>
                <w:rFonts w:ascii="宋体" w:hAnsi="宋体"/>
                <w:color w:val="auto"/>
                <w:sz w:val="28"/>
                <w:szCs w:val="28"/>
                <w:highlight w:val="none"/>
              </w:rPr>
            </w:pPr>
            <w:r>
              <w:rPr>
                <w:rFonts w:hint="eastAsia" w:ascii="宋体" w:hAnsi="宋体"/>
                <w:color w:val="auto"/>
                <w:sz w:val="28"/>
                <w:szCs w:val="28"/>
                <w:highlight w:val="none"/>
              </w:rPr>
              <w:t>签订地点：</w:t>
            </w:r>
          </w:p>
        </w:tc>
      </w:tr>
      <w:tr>
        <w:tblPrEx>
          <w:tblCellMar>
            <w:top w:w="0" w:type="dxa"/>
            <w:left w:w="108" w:type="dxa"/>
            <w:bottom w:w="0" w:type="dxa"/>
            <w:right w:w="108" w:type="dxa"/>
          </w:tblCellMar>
        </w:tblPrEx>
        <w:trPr>
          <w:trHeight w:val="851" w:hRule="atLeast"/>
        </w:trPr>
        <w:tc>
          <w:tcPr>
            <w:tcW w:w="4530" w:type="dxa"/>
            <w:vAlign w:val="center"/>
          </w:tcPr>
          <w:p>
            <w:pPr>
              <w:spacing w:line="360" w:lineRule="exact"/>
              <w:ind w:firstLine="0" w:firstLineChars="0"/>
              <w:rPr>
                <w:rFonts w:ascii="宋体" w:hAnsi="宋体"/>
                <w:color w:val="auto"/>
                <w:sz w:val="28"/>
                <w:szCs w:val="28"/>
                <w:highlight w:val="none"/>
              </w:rPr>
            </w:pPr>
          </w:p>
        </w:tc>
        <w:tc>
          <w:tcPr>
            <w:tcW w:w="4530" w:type="dxa"/>
            <w:vAlign w:val="center"/>
          </w:tcPr>
          <w:p>
            <w:pPr>
              <w:spacing w:line="360" w:lineRule="exact"/>
              <w:ind w:firstLine="0" w:firstLineChars="0"/>
              <w:rPr>
                <w:rFonts w:ascii="宋体" w:hAnsi="宋体"/>
                <w:color w:val="auto"/>
                <w:sz w:val="28"/>
                <w:szCs w:val="28"/>
                <w:highlight w:val="none"/>
              </w:rPr>
            </w:pPr>
          </w:p>
        </w:tc>
      </w:tr>
    </w:tbl>
    <w:p>
      <w:pPr>
        <w:ind w:firstLine="0" w:firstLineChars="0"/>
        <w:rPr>
          <w:color w:val="auto"/>
          <w:highlight w:val="none"/>
        </w:rPr>
      </w:pPr>
    </w:p>
    <w:p>
      <w:pPr>
        <w:spacing w:line="360" w:lineRule="exact"/>
        <w:ind w:firstLine="560"/>
        <w:rPr>
          <w:rFonts w:ascii="宋体" w:hAnsi="宋体"/>
          <w:color w:val="auto"/>
          <w:sz w:val="28"/>
          <w:szCs w:val="28"/>
          <w:highlight w:val="none"/>
        </w:rPr>
      </w:pPr>
    </w:p>
    <w:p>
      <w:pPr>
        <w:pStyle w:val="4"/>
        <w:spacing w:before="100" w:beforeAutospacing="1" w:after="100" w:afterAutospacing="1"/>
        <w:ind w:firstLine="723"/>
        <w:rPr>
          <w:color w:val="auto"/>
          <w:sz w:val="36"/>
          <w:highlight w:val="none"/>
        </w:rPr>
      </w:pPr>
      <w:bookmarkStart w:id="33" w:name="_Toc528773696"/>
      <w:bookmarkStart w:id="34" w:name="_Toc14269"/>
      <w:bookmarkStart w:id="35" w:name="_Toc14224"/>
    </w:p>
    <w:p>
      <w:pPr>
        <w:rPr>
          <w:color w:val="auto"/>
          <w:sz w:val="36"/>
          <w:highlight w:val="none"/>
        </w:rPr>
      </w:pPr>
    </w:p>
    <w:p>
      <w:pPr>
        <w:pStyle w:val="5"/>
        <w:rPr>
          <w:color w:val="auto"/>
          <w:sz w:val="36"/>
          <w:highlight w:val="none"/>
        </w:rPr>
      </w:pPr>
    </w:p>
    <w:p>
      <w:pPr>
        <w:pStyle w:val="5"/>
        <w:rPr>
          <w:color w:val="auto"/>
          <w:sz w:val="36"/>
          <w:highlight w:val="none"/>
        </w:rPr>
      </w:pPr>
    </w:p>
    <w:p>
      <w:pPr>
        <w:pStyle w:val="5"/>
        <w:rPr>
          <w:color w:val="auto"/>
          <w:sz w:val="36"/>
          <w:highlight w:val="none"/>
        </w:rPr>
      </w:pPr>
    </w:p>
    <w:p>
      <w:pPr>
        <w:pStyle w:val="4"/>
        <w:spacing w:before="100" w:beforeAutospacing="1" w:after="100" w:afterAutospacing="1"/>
        <w:ind w:firstLine="723"/>
        <w:rPr>
          <w:color w:val="auto"/>
          <w:sz w:val="36"/>
          <w:highlight w:val="none"/>
        </w:rPr>
      </w:pPr>
    </w:p>
    <w:p>
      <w:pPr>
        <w:ind w:firstLine="720"/>
        <w:rPr>
          <w:color w:val="auto"/>
          <w:sz w:val="36"/>
          <w:highlight w:val="none"/>
        </w:rPr>
      </w:pPr>
    </w:p>
    <w:p>
      <w:pPr>
        <w:ind w:firstLine="720"/>
        <w:rPr>
          <w:color w:val="auto"/>
          <w:sz w:val="36"/>
          <w:highlight w:val="none"/>
        </w:rPr>
      </w:pPr>
    </w:p>
    <w:p>
      <w:pPr>
        <w:pStyle w:val="4"/>
        <w:spacing w:before="100" w:beforeAutospacing="1" w:after="100" w:afterAutospacing="1"/>
        <w:ind w:firstLine="0" w:firstLineChars="0"/>
        <w:rPr>
          <w:b w:val="0"/>
          <w:bCs/>
          <w:color w:val="auto"/>
          <w:sz w:val="36"/>
          <w:highlight w:val="none"/>
        </w:rPr>
      </w:pPr>
      <w:r>
        <w:rPr>
          <w:rFonts w:hint="eastAsia"/>
          <w:b w:val="0"/>
          <w:bCs/>
          <w:color w:val="auto"/>
          <w:sz w:val="36"/>
          <w:highlight w:val="none"/>
        </w:rPr>
        <w:t>转让股权相关信息</w:t>
      </w:r>
      <w:bookmarkEnd w:id="33"/>
      <w:bookmarkEnd w:id="34"/>
      <w:bookmarkEnd w:id="35"/>
    </w:p>
    <w:tbl>
      <w:tblPr>
        <w:tblStyle w:val="14"/>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8"/>
        <w:gridCol w:w="7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tcPr>
          <w:p>
            <w:pPr>
              <w:ind w:firstLine="0" w:firstLineChars="0"/>
              <w:rPr>
                <w:rFonts w:ascii="宋体" w:hAnsi="宋体" w:cs="宋体"/>
                <w:color w:val="auto"/>
                <w:szCs w:val="21"/>
                <w:highlight w:val="none"/>
              </w:rPr>
            </w:pPr>
            <w:r>
              <w:rPr>
                <w:rFonts w:hint="eastAsia" w:ascii="宋体" w:hAnsi="宋体" w:cs="宋体"/>
                <w:color w:val="auto"/>
                <w:szCs w:val="21"/>
                <w:highlight w:val="none"/>
              </w:rPr>
              <w:t>项目名称</w:t>
            </w:r>
          </w:p>
        </w:tc>
        <w:tc>
          <w:tcPr>
            <w:tcW w:w="7851" w:type="dxa"/>
          </w:tcPr>
          <w:p>
            <w:pPr>
              <w:rPr>
                <w:rFonts w:ascii="宋体" w:hAnsi="宋体" w:cs="宋体"/>
                <w:color w:val="auto"/>
                <w:szCs w:val="21"/>
                <w:highlight w:val="none"/>
              </w:rPr>
            </w:pPr>
            <w:r>
              <w:rPr>
                <w:rFonts w:hint="eastAsia" w:ascii="宋体" w:hAnsi="宋体"/>
                <w:color w:val="000000"/>
                <w:szCs w:val="24"/>
                <w:highlight w:val="none"/>
                <w:lang w:eastAsia="zh-CN"/>
              </w:rPr>
              <w:t>清大智创工业设计（台州）有限公司</w:t>
            </w:r>
            <w:r>
              <w:rPr>
                <w:rFonts w:hint="eastAsia" w:ascii="宋体" w:hAnsi="宋体" w:cs="宋体"/>
                <w:color w:val="auto"/>
                <w:szCs w:val="21"/>
                <w:highlight w:val="none"/>
                <w:lang w:val="en-US" w:eastAsia="zh-CN"/>
              </w:rPr>
              <w:t>10</w:t>
            </w:r>
            <w:r>
              <w:rPr>
                <w:rFonts w:hint="eastAsia" w:ascii="宋体" w:hAnsi="宋体" w:cs="宋体"/>
                <w:color w:val="auto"/>
                <w:szCs w:val="21"/>
                <w:highlight w:val="none"/>
              </w:rPr>
              <w:t>%股权转让项目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trPr>
        <w:tc>
          <w:tcPr>
            <w:tcW w:w="1188" w:type="dxa"/>
          </w:tcPr>
          <w:p>
            <w:pPr>
              <w:ind w:firstLine="0" w:firstLineChars="0"/>
              <w:rPr>
                <w:rFonts w:ascii="宋体" w:hAnsi="宋体" w:cs="宋体"/>
                <w:color w:val="auto"/>
                <w:szCs w:val="21"/>
                <w:highlight w:val="none"/>
              </w:rPr>
            </w:pPr>
            <w:r>
              <w:rPr>
                <w:rFonts w:hint="eastAsia" w:ascii="宋体" w:hAnsi="宋体" w:cs="宋体"/>
                <w:color w:val="auto"/>
                <w:szCs w:val="21"/>
                <w:highlight w:val="none"/>
              </w:rPr>
              <w:t>项目编号</w:t>
            </w:r>
          </w:p>
        </w:tc>
        <w:tc>
          <w:tcPr>
            <w:tcW w:w="7851" w:type="dxa"/>
          </w:tcPr>
          <w:p>
            <w:pPr>
              <w:ind w:left="512" w:leftChars="244" w:firstLine="1" w:firstLineChars="0"/>
              <w:rPr>
                <w:rFonts w:ascii="宋体" w:hAnsi="宋体" w:cs="宋体"/>
                <w:color w:val="auto"/>
                <w:szCs w:val="21"/>
                <w:highlight w:val="none"/>
              </w:rPr>
            </w:pPr>
            <w:bookmarkStart w:id="36" w:name="待定20"/>
            <w:r>
              <w:rPr>
                <w:rFonts w:hint="eastAsia" w:ascii="宋体" w:hAnsi="宋体" w:cs="宋体"/>
                <w:color w:val="auto"/>
                <w:szCs w:val="21"/>
                <w:highlight w:val="none"/>
              </w:rPr>
              <w:t>台交所挂〔2022〕</w:t>
            </w:r>
            <w:bookmarkEnd w:id="36"/>
            <w:r>
              <w:rPr>
                <w:rFonts w:hint="eastAsia" w:ascii="宋体" w:hAnsi="宋体" w:cs="宋体"/>
                <w:color w:val="auto"/>
                <w:szCs w:val="21"/>
                <w:highlight w:val="none"/>
                <w:lang w:val="en-US" w:eastAsia="zh-CN"/>
              </w:rPr>
              <w:t>26号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tcPr>
          <w:p>
            <w:pPr>
              <w:ind w:firstLine="0" w:firstLineChars="0"/>
              <w:rPr>
                <w:rFonts w:ascii="宋体" w:hAnsi="宋体" w:cs="宋体"/>
                <w:color w:val="auto"/>
                <w:szCs w:val="21"/>
                <w:highlight w:val="none"/>
              </w:rPr>
            </w:pPr>
            <w:r>
              <w:rPr>
                <w:rFonts w:hint="eastAsia" w:ascii="宋体" w:hAnsi="宋体" w:cs="宋体"/>
                <w:color w:val="auto"/>
                <w:szCs w:val="21"/>
                <w:highlight w:val="none"/>
              </w:rPr>
              <w:t>转让底价</w:t>
            </w:r>
          </w:p>
        </w:tc>
        <w:tc>
          <w:tcPr>
            <w:tcW w:w="7851" w:type="dxa"/>
          </w:tcPr>
          <w:p>
            <w:pPr>
              <w:ind w:left="512" w:leftChars="244" w:firstLine="1" w:firstLineChars="0"/>
              <w:rPr>
                <w:rFonts w:ascii="宋体" w:hAnsi="宋体" w:cs="宋体"/>
                <w:color w:val="auto"/>
                <w:szCs w:val="21"/>
                <w:highlight w:val="none"/>
              </w:rPr>
            </w:pPr>
            <w:r>
              <w:rPr>
                <w:rFonts w:hint="eastAsia" w:ascii="宋体" w:hAnsi="宋体" w:cs="宋体"/>
                <w:color w:val="auto"/>
                <w:szCs w:val="21"/>
                <w:highlight w:val="none"/>
                <w:lang w:val="en-US" w:eastAsia="zh-CN"/>
              </w:rPr>
              <w:t>10万</w:t>
            </w:r>
            <w:r>
              <w:rPr>
                <w:rFonts w:hint="eastAsia" w:ascii="宋体" w:hAnsi="宋体" w:cs="宋体"/>
                <w:color w:val="auto"/>
                <w:szCs w:val="21"/>
                <w:highlight w:val="none"/>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tcPr>
          <w:p>
            <w:pPr>
              <w:ind w:firstLine="0" w:firstLineChars="0"/>
              <w:rPr>
                <w:rFonts w:ascii="宋体" w:hAnsi="宋体" w:cs="宋体"/>
                <w:color w:val="auto"/>
                <w:szCs w:val="21"/>
                <w:highlight w:val="none"/>
              </w:rPr>
            </w:pPr>
            <w:r>
              <w:rPr>
                <w:rFonts w:hint="eastAsia" w:ascii="宋体" w:hAnsi="宋体" w:cs="宋体"/>
                <w:color w:val="auto"/>
                <w:szCs w:val="21"/>
                <w:highlight w:val="none"/>
              </w:rPr>
              <w:t>地域</w:t>
            </w:r>
          </w:p>
        </w:tc>
        <w:tc>
          <w:tcPr>
            <w:tcW w:w="7851" w:type="dxa"/>
          </w:tcPr>
          <w:p>
            <w:pPr>
              <w:ind w:left="512" w:leftChars="244" w:firstLine="1" w:firstLineChars="0"/>
              <w:rPr>
                <w:rFonts w:ascii="宋体" w:hAnsi="宋体" w:cs="宋体"/>
                <w:color w:val="auto"/>
                <w:szCs w:val="21"/>
                <w:highlight w:val="none"/>
              </w:rPr>
            </w:pPr>
            <w:r>
              <w:rPr>
                <w:rFonts w:hint="eastAsia" w:ascii="宋体" w:hAnsi="宋体" w:cs="宋体"/>
                <w:color w:val="auto"/>
                <w:szCs w:val="21"/>
                <w:highlight w:val="none"/>
              </w:rPr>
              <w:t>台州市</w:t>
            </w:r>
          </w:p>
        </w:tc>
      </w:tr>
    </w:tbl>
    <w:tbl>
      <w:tblPr>
        <w:tblStyle w:val="14"/>
        <w:tblpPr w:leftFromText="180" w:rightFromText="180" w:vertAnchor="text" w:horzAnchor="page" w:tblpX="1607" w:tblpY="279"/>
        <w:tblOverlap w:val="never"/>
        <w:tblW w:w="89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0"/>
        <w:gridCol w:w="1665"/>
        <w:gridCol w:w="1737"/>
        <w:gridCol w:w="1238"/>
        <w:gridCol w:w="31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trPr>
        <w:tc>
          <w:tcPr>
            <w:tcW w:w="1170" w:type="dxa"/>
            <w:vMerge w:val="restart"/>
            <w:vAlign w:val="center"/>
          </w:tcPr>
          <w:p>
            <w:pPr>
              <w:ind w:firstLine="0" w:firstLineChars="0"/>
              <w:jc w:val="left"/>
              <w:rPr>
                <w:rFonts w:ascii="宋体" w:hAnsi="宋体" w:cs="宋体"/>
                <w:color w:val="auto"/>
                <w:szCs w:val="21"/>
                <w:highlight w:val="none"/>
              </w:rPr>
            </w:pPr>
            <w:r>
              <w:rPr>
                <w:rFonts w:hint="eastAsia" w:ascii="宋体" w:hAnsi="宋体" w:cs="宋体"/>
                <w:color w:val="auto"/>
                <w:szCs w:val="21"/>
                <w:highlight w:val="none"/>
              </w:rPr>
              <w:t>基本情况</w:t>
            </w:r>
          </w:p>
        </w:tc>
        <w:tc>
          <w:tcPr>
            <w:tcW w:w="1665" w:type="dxa"/>
            <w:vAlign w:val="center"/>
          </w:tcPr>
          <w:p>
            <w:pPr>
              <w:ind w:firstLine="0" w:firstLineChars="0"/>
              <w:jc w:val="left"/>
              <w:rPr>
                <w:rFonts w:ascii="宋体" w:hAnsi="宋体" w:cs="宋体"/>
                <w:color w:val="auto"/>
                <w:szCs w:val="21"/>
                <w:highlight w:val="none"/>
              </w:rPr>
            </w:pPr>
            <w:r>
              <w:rPr>
                <w:rFonts w:hint="eastAsia" w:ascii="宋体" w:hAnsi="宋体" w:cs="宋体"/>
                <w:color w:val="auto"/>
                <w:szCs w:val="21"/>
                <w:highlight w:val="none"/>
              </w:rPr>
              <w:t>申请人名称</w:t>
            </w:r>
          </w:p>
        </w:tc>
        <w:tc>
          <w:tcPr>
            <w:tcW w:w="6150" w:type="dxa"/>
            <w:gridSpan w:val="3"/>
          </w:tcPr>
          <w:p>
            <w:pPr>
              <w:ind w:firstLine="0" w:firstLineChars="0"/>
              <w:jc w:val="left"/>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eastAsia="zh-CN"/>
              </w:rPr>
              <w:t>台州浙华科技开发有限公司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 w:hRule="atLeast"/>
        </w:trPr>
        <w:tc>
          <w:tcPr>
            <w:tcW w:w="1170" w:type="dxa"/>
            <w:vMerge w:val="continue"/>
          </w:tcPr>
          <w:p>
            <w:pPr>
              <w:ind w:firstLine="0" w:firstLineChars="0"/>
              <w:jc w:val="left"/>
              <w:rPr>
                <w:rFonts w:ascii="宋体" w:hAnsi="宋体" w:cs="宋体"/>
                <w:color w:val="auto"/>
                <w:szCs w:val="21"/>
                <w:highlight w:val="none"/>
              </w:rPr>
            </w:pPr>
          </w:p>
        </w:tc>
        <w:tc>
          <w:tcPr>
            <w:tcW w:w="1665" w:type="dxa"/>
            <w:vAlign w:val="center"/>
          </w:tcPr>
          <w:p>
            <w:pPr>
              <w:ind w:firstLine="0" w:firstLineChars="0"/>
              <w:jc w:val="left"/>
              <w:rPr>
                <w:rFonts w:ascii="宋体" w:hAnsi="宋体" w:cs="宋体"/>
                <w:color w:val="auto"/>
                <w:szCs w:val="21"/>
                <w:highlight w:val="none"/>
              </w:rPr>
            </w:pPr>
            <w:r>
              <w:rPr>
                <w:rFonts w:hint="eastAsia" w:ascii="宋体" w:hAnsi="宋体" w:cs="宋体"/>
                <w:color w:val="auto"/>
                <w:szCs w:val="21"/>
                <w:highlight w:val="none"/>
              </w:rPr>
              <w:t>标的企业名称</w:t>
            </w:r>
          </w:p>
        </w:tc>
        <w:tc>
          <w:tcPr>
            <w:tcW w:w="6150" w:type="dxa"/>
            <w:gridSpan w:val="3"/>
          </w:tcPr>
          <w:p>
            <w:pPr>
              <w:ind w:firstLine="0" w:firstLineChars="0"/>
              <w:jc w:val="left"/>
              <w:rPr>
                <w:rFonts w:ascii="宋体" w:hAnsi="宋体" w:cs="宋体"/>
                <w:color w:val="auto"/>
                <w:szCs w:val="21"/>
                <w:highlight w:val="none"/>
              </w:rPr>
            </w:pPr>
            <w:r>
              <w:rPr>
                <w:rFonts w:hint="eastAsia" w:ascii="宋体" w:hAnsi="宋体"/>
                <w:color w:val="000000"/>
                <w:szCs w:val="24"/>
                <w:highlight w:val="none"/>
                <w:lang w:eastAsia="zh-CN"/>
              </w:rPr>
              <w:t>清大智创工业设计（台州）有限公司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 w:hRule="atLeast"/>
        </w:trPr>
        <w:tc>
          <w:tcPr>
            <w:tcW w:w="1170" w:type="dxa"/>
            <w:vMerge w:val="continue"/>
          </w:tcPr>
          <w:p>
            <w:pPr>
              <w:ind w:firstLine="0" w:firstLineChars="0"/>
              <w:jc w:val="left"/>
              <w:rPr>
                <w:rFonts w:ascii="宋体" w:hAnsi="宋体" w:cs="宋体"/>
                <w:color w:val="auto"/>
                <w:szCs w:val="21"/>
                <w:highlight w:val="none"/>
              </w:rPr>
            </w:pPr>
          </w:p>
        </w:tc>
        <w:tc>
          <w:tcPr>
            <w:tcW w:w="1665" w:type="dxa"/>
            <w:vAlign w:val="center"/>
          </w:tcPr>
          <w:p>
            <w:pPr>
              <w:ind w:firstLine="0" w:firstLineChars="0"/>
              <w:jc w:val="left"/>
              <w:rPr>
                <w:rFonts w:ascii="宋体" w:hAnsi="宋体" w:cs="宋体"/>
                <w:color w:val="auto"/>
                <w:szCs w:val="21"/>
                <w:highlight w:val="none"/>
              </w:rPr>
            </w:pPr>
            <w:r>
              <w:rPr>
                <w:rFonts w:hint="eastAsia" w:ascii="宋体" w:hAnsi="宋体" w:cs="宋体"/>
                <w:color w:val="auto"/>
                <w:szCs w:val="21"/>
                <w:highlight w:val="none"/>
              </w:rPr>
              <w:t>企业类型</w:t>
            </w:r>
          </w:p>
        </w:tc>
        <w:tc>
          <w:tcPr>
            <w:tcW w:w="6150" w:type="dxa"/>
            <w:gridSpan w:val="3"/>
          </w:tcPr>
          <w:p>
            <w:pPr>
              <w:ind w:firstLine="0" w:firstLineChars="0"/>
              <w:jc w:val="left"/>
              <w:rPr>
                <w:rFonts w:ascii="宋体" w:hAnsi="宋体" w:cs="宋体"/>
                <w:color w:val="auto"/>
                <w:szCs w:val="21"/>
                <w:highlight w:val="none"/>
              </w:rPr>
            </w:pPr>
            <w:r>
              <w:rPr>
                <w:rFonts w:hint="eastAsia" w:ascii="宋体" w:hAnsi="宋体" w:eastAsia="宋体"/>
                <w:color w:val="000000"/>
                <w:sz w:val="24"/>
                <w:szCs w:val="24"/>
                <w:highlight w:val="none"/>
                <w:lang w:val="en-US" w:eastAsia="zh-CN"/>
              </w:rPr>
              <w:t>国有控股企业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2" w:hRule="atLeast"/>
        </w:trPr>
        <w:tc>
          <w:tcPr>
            <w:tcW w:w="1170" w:type="dxa"/>
            <w:vMerge w:val="continue"/>
          </w:tcPr>
          <w:p>
            <w:pPr>
              <w:ind w:firstLine="0" w:firstLineChars="0"/>
              <w:jc w:val="left"/>
              <w:rPr>
                <w:rFonts w:ascii="宋体" w:hAnsi="宋体" w:cs="宋体"/>
                <w:color w:val="auto"/>
                <w:szCs w:val="21"/>
                <w:highlight w:val="none"/>
              </w:rPr>
            </w:pPr>
          </w:p>
        </w:tc>
        <w:tc>
          <w:tcPr>
            <w:tcW w:w="1665" w:type="dxa"/>
            <w:vAlign w:val="center"/>
          </w:tcPr>
          <w:p>
            <w:pPr>
              <w:ind w:firstLine="0" w:firstLineChars="0"/>
              <w:jc w:val="left"/>
              <w:rPr>
                <w:rFonts w:ascii="宋体" w:hAnsi="宋体" w:cs="宋体"/>
                <w:color w:val="auto"/>
                <w:szCs w:val="21"/>
                <w:highlight w:val="none"/>
              </w:rPr>
            </w:pPr>
            <w:r>
              <w:rPr>
                <w:rFonts w:hint="eastAsia" w:ascii="宋体" w:hAnsi="宋体" w:cs="宋体"/>
                <w:color w:val="auto"/>
                <w:szCs w:val="21"/>
                <w:highlight w:val="none"/>
              </w:rPr>
              <w:t>所属行业</w:t>
            </w:r>
          </w:p>
        </w:tc>
        <w:tc>
          <w:tcPr>
            <w:tcW w:w="6150" w:type="dxa"/>
            <w:gridSpan w:val="3"/>
          </w:tcPr>
          <w:p>
            <w:pPr>
              <w:ind w:firstLine="0" w:firstLineChars="0"/>
              <w:jc w:val="left"/>
              <w:rPr>
                <w:rFonts w:ascii="宋体" w:hAnsi="宋体" w:cs="宋体"/>
                <w:color w:val="auto"/>
                <w:szCs w:val="21"/>
                <w:highlight w:val="none"/>
              </w:rPr>
            </w:pPr>
            <w:r>
              <w:rPr>
                <w:rFonts w:hint="eastAsia" w:ascii="宋体" w:hAnsi="宋体"/>
                <w:color w:val="000000"/>
                <w:szCs w:val="24"/>
                <w:highlight w:val="none"/>
                <w:u w:val="single"/>
                <w:lang w:eastAsia="zh-CN"/>
              </w:rPr>
              <w:t>居民服务业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 w:hRule="atLeast"/>
        </w:trPr>
        <w:tc>
          <w:tcPr>
            <w:tcW w:w="1170" w:type="dxa"/>
            <w:vMerge w:val="continue"/>
          </w:tcPr>
          <w:p>
            <w:pPr>
              <w:ind w:firstLine="0" w:firstLineChars="0"/>
              <w:jc w:val="left"/>
              <w:rPr>
                <w:rFonts w:ascii="宋体" w:hAnsi="宋体" w:cs="宋体"/>
                <w:color w:val="auto"/>
                <w:szCs w:val="21"/>
                <w:highlight w:val="none"/>
              </w:rPr>
            </w:pPr>
          </w:p>
        </w:tc>
        <w:tc>
          <w:tcPr>
            <w:tcW w:w="1665" w:type="dxa"/>
            <w:vAlign w:val="center"/>
          </w:tcPr>
          <w:p>
            <w:pPr>
              <w:ind w:firstLine="0" w:firstLineChars="0"/>
              <w:jc w:val="left"/>
              <w:rPr>
                <w:rFonts w:ascii="宋体" w:hAnsi="宋体" w:cs="宋体"/>
                <w:color w:val="auto"/>
                <w:szCs w:val="21"/>
                <w:highlight w:val="none"/>
              </w:rPr>
            </w:pPr>
            <w:r>
              <w:rPr>
                <w:rFonts w:hint="eastAsia" w:ascii="宋体" w:hAnsi="宋体" w:cs="宋体"/>
                <w:color w:val="auto"/>
                <w:szCs w:val="21"/>
                <w:highlight w:val="none"/>
              </w:rPr>
              <w:t>经营范围</w:t>
            </w:r>
          </w:p>
        </w:tc>
        <w:tc>
          <w:tcPr>
            <w:tcW w:w="6150" w:type="dxa"/>
            <w:gridSpan w:val="3"/>
          </w:tcPr>
          <w:p>
            <w:pPr>
              <w:ind w:firstLine="0" w:firstLineChars="0"/>
              <w:jc w:val="left"/>
              <w:rPr>
                <w:rFonts w:ascii="宋体" w:hAnsi="宋体" w:cs="宋体"/>
                <w:color w:val="auto"/>
                <w:szCs w:val="21"/>
                <w:highlight w:val="none"/>
              </w:rPr>
            </w:pPr>
            <w:r>
              <w:rPr>
                <w:rFonts w:ascii="宋体" w:hAnsi="宋体" w:eastAsia="宋体" w:cs="宋体"/>
                <w:sz w:val="24"/>
                <w:szCs w:val="24"/>
                <w:highlight w:val="none"/>
              </w:rPr>
              <w:t>工业设计服务，多媒体设计服务，包装装潢设计服务，模型设计服务，美术图案设计服务，体育产品设计服务，市场营销策划，应用软件开发，大型活动组织服务，展览服务。（依法须经批准的项目，经相关部门批准后方可开展经营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 w:hRule="atLeast"/>
        </w:trPr>
        <w:tc>
          <w:tcPr>
            <w:tcW w:w="1170" w:type="dxa"/>
            <w:vMerge w:val="continue"/>
          </w:tcPr>
          <w:p>
            <w:pPr>
              <w:ind w:firstLine="0" w:firstLineChars="0"/>
              <w:jc w:val="left"/>
              <w:rPr>
                <w:rFonts w:ascii="宋体" w:hAnsi="宋体" w:cs="宋体"/>
                <w:color w:val="auto"/>
                <w:szCs w:val="21"/>
                <w:highlight w:val="none"/>
              </w:rPr>
            </w:pPr>
          </w:p>
        </w:tc>
        <w:tc>
          <w:tcPr>
            <w:tcW w:w="1665" w:type="dxa"/>
            <w:vAlign w:val="center"/>
          </w:tcPr>
          <w:p>
            <w:pPr>
              <w:ind w:firstLine="0" w:firstLineChars="0"/>
              <w:jc w:val="left"/>
              <w:rPr>
                <w:rFonts w:ascii="宋体" w:hAnsi="宋体" w:cs="宋体"/>
                <w:color w:val="auto"/>
                <w:szCs w:val="21"/>
                <w:highlight w:val="none"/>
              </w:rPr>
            </w:pPr>
            <w:r>
              <w:rPr>
                <w:rFonts w:hint="eastAsia" w:ascii="宋体" w:hAnsi="宋体" w:cs="宋体"/>
                <w:color w:val="auto"/>
                <w:szCs w:val="21"/>
                <w:highlight w:val="none"/>
              </w:rPr>
              <w:t>法定代表人</w:t>
            </w:r>
          </w:p>
        </w:tc>
        <w:tc>
          <w:tcPr>
            <w:tcW w:w="1737" w:type="dxa"/>
            <w:vAlign w:val="center"/>
          </w:tcPr>
          <w:p>
            <w:pPr>
              <w:ind w:firstLine="0" w:firstLineChars="0"/>
              <w:jc w:val="left"/>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eastAsia="zh-CN"/>
              </w:rPr>
              <w:t>李培</w:t>
            </w:r>
          </w:p>
        </w:tc>
        <w:tc>
          <w:tcPr>
            <w:tcW w:w="1238" w:type="dxa"/>
            <w:vAlign w:val="center"/>
          </w:tcPr>
          <w:p>
            <w:pPr>
              <w:ind w:firstLine="0" w:firstLineChars="0"/>
              <w:jc w:val="left"/>
              <w:rPr>
                <w:rFonts w:ascii="宋体" w:hAnsi="宋体" w:cs="宋体"/>
                <w:color w:val="auto"/>
                <w:szCs w:val="21"/>
                <w:highlight w:val="none"/>
              </w:rPr>
            </w:pPr>
            <w:r>
              <w:rPr>
                <w:rFonts w:hint="eastAsia" w:ascii="宋体" w:hAnsi="宋体" w:cs="宋体"/>
                <w:color w:val="auto"/>
                <w:szCs w:val="21"/>
                <w:highlight w:val="none"/>
              </w:rPr>
              <w:t>成立日期</w:t>
            </w:r>
          </w:p>
        </w:tc>
        <w:tc>
          <w:tcPr>
            <w:tcW w:w="3175" w:type="dxa"/>
            <w:vAlign w:val="center"/>
          </w:tcPr>
          <w:p>
            <w:pPr>
              <w:ind w:firstLine="0" w:firstLineChars="0"/>
              <w:jc w:val="left"/>
              <w:rPr>
                <w:rFonts w:ascii="宋体" w:hAnsi="宋体" w:cs="宋体"/>
                <w:color w:val="auto"/>
                <w:szCs w:val="21"/>
                <w:highlight w:val="none"/>
              </w:rPr>
            </w:pPr>
            <w:r>
              <w:rPr>
                <w:rFonts w:hint="eastAsia" w:ascii="宋体" w:hAnsi="宋体" w:cs="宋体"/>
                <w:color w:val="auto"/>
                <w:szCs w:val="21"/>
                <w:highlight w:val="none"/>
              </w:rPr>
              <w:t>20</w:t>
            </w:r>
            <w:r>
              <w:rPr>
                <w:rFonts w:hint="eastAsia" w:ascii="宋体" w:hAnsi="宋体" w:cs="宋体"/>
                <w:color w:val="auto"/>
                <w:szCs w:val="21"/>
                <w:highlight w:val="none"/>
                <w:lang w:val="en-US" w:eastAsia="zh-CN"/>
              </w:rPr>
              <w:t>19</w:t>
            </w:r>
            <w:r>
              <w:rPr>
                <w:rFonts w:hint="eastAsia" w:ascii="宋体" w:hAnsi="宋体" w:cs="宋体"/>
                <w:color w:val="auto"/>
                <w:szCs w:val="21"/>
                <w:highlight w:val="none"/>
              </w:rPr>
              <w:t>年</w:t>
            </w:r>
            <w:r>
              <w:rPr>
                <w:rFonts w:hint="eastAsia" w:ascii="宋体" w:hAnsi="宋体" w:cs="宋体"/>
                <w:color w:val="auto"/>
                <w:szCs w:val="21"/>
                <w:highlight w:val="none"/>
                <w:lang w:val="en-US" w:eastAsia="zh-CN"/>
              </w:rPr>
              <w:t>8</w:t>
            </w:r>
            <w:r>
              <w:rPr>
                <w:rFonts w:hint="eastAsia" w:ascii="宋体" w:hAnsi="宋体" w:cs="宋体"/>
                <w:color w:val="auto"/>
                <w:szCs w:val="21"/>
                <w:highlight w:val="none"/>
              </w:rPr>
              <w:t>月</w:t>
            </w:r>
            <w:r>
              <w:rPr>
                <w:rFonts w:hint="eastAsia" w:ascii="宋体" w:hAnsi="宋体" w:cs="宋体"/>
                <w:color w:val="auto"/>
                <w:szCs w:val="21"/>
                <w:highlight w:val="none"/>
                <w:lang w:val="en-US" w:eastAsia="zh-CN"/>
              </w:rPr>
              <w:t>1</w:t>
            </w:r>
            <w:r>
              <w:rPr>
                <w:rFonts w:ascii="宋体" w:hAnsi="宋体" w:cs="宋体"/>
                <w:color w:val="auto"/>
                <w:szCs w:val="21"/>
                <w:highlight w:val="none"/>
              </w:rPr>
              <w:t>6</w:t>
            </w:r>
            <w:r>
              <w:rPr>
                <w:rFonts w:hint="eastAsia" w:ascii="宋体" w:hAnsi="宋体" w:cs="宋体"/>
                <w:color w:val="auto"/>
                <w:szCs w:val="21"/>
                <w:highlight w:val="none"/>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 w:hRule="atLeast"/>
        </w:trPr>
        <w:tc>
          <w:tcPr>
            <w:tcW w:w="1170" w:type="dxa"/>
            <w:vMerge w:val="continue"/>
          </w:tcPr>
          <w:p>
            <w:pPr>
              <w:ind w:firstLine="0" w:firstLineChars="0"/>
              <w:jc w:val="left"/>
              <w:rPr>
                <w:rFonts w:ascii="宋体" w:hAnsi="宋体" w:cs="宋体"/>
                <w:color w:val="auto"/>
                <w:szCs w:val="21"/>
                <w:highlight w:val="none"/>
              </w:rPr>
            </w:pPr>
          </w:p>
        </w:tc>
        <w:tc>
          <w:tcPr>
            <w:tcW w:w="1665" w:type="dxa"/>
            <w:vAlign w:val="center"/>
          </w:tcPr>
          <w:p>
            <w:pPr>
              <w:ind w:firstLine="0" w:firstLineChars="0"/>
              <w:jc w:val="left"/>
              <w:rPr>
                <w:rFonts w:ascii="宋体" w:hAnsi="宋体" w:cs="宋体"/>
                <w:color w:val="auto"/>
                <w:szCs w:val="21"/>
                <w:highlight w:val="none"/>
              </w:rPr>
            </w:pPr>
            <w:r>
              <w:rPr>
                <w:rFonts w:hint="eastAsia" w:ascii="宋体" w:hAnsi="宋体" w:cs="宋体"/>
                <w:color w:val="auto"/>
                <w:szCs w:val="21"/>
                <w:highlight w:val="none"/>
              </w:rPr>
              <w:t>注册资本</w:t>
            </w:r>
          </w:p>
        </w:tc>
        <w:tc>
          <w:tcPr>
            <w:tcW w:w="1737" w:type="dxa"/>
            <w:vAlign w:val="center"/>
          </w:tcPr>
          <w:p>
            <w:pPr>
              <w:ind w:firstLine="0" w:firstLineChars="0"/>
              <w:jc w:val="left"/>
              <w:rPr>
                <w:rFonts w:ascii="宋体" w:hAnsi="宋体" w:cs="宋体"/>
                <w:color w:val="auto"/>
                <w:szCs w:val="21"/>
                <w:highlight w:val="none"/>
              </w:rPr>
            </w:pPr>
            <w:r>
              <w:rPr>
                <w:rFonts w:hint="eastAsia" w:ascii="宋体" w:hAnsi="宋体" w:cs="宋体"/>
                <w:color w:val="auto"/>
                <w:szCs w:val="21"/>
                <w:highlight w:val="none"/>
                <w:lang w:val="en-US" w:eastAsia="zh-CN"/>
              </w:rPr>
              <w:t>100</w:t>
            </w:r>
            <w:r>
              <w:rPr>
                <w:rFonts w:hint="eastAsia" w:ascii="宋体" w:hAnsi="宋体" w:cs="宋体"/>
                <w:color w:val="auto"/>
                <w:szCs w:val="21"/>
                <w:highlight w:val="none"/>
              </w:rPr>
              <w:t>万元</w:t>
            </w:r>
          </w:p>
          <w:p>
            <w:pPr>
              <w:ind w:firstLine="0" w:firstLineChars="0"/>
              <w:jc w:val="left"/>
              <w:rPr>
                <w:rFonts w:ascii="宋体" w:hAnsi="宋体" w:cs="宋体"/>
                <w:color w:val="auto"/>
                <w:szCs w:val="21"/>
                <w:highlight w:val="none"/>
              </w:rPr>
            </w:pPr>
            <w:r>
              <w:rPr>
                <w:rFonts w:hint="eastAsia" w:ascii="宋体" w:hAnsi="宋体" w:cs="宋体"/>
                <w:color w:val="auto"/>
                <w:szCs w:val="21"/>
                <w:highlight w:val="none"/>
              </w:rPr>
              <w:t>人民币</w:t>
            </w:r>
          </w:p>
        </w:tc>
        <w:tc>
          <w:tcPr>
            <w:tcW w:w="1238" w:type="dxa"/>
            <w:vAlign w:val="center"/>
          </w:tcPr>
          <w:p>
            <w:pPr>
              <w:ind w:firstLine="0" w:firstLineChars="0"/>
              <w:jc w:val="left"/>
              <w:rPr>
                <w:rFonts w:ascii="宋体" w:hAnsi="宋体" w:cs="宋体"/>
                <w:color w:val="auto"/>
                <w:szCs w:val="21"/>
                <w:highlight w:val="none"/>
              </w:rPr>
            </w:pPr>
            <w:r>
              <w:rPr>
                <w:rFonts w:hint="eastAsia" w:ascii="宋体" w:hAnsi="宋体" w:cs="宋体"/>
                <w:color w:val="auto"/>
                <w:szCs w:val="21"/>
                <w:highlight w:val="none"/>
              </w:rPr>
              <w:t>注册地</w:t>
            </w:r>
          </w:p>
        </w:tc>
        <w:tc>
          <w:tcPr>
            <w:tcW w:w="3175" w:type="dxa"/>
            <w:vAlign w:val="center"/>
          </w:tcPr>
          <w:p>
            <w:pPr>
              <w:ind w:firstLine="0" w:firstLineChars="0"/>
              <w:jc w:val="left"/>
              <w:rPr>
                <w:rFonts w:ascii="宋体" w:hAnsi="宋体" w:cs="宋体"/>
                <w:color w:val="auto"/>
                <w:szCs w:val="21"/>
                <w:highlight w:val="none"/>
              </w:rPr>
            </w:pPr>
            <w:r>
              <w:rPr>
                <w:rFonts w:ascii="宋体" w:hAnsi="宋体" w:eastAsia="宋体" w:cs="宋体"/>
                <w:i w:val="0"/>
                <w:caps w:val="0"/>
                <w:spacing w:val="0"/>
                <w:sz w:val="24"/>
                <w:szCs w:val="24"/>
                <w:highlight w:val="none"/>
                <w:shd w:val="clear"/>
              </w:rPr>
              <w:t>浙江省玉环市龙溪镇龙翔南路龙溪首府外301(花岩浦村）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 w:hRule="atLeast"/>
        </w:trPr>
        <w:tc>
          <w:tcPr>
            <w:tcW w:w="1170" w:type="dxa"/>
            <w:vMerge w:val="continue"/>
          </w:tcPr>
          <w:p>
            <w:pPr>
              <w:ind w:firstLine="0" w:firstLineChars="0"/>
              <w:jc w:val="left"/>
              <w:rPr>
                <w:rFonts w:ascii="宋体" w:hAnsi="宋体" w:cs="宋体"/>
                <w:color w:val="auto"/>
                <w:szCs w:val="21"/>
                <w:highlight w:val="none"/>
              </w:rPr>
            </w:pPr>
          </w:p>
        </w:tc>
        <w:tc>
          <w:tcPr>
            <w:tcW w:w="1665" w:type="dxa"/>
            <w:vMerge w:val="restart"/>
            <w:vAlign w:val="center"/>
          </w:tcPr>
          <w:p>
            <w:pPr>
              <w:ind w:firstLine="0" w:firstLineChars="0"/>
              <w:jc w:val="left"/>
              <w:rPr>
                <w:rFonts w:ascii="宋体" w:hAnsi="宋体" w:cs="宋体"/>
                <w:color w:val="auto"/>
                <w:szCs w:val="21"/>
                <w:highlight w:val="none"/>
              </w:rPr>
            </w:pPr>
            <w:r>
              <w:rPr>
                <w:rFonts w:hint="eastAsia" w:ascii="宋体" w:hAnsi="宋体" w:cs="宋体"/>
                <w:color w:val="auto"/>
                <w:szCs w:val="21"/>
                <w:highlight w:val="none"/>
              </w:rPr>
              <w:t>土地、建筑</w:t>
            </w:r>
          </w:p>
        </w:tc>
        <w:tc>
          <w:tcPr>
            <w:tcW w:w="1737" w:type="dxa"/>
          </w:tcPr>
          <w:p>
            <w:pPr>
              <w:ind w:firstLine="0" w:firstLineChars="0"/>
              <w:jc w:val="left"/>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w:t>
            </w:r>
          </w:p>
        </w:tc>
        <w:tc>
          <w:tcPr>
            <w:tcW w:w="4413" w:type="dxa"/>
            <w:gridSpan w:val="2"/>
            <w:vAlign w:val="center"/>
          </w:tcPr>
          <w:p>
            <w:pPr>
              <w:ind w:firstLine="0" w:firstLineChars="0"/>
              <w:jc w:val="left"/>
              <w:rPr>
                <w:rFonts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 w:hRule="atLeast"/>
        </w:trPr>
        <w:tc>
          <w:tcPr>
            <w:tcW w:w="1170" w:type="dxa"/>
            <w:vMerge w:val="continue"/>
          </w:tcPr>
          <w:p>
            <w:pPr>
              <w:ind w:firstLine="0" w:firstLineChars="0"/>
              <w:jc w:val="left"/>
              <w:rPr>
                <w:rFonts w:ascii="宋体" w:hAnsi="宋体" w:cs="宋体"/>
                <w:color w:val="auto"/>
                <w:szCs w:val="21"/>
                <w:highlight w:val="none"/>
              </w:rPr>
            </w:pPr>
          </w:p>
        </w:tc>
        <w:tc>
          <w:tcPr>
            <w:tcW w:w="1665" w:type="dxa"/>
            <w:vMerge w:val="continue"/>
            <w:vAlign w:val="center"/>
          </w:tcPr>
          <w:p>
            <w:pPr>
              <w:ind w:firstLine="0" w:firstLineChars="0"/>
              <w:jc w:val="left"/>
              <w:rPr>
                <w:rFonts w:ascii="宋体" w:hAnsi="宋体" w:cs="宋体"/>
                <w:color w:val="auto"/>
                <w:szCs w:val="21"/>
                <w:highlight w:val="none"/>
              </w:rPr>
            </w:pPr>
          </w:p>
        </w:tc>
        <w:tc>
          <w:tcPr>
            <w:tcW w:w="1737" w:type="dxa"/>
          </w:tcPr>
          <w:p>
            <w:pPr>
              <w:ind w:firstLine="0" w:firstLineChars="0"/>
              <w:jc w:val="left"/>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w:t>
            </w:r>
          </w:p>
        </w:tc>
        <w:tc>
          <w:tcPr>
            <w:tcW w:w="4413" w:type="dxa"/>
            <w:gridSpan w:val="2"/>
            <w:vAlign w:val="center"/>
          </w:tcPr>
          <w:p>
            <w:pPr>
              <w:ind w:firstLine="0" w:firstLineChars="0"/>
              <w:jc w:val="left"/>
              <w:rPr>
                <w:rFonts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1170" w:type="dxa"/>
            <w:vMerge w:val="continue"/>
          </w:tcPr>
          <w:p>
            <w:pPr>
              <w:ind w:firstLine="0" w:firstLineChars="0"/>
              <w:jc w:val="left"/>
              <w:rPr>
                <w:rFonts w:ascii="宋体" w:hAnsi="宋体" w:cs="宋体"/>
                <w:color w:val="auto"/>
                <w:szCs w:val="21"/>
                <w:highlight w:val="none"/>
              </w:rPr>
            </w:pPr>
          </w:p>
        </w:tc>
        <w:tc>
          <w:tcPr>
            <w:tcW w:w="1665" w:type="dxa"/>
            <w:vMerge w:val="continue"/>
            <w:vAlign w:val="center"/>
          </w:tcPr>
          <w:p>
            <w:pPr>
              <w:ind w:firstLine="0" w:firstLineChars="0"/>
              <w:jc w:val="left"/>
              <w:rPr>
                <w:rFonts w:ascii="宋体" w:hAnsi="宋体" w:cs="宋体"/>
                <w:color w:val="auto"/>
                <w:szCs w:val="21"/>
                <w:highlight w:val="none"/>
              </w:rPr>
            </w:pPr>
          </w:p>
        </w:tc>
        <w:tc>
          <w:tcPr>
            <w:tcW w:w="1737" w:type="dxa"/>
          </w:tcPr>
          <w:p>
            <w:pPr>
              <w:ind w:firstLine="0" w:firstLineChars="0"/>
              <w:jc w:val="left"/>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w:t>
            </w:r>
          </w:p>
        </w:tc>
        <w:tc>
          <w:tcPr>
            <w:tcW w:w="4413" w:type="dxa"/>
            <w:gridSpan w:val="2"/>
          </w:tcPr>
          <w:p>
            <w:pPr>
              <w:ind w:firstLine="0" w:firstLineChars="0"/>
              <w:jc w:val="left"/>
              <w:rPr>
                <w:rFonts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 w:hRule="atLeast"/>
        </w:trPr>
        <w:tc>
          <w:tcPr>
            <w:tcW w:w="1170" w:type="dxa"/>
            <w:vMerge w:val="continue"/>
          </w:tcPr>
          <w:p>
            <w:pPr>
              <w:ind w:firstLine="0" w:firstLineChars="0"/>
              <w:jc w:val="left"/>
              <w:rPr>
                <w:rFonts w:ascii="宋体" w:hAnsi="宋体" w:cs="宋体"/>
                <w:color w:val="auto"/>
                <w:szCs w:val="21"/>
                <w:highlight w:val="none"/>
              </w:rPr>
            </w:pPr>
          </w:p>
        </w:tc>
        <w:tc>
          <w:tcPr>
            <w:tcW w:w="1665" w:type="dxa"/>
            <w:vAlign w:val="center"/>
          </w:tcPr>
          <w:p>
            <w:pPr>
              <w:ind w:firstLine="0" w:firstLineChars="0"/>
              <w:jc w:val="left"/>
              <w:rPr>
                <w:rFonts w:ascii="宋体" w:hAnsi="宋体" w:cs="宋体"/>
                <w:color w:val="auto"/>
                <w:szCs w:val="21"/>
                <w:highlight w:val="none"/>
              </w:rPr>
            </w:pPr>
            <w:r>
              <w:rPr>
                <w:rFonts w:hint="eastAsia" w:ascii="宋体" w:hAnsi="宋体" w:cs="宋体"/>
                <w:color w:val="auto"/>
                <w:szCs w:val="21"/>
                <w:highlight w:val="none"/>
              </w:rPr>
              <w:t>人员情况</w:t>
            </w:r>
          </w:p>
        </w:tc>
        <w:tc>
          <w:tcPr>
            <w:tcW w:w="6150" w:type="dxa"/>
            <w:gridSpan w:val="3"/>
          </w:tcPr>
          <w:p>
            <w:pPr>
              <w:ind w:firstLine="0" w:firstLineChars="0"/>
              <w:jc w:val="left"/>
              <w:rPr>
                <w:rFonts w:ascii="宋体" w:hAnsi="宋体" w:cs="宋体"/>
                <w:color w:val="auto"/>
                <w:szCs w:val="21"/>
                <w:highlight w:val="none"/>
              </w:rPr>
            </w:pPr>
            <w:r>
              <w:rPr>
                <w:rFonts w:hint="eastAsia" w:ascii="宋体" w:hAnsi="宋体" w:cs="宋体"/>
                <w:color w:val="auto"/>
                <w:szCs w:val="21"/>
                <w:highlight w:val="none"/>
              </w:rPr>
              <w:t>职工人数：</w:t>
            </w:r>
            <w:r>
              <w:rPr>
                <w:rFonts w:hint="eastAsia" w:ascii="宋体" w:hAnsi="宋体" w:cs="宋体"/>
                <w:color w:val="auto"/>
                <w:szCs w:val="21"/>
                <w:highlight w:val="none"/>
                <w:lang w:val="en-US" w:eastAsia="zh-CN"/>
              </w:rPr>
              <w:t>2</w:t>
            </w:r>
            <w:r>
              <w:rPr>
                <w:rFonts w:hint="eastAsia" w:ascii="宋体" w:hAnsi="宋体" w:cs="宋体"/>
                <w:color w:val="auto"/>
                <w:szCs w:val="21"/>
                <w:highlight w:val="none"/>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8" w:hRule="atLeast"/>
        </w:trPr>
        <w:tc>
          <w:tcPr>
            <w:tcW w:w="1170" w:type="dxa"/>
            <w:vMerge w:val="continue"/>
          </w:tcPr>
          <w:p>
            <w:pPr>
              <w:ind w:firstLine="0" w:firstLineChars="0"/>
              <w:jc w:val="left"/>
              <w:rPr>
                <w:rFonts w:ascii="宋体" w:hAnsi="宋体" w:cs="宋体"/>
                <w:color w:val="auto"/>
                <w:szCs w:val="21"/>
                <w:highlight w:val="none"/>
              </w:rPr>
            </w:pPr>
          </w:p>
        </w:tc>
        <w:tc>
          <w:tcPr>
            <w:tcW w:w="1665" w:type="dxa"/>
          </w:tcPr>
          <w:p>
            <w:pPr>
              <w:ind w:firstLine="0" w:firstLineChars="0"/>
              <w:jc w:val="left"/>
              <w:rPr>
                <w:rFonts w:ascii="宋体" w:hAnsi="宋体" w:cs="宋体"/>
                <w:color w:val="auto"/>
                <w:szCs w:val="21"/>
                <w:highlight w:val="none"/>
              </w:rPr>
            </w:pPr>
            <w:r>
              <w:rPr>
                <w:rFonts w:hint="eastAsia" w:ascii="宋体" w:hAnsi="宋体" w:cs="宋体"/>
                <w:color w:val="auto"/>
                <w:szCs w:val="21"/>
                <w:highlight w:val="none"/>
              </w:rPr>
              <w:t>标的企业概述</w:t>
            </w:r>
          </w:p>
        </w:tc>
        <w:tc>
          <w:tcPr>
            <w:tcW w:w="6150" w:type="dxa"/>
            <w:gridSpan w:val="3"/>
            <w:vAlign w:val="center"/>
          </w:tcPr>
          <w:p>
            <w:pPr>
              <w:ind w:firstLine="0" w:firstLineChars="0"/>
              <w:rPr>
                <w:rFonts w:ascii="宋体" w:hAnsi="宋体" w:cs="宋体"/>
                <w:color w:val="auto"/>
                <w:szCs w:val="21"/>
                <w:highlight w:val="none"/>
              </w:rPr>
            </w:pPr>
            <w:r>
              <w:rPr>
                <w:rFonts w:hint="eastAsia" w:ascii="宋体" w:hAnsi="宋体" w:cs="宋体"/>
                <w:color w:val="auto"/>
                <w:szCs w:val="21"/>
                <w:highlight w:val="none"/>
              </w:rPr>
              <w:t>1、标的企业股东持股情况如下：</w:t>
            </w:r>
            <w:r>
              <w:rPr>
                <w:rFonts w:hint="eastAsia" w:ascii="宋体" w:hAnsi="宋体" w:cs="宋体"/>
                <w:color w:val="auto"/>
                <w:szCs w:val="21"/>
                <w:highlight w:val="none"/>
                <w:lang w:eastAsia="zh-CN"/>
              </w:rPr>
              <w:t>李培</w:t>
            </w:r>
            <w:r>
              <w:rPr>
                <w:rFonts w:hint="eastAsia" w:ascii="宋体" w:hAnsi="宋体" w:cs="宋体"/>
                <w:color w:val="auto"/>
                <w:szCs w:val="21"/>
                <w:highlight w:val="none"/>
                <w:lang w:val="en-US" w:eastAsia="zh-CN"/>
              </w:rPr>
              <w:t>认缴</w:t>
            </w:r>
            <w:r>
              <w:rPr>
                <w:rFonts w:hint="eastAsia" w:ascii="宋体" w:hAnsi="宋体" w:cs="宋体"/>
                <w:color w:val="auto"/>
                <w:szCs w:val="21"/>
                <w:highlight w:val="none"/>
                <w:lang w:eastAsia="zh-CN"/>
              </w:rPr>
              <w:t>注册资本</w:t>
            </w: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90</w:t>
            </w:r>
            <w:r>
              <w:rPr>
                <w:rFonts w:hint="eastAsia" w:ascii="宋体" w:hAnsi="宋体" w:cs="宋体"/>
                <w:color w:val="auto"/>
                <w:szCs w:val="21"/>
                <w:highlight w:val="none"/>
              </w:rPr>
              <w:t>万元；占股比例</w:t>
            </w:r>
            <w:r>
              <w:rPr>
                <w:rFonts w:hint="eastAsia" w:ascii="宋体" w:hAnsi="宋体" w:cs="宋体"/>
                <w:color w:val="auto"/>
                <w:szCs w:val="21"/>
                <w:highlight w:val="none"/>
                <w:lang w:val="en-US" w:eastAsia="zh-CN"/>
              </w:rPr>
              <w:t>90</w:t>
            </w:r>
            <w:r>
              <w:rPr>
                <w:rFonts w:ascii="宋体" w:hAnsi="宋体" w:cs="宋体"/>
                <w:color w:val="auto"/>
                <w:szCs w:val="21"/>
                <w:highlight w:val="none"/>
              </w:rPr>
              <w:t>%</w:t>
            </w:r>
            <w:r>
              <w:rPr>
                <w:rFonts w:hint="eastAsia" w:ascii="宋体" w:hAnsi="宋体" w:cs="宋体"/>
                <w:color w:val="auto"/>
                <w:szCs w:val="21"/>
                <w:highlight w:val="none"/>
              </w:rPr>
              <w:t>；</w:t>
            </w:r>
            <w:r>
              <w:rPr>
                <w:rFonts w:hint="eastAsia" w:ascii="宋体" w:hAnsi="宋体" w:cs="宋体"/>
                <w:color w:val="auto"/>
                <w:szCs w:val="21"/>
                <w:highlight w:val="none"/>
                <w:lang w:eastAsia="zh-CN"/>
              </w:rPr>
              <w:t>台州浙华科技开发有限公司</w:t>
            </w:r>
            <w:r>
              <w:rPr>
                <w:rFonts w:hint="eastAsia" w:ascii="宋体" w:hAnsi="宋体" w:cs="宋体"/>
                <w:color w:val="auto"/>
                <w:szCs w:val="21"/>
                <w:highlight w:val="none"/>
                <w:lang w:val="en-US" w:eastAsia="zh-CN"/>
              </w:rPr>
              <w:t>认缴</w:t>
            </w:r>
            <w:r>
              <w:rPr>
                <w:rFonts w:hint="eastAsia" w:ascii="宋体" w:hAnsi="宋体" w:cs="宋体"/>
                <w:color w:val="auto"/>
                <w:szCs w:val="21"/>
                <w:highlight w:val="none"/>
                <w:lang w:eastAsia="zh-CN"/>
              </w:rPr>
              <w:t>注册资本</w:t>
            </w: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10</w:t>
            </w:r>
            <w:r>
              <w:rPr>
                <w:rFonts w:hint="eastAsia" w:ascii="宋体" w:hAnsi="宋体" w:cs="宋体"/>
                <w:color w:val="auto"/>
                <w:szCs w:val="21"/>
                <w:highlight w:val="none"/>
              </w:rPr>
              <w:t>万元；占股比例：</w:t>
            </w:r>
            <w:r>
              <w:rPr>
                <w:rFonts w:hint="eastAsia" w:ascii="宋体" w:hAnsi="宋体" w:cs="宋体"/>
                <w:color w:val="auto"/>
                <w:szCs w:val="21"/>
                <w:highlight w:val="none"/>
                <w:lang w:val="en-US" w:eastAsia="zh-CN"/>
              </w:rPr>
              <w:t>10</w:t>
            </w:r>
            <w:r>
              <w:rPr>
                <w:rFonts w:ascii="宋体" w:hAnsi="宋体" w:cs="宋体"/>
                <w:color w:val="auto"/>
                <w:szCs w:val="21"/>
                <w:highlight w:val="none"/>
              </w:rPr>
              <w:t>%</w:t>
            </w:r>
            <w:r>
              <w:rPr>
                <w:rFonts w:hint="eastAsia" w:ascii="宋体" w:hAnsi="宋体" w:cs="宋体"/>
                <w:color w:val="auto"/>
                <w:szCs w:val="21"/>
                <w:highlight w:val="none"/>
              </w:rPr>
              <w:t>。</w:t>
            </w:r>
          </w:p>
          <w:p>
            <w:pPr>
              <w:ind w:firstLine="0" w:firstLineChars="0"/>
              <w:rPr>
                <w:rFonts w:ascii="宋体" w:hAnsi="宋体" w:cs="宋体"/>
                <w:color w:val="auto"/>
                <w:szCs w:val="21"/>
                <w:highlight w:val="none"/>
              </w:rPr>
            </w:pPr>
            <w:r>
              <w:rPr>
                <w:rFonts w:hint="eastAsia" w:ascii="宋体" w:hAnsi="宋体" w:cs="宋体"/>
                <w:color w:val="auto"/>
                <w:szCs w:val="21"/>
                <w:highlight w:val="none"/>
              </w:rPr>
              <w:t>2、公司经营状况：截至</w:t>
            </w:r>
            <w:r>
              <w:rPr>
                <w:rFonts w:ascii="宋体" w:hAnsi="宋体"/>
                <w:color w:val="auto"/>
                <w:szCs w:val="21"/>
                <w:highlight w:val="none"/>
              </w:rPr>
              <w:t>202</w:t>
            </w:r>
            <w:r>
              <w:rPr>
                <w:rFonts w:hint="eastAsia" w:ascii="宋体" w:hAnsi="宋体"/>
                <w:color w:val="auto"/>
                <w:szCs w:val="21"/>
                <w:highlight w:val="none"/>
                <w:lang w:val="en-US" w:eastAsia="zh-CN"/>
              </w:rPr>
              <w:t>1</w:t>
            </w:r>
            <w:r>
              <w:rPr>
                <w:rFonts w:hint="eastAsia" w:ascii="宋体" w:hAnsi="宋体"/>
                <w:color w:val="auto"/>
                <w:szCs w:val="21"/>
                <w:highlight w:val="none"/>
              </w:rPr>
              <w:t>年</w:t>
            </w:r>
            <w:r>
              <w:rPr>
                <w:rFonts w:hint="eastAsia" w:ascii="宋体" w:hAnsi="宋体"/>
                <w:color w:val="auto"/>
                <w:szCs w:val="21"/>
                <w:highlight w:val="none"/>
                <w:lang w:val="en-US" w:eastAsia="zh-CN"/>
              </w:rPr>
              <w:t>12</w:t>
            </w:r>
            <w:r>
              <w:rPr>
                <w:rFonts w:hint="eastAsia" w:ascii="宋体" w:hAnsi="宋体"/>
                <w:color w:val="auto"/>
                <w:szCs w:val="21"/>
                <w:highlight w:val="none"/>
              </w:rPr>
              <w:t>月3</w:t>
            </w:r>
            <w:r>
              <w:rPr>
                <w:rFonts w:ascii="宋体" w:hAnsi="宋体"/>
                <w:color w:val="auto"/>
                <w:szCs w:val="21"/>
                <w:highlight w:val="none"/>
              </w:rPr>
              <w:t>1</w:t>
            </w:r>
            <w:r>
              <w:rPr>
                <w:rFonts w:hint="eastAsia" w:ascii="宋体" w:hAnsi="宋体"/>
                <w:color w:val="auto"/>
                <w:szCs w:val="21"/>
                <w:highlight w:val="none"/>
              </w:rPr>
              <w:t>日</w:t>
            </w:r>
            <w:r>
              <w:rPr>
                <w:rFonts w:hint="eastAsia" w:ascii="宋体" w:hAnsi="宋体" w:cs="宋体"/>
                <w:color w:val="auto"/>
                <w:szCs w:val="21"/>
                <w:highlight w:val="none"/>
              </w:rPr>
              <w:t>，</w:t>
            </w:r>
            <w:r>
              <w:rPr>
                <w:rFonts w:hint="eastAsia" w:ascii="宋体" w:hAnsi="宋体" w:cs="宋体"/>
                <w:color w:val="auto"/>
                <w:szCs w:val="21"/>
                <w:highlight w:val="none"/>
                <w:lang w:eastAsia="zh-CN"/>
              </w:rPr>
              <w:t>清大智创</w:t>
            </w:r>
            <w:r>
              <w:rPr>
                <w:rFonts w:hint="eastAsia" w:ascii="宋体" w:hAnsi="宋体" w:cs="宋体"/>
                <w:color w:val="auto"/>
                <w:szCs w:val="21"/>
                <w:highlight w:val="none"/>
              </w:rPr>
              <w:t>账面资产总额</w:t>
            </w:r>
            <w:r>
              <w:rPr>
                <w:rFonts w:hint="eastAsia" w:ascii="宋体" w:hAnsi="宋体" w:cs="宋体"/>
                <w:color w:val="auto"/>
                <w:szCs w:val="21"/>
                <w:highlight w:val="none"/>
                <w:lang w:val="en-US" w:eastAsia="zh-CN"/>
              </w:rPr>
              <w:t>63.23</w:t>
            </w:r>
            <w:r>
              <w:rPr>
                <w:rFonts w:hint="eastAsia" w:ascii="宋体" w:hAnsi="宋体" w:cs="宋体"/>
                <w:color w:val="auto"/>
                <w:szCs w:val="21"/>
                <w:highlight w:val="none"/>
              </w:rPr>
              <w:t>万元，账面负债总额</w:t>
            </w:r>
            <w:r>
              <w:rPr>
                <w:rFonts w:hint="eastAsia" w:ascii="宋体" w:hAnsi="宋体" w:cs="宋体"/>
                <w:color w:val="auto"/>
                <w:szCs w:val="21"/>
                <w:highlight w:val="none"/>
                <w:lang w:val="en-US" w:eastAsia="zh-CN"/>
              </w:rPr>
              <w:t>13.37</w:t>
            </w:r>
            <w:r>
              <w:rPr>
                <w:rFonts w:hint="eastAsia" w:ascii="宋体" w:hAnsi="宋体" w:cs="宋体"/>
                <w:color w:val="auto"/>
                <w:szCs w:val="21"/>
                <w:highlight w:val="none"/>
              </w:rPr>
              <w:t>万元，所有者账面权益</w:t>
            </w:r>
            <w:r>
              <w:rPr>
                <w:rFonts w:hint="eastAsia" w:ascii="宋体" w:hAnsi="宋体" w:cs="宋体"/>
                <w:color w:val="auto"/>
                <w:szCs w:val="21"/>
                <w:highlight w:val="none"/>
                <w:lang w:val="en-US" w:eastAsia="zh-CN"/>
              </w:rPr>
              <w:t>49.86</w:t>
            </w:r>
            <w:r>
              <w:rPr>
                <w:rFonts w:hint="eastAsia" w:ascii="宋体" w:hAnsi="宋体" w:cs="宋体"/>
                <w:color w:val="auto"/>
                <w:szCs w:val="21"/>
                <w:highlight w:val="none"/>
              </w:rPr>
              <w:t>万元。</w:t>
            </w:r>
          </w:p>
          <w:p>
            <w:pPr>
              <w:ind w:firstLine="0" w:firstLineChars="0"/>
              <w:rPr>
                <w:rFonts w:ascii="宋体" w:hAnsi="宋体" w:cs="宋体"/>
                <w:color w:val="auto"/>
                <w:szCs w:val="21"/>
                <w:highlight w:val="none"/>
              </w:rPr>
            </w:pPr>
            <w:r>
              <w:rPr>
                <w:rFonts w:hint="eastAsia" w:ascii="宋体" w:hAnsi="宋体" w:cs="宋体"/>
                <w:color w:val="auto"/>
                <w:szCs w:val="21"/>
                <w:highlight w:val="none"/>
              </w:rPr>
              <w:t>3、标的企业股东是否有优先购买权：在同等条件下享有优先购买权。</w:t>
            </w:r>
          </w:p>
          <w:p>
            <w:pPr>
              <w:ind w:firstLine="0" w:firstLineChars="0"/>
              <w:rPr>
                <w:rFonts w:ascii="宋体" w:hAnsi="宋体" w:cs="宋体"/>
                <w:color w:val="auto"/>
                <w:szCs w:val="21"/>
                <w:highlight w:val="none"/>
              </w:rPr>
            </w:pPr>
            <w:r>
              <w:rPr>
                <w:rFonts w:hint="eastAsia" w:ascii="宋体" w:hAnsi="宋体" w:cs="宋体"/>
                <w:color w:val="auto"/>
                <w:szCs w:val="21"/>
                <w:highlight w:val="none"/>
              </w:rPr>
              <w:t>4、企业管理层是否参与受让:否</w:t>
            </w:r>
          </w:p>
          <w:p>
            <w:pPr>
              <w:ind w:firstLine="0" w:firstLineChars="0"/>
              <w:rPr>
                <w:rFonts w:ascii="宋体" w:hAnsi="宋体" w:cs="宋体"/>
                <w:color w:val="auto"/>
                <w:szCs w:val="21"/>
                <w:highlight w:val="none"/>
              </w:rPr>
            </w:pPr>
            <w:r>
              <w:rPr>
                <w:rFonts w:hint="eastAsia" w:ascii="宋体" w:hAnsi="宋体" w:cs="宋体"/>
                <w:color w:val="auto"/>
                <w:szCs w:val="21"/>
                <w:highlight w:val="none"/>
              </w:rPr>
              <w:t>5、其它信息披露：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9" w:hRule="atLeast"/>
        </w:trPr>
        <w:tc>
          <w:tcPr>
            <w:tcW w:w="1170" w:type="dxa"/>
            <w:vAlign w:val="center"/>
          </w:tcPr>
          <w:p>
            <w:pPr>
              <w:ind w:firstLine="0" w:firstLineChars="0"/>
              <w:jc w:val="left"/>
              <w:rPr>
                <w:rFonts w:ascii="宋体" w:hAnsi="宋体" w:cs="宋体"/>
                <w:color w:val="auto"/>
                <w:szCs w:val="21"/>
                <w:highlight w:val="none"/>
              </w:rPr>
            </w:pPr>
            <w:r>
              <w:rPr>
                <w:rFonts w:hint="eastAsia" w:ascii="宋体" w:hAnsi="宋体" w:cs="宋体"/>
                <w:color w:val="auto"/>
                <w:szCs w:val="21"/>
                <w:highlight w:val="none"/>
              </w:rPr>
              <w:t>公告挂牌</w:t>
            </w:r>
          </w:p>
        </w:tc>
        <w:tc>
          <w:tcPr>
            <w:tcW w:w="7815" w:type="dxa"/>
            <w:gridSpan w:val="4"/>
          </w:tcPr>
          <w:p>
            <w:pPr>
              <w:ind w:firstLine="0" w:firstLineChars="0"/>
              <w:jc w:val="left"/>
              <w:rPr>
                <w:rFonts w:ascii="宋体" w:hAnsi="宋体" w:cs="宋体"/>
                <w:color w:val="auto"/>
                <w:szCs w:val="21"/>
                <w:highlight w:val="none"/>
              </w:rPr>
            </w:pPr>
            <w:r>
              <w:rPr>
                <w:rFonts w:hint="eastAsia" w:ascii="宋体" w:hAnsi="宋体" w:cs="宋体"/>
                <w:color w:val="auto"/>
                <w:szCs w:val="21"/>
                <w:highlight w:val="none"/>
              </w:rPr>
              <w:t>1、公告挂牌期：</w:t>
            </w:r>
            <w:bookmarkStart w:id="37" w:name="待定21"/>
            <w:r>
              <w:rPr>
                <w:rFonts w:hint="eastAsia" w:ascii="宋体" w:hAnsi="宋体" w:cs="宋体"/>
                <w:color w:val="auto"/>
                <w:szCs w:val="21"/>
                <w:highlight w:val="none"/>
              </w:rPr>
              <w:t>正式挂牌时间自</w:t>
            </w:r>
            <w:r>
              <w:rPr>
                <w:rFonts w:hint="eastAsia" w:ascii="宋体" w:hAnsi="宋体" w:cs="宋体"/>
                <w:color w:val="auto"/>
                <w:szCs w:val="21"/>
                <w:highlight w:val="none"/>
                <w:lang w:eastAsia="zh-CN"/>
              </w:rPr>
              <w:t>2022年6月2日</w:t>
            </w:r>
            <w:r>
              <w:rPr>
                <w:rFonts w:hint="eastAsia" w:ascii="宋体" w:hAnsi="宋体" w:cs="宋体"/>
                <w:color w:val="auto"/>
                <w:szCs w:val="21"/>
                <w:highlight w:val="none"/>
              </w:rPr>
              <w:t>公告日（即挂牌起始日）至</w:t>
            </w:r>
            <w:r>
              <w:rPr>
                <w:rFonts w:hint="eastAsia" w:ascii="宋体" w:hAnsi="宋体" w:cs="宋体"/>
                <w:color w:val="auto"/>
                <w:szCs w:val="21"/>
                <w:highlight w:val="none"/>
                <w:lang w:eastAsia="zh-CN"/>
              </w:rPr>
              <w:t>2022年6月30日</w:t>
            </w:r>
            <w:r>
              <w:rPr>
                <w:rFonts w:hint="eastAsia" w:ascii="宋体" w:hAnsi="宋体" w:cs="宋体"/>
                <w:color w:val="auto"/>
                <w:szCs w:val="21"/>
                <w:highlight w:val="none"/>
              </w:rPr>
              <w:t>下午4时整止。</w:t>
            </w:r>
            <w:bookmarkEnd w:id="37"/>
          </w:p>
          <w:p>
            <w:pPr>
              <w:ind w:firstLine="0" w:firstLineChars="0"/>
              <w:jc w:val="left"/>
              <w:rPr>
                <w:rFonts w:ascii="宋体" w:hAnsi="宋体" w:cs="宋体"/>
                <w:color w:val="auto"/>
                <w:szCs w:val="21"/>
                <w:highlight w:val="none"/>
              </w:rPr>
            </w:pPr>
            <w:r>
              <w:rPr>
                <w:rFonts w:hint="eastAsia" w:ascii="宋体" w:hAnsi="宋体" w:cs="宋体"/>
                <w:color w:val="auto"/>
                <w:szCs w:val="21"/>
                <w:highlight w:val="none"/>
              </w:rPr>
              <w:t>2、意向受让人应在报名期间</w:t>
            </w:r>
            <w:r>
              <w:rPr>
                <w:rFonts w:hint="eastAsia" w:ascii="宋体" w:hAnsi="宋体" w:cs="宋体"/>
                <w:color w:val="auto"/>
                <w:szCs w:val="21"/>
                <w:highlight w:val="none"/>
                <w:lang w:eastAsia="zh-CN"/>
              </w:rPr>
              <w:t>2022年6月2日</w:t>
            </w:r>
            <w:r>
              <w:rPr>
                <w:rFonts w:hint="eastAsia" w:ascii="宋体" w:hAnsi="宋体" w:cs="宋体"/>
                <w:color w:val="auto"/>
                <w:szCs w:val="21"/>
                <w:highlight w:val="none"/>
              </w:rPr>
              <w:t>至</w:t>
            </w:r>
            <w:r>
              <w:rPr>
                <w:rFonts w:hint="eastAsia" w:ascii="宋体" w:hAnsi="宋体" w:cs="宋体"/>
                <w:color w:val="auto"/>
                <w:szCs w:val="21"/>
                <w:highlight w:val="none"/>
                <w:lang w:eastAsia="zh-CN"/>
              </w:rPr>
              <w:t>2022年6月30日</w:t>
            </w:r>
            <w:r>
              <w:rPr>
                <w:rFonts w:hint="eastAsia" w:ascii="宋体" w:hAnsi="宋体" w:cs="宋体"/>
                <w:color w:val="auto"/>
                <w:szCs w:val="21"/>
                <w:highlight w:val="none"/>
              </w:rPr>
              <w:t>下午4：00（节假日除外）到台州市产权交易所办理意向受让登记手续。请携带企业（公司）法人主体资格证明文件，包含企业法人营业执照副本的复印件，法定代表人及授权委托人的身份证明及授权委托书、公司章程、相关决议等相关资料，自然人须持本人身份证明及相关资料；缴纳保证金人民币</w:t>
            </w:r>
            <w:r>
              <w:rPr>
                <w:rFonts w:hint="eastAsia" w:ascii="宋体" w:hAnsi="宋体" w:cs="宋体"/>
                <w:color w:val="auto"/>
                <w:szCs w:val="21"/>
                <w:highlight w:val="none"/>
                <w:lang w:val="en-US" w:eastAsia="zh-CN"/>
              </w:rPr>
              <w:t>2</w:t>
            </w:r>
            <w:r>
              <w:rPr>
                <w:rFonts w:hint="eastAsia" w:ascii="宋体" w:hAnsi="宋体" w:cs="宋体"/>
                <w:color w:val="auto"/>
                <w:szCs w:val="21"/>
                <w:highlight w:val="none"/>
              </w:rPr>
              <w:t>万元。</w:t>
            </w:r>
          </w:p>
        </w:tc>
      </w:tr>
    </w:tbl>
    <w:p>
      <w:pPr>
        <w:ind w:firstLine="420"/>
        <w:rPr>
          <w:color w:val="auto"/>
          <w:highlight w:val="none"/>
        </w:rPr>
      </w:pPr>
    </w:p>
    <w:tbl>
      <w:tblPr>
        <w:tblStyle w:val="14"/>
        <w:tblW w:w="9545" w:type="dxa"/>
        <w:tblInd w:w="1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067"/>
        <w:gridCol w:w="1939"/>
        <w:gridCol w:w="1963"/>
        <w:gridCol w:w="1793"/>
        <w:gridCol w:w="17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trPr>
        <w:tc>
          <w:tcPr>
            <w:tcW w:w="2067" w:type="dxa"/>
            <w:vMerge w:val="restart"/>
            <w:vAlign w:val="center"/>
          </w:tcPr>
          <w:p>
            <w:pPr>
              <w:ind w:firstLine="422"/>
              <w:jc w:val="center"/>
              <w:rPr>
                <w:rFonts w:ascii="宋体" w:hAnsi="宋体"/>
                <w:b/>
                <w:color w:val="auto"/>
                <w:szCs w:val="21"/>
                <w:highlight w:val="none"/>
              </w:rPr>
            </w:pPr>
            <w:r>
              <w:rPr>
                <w:rFonts w:hint="eastAsia" w:ascii="宋体" w:hAnsi="宋体"/>
                <w:b/>
                <w:color w:val="auto"/>
                <w:szCs w:val="21"/>
                <w:highlight w:val="none"/>
              </w:rPr>
              <w:t>主要财务指标</w:t>
            </w:r>
          </w:p>
          <w:p>
            <w:pPr>
              <w:ind w:firstLine="422"/>
              <w:jc w:val="center"/>
              <w:rPr>
                <w:rFonts w:ascii="宋体" w:hAnsi="宋体"/>
                <w:b/>
                <w:color w:val="auto"/>
                <w:szCs w:val="21"/>
                <w:highlight w:val="none"/>
              </w:rPr>
            </w:pPr>
            <w:r>
              <w:rPr>
                <w:rFonts w:hint="eastAsia" w:ascii="宋体" w:hAnsi="宋体"/>
                <w:b/>
                <w:color w:val="auto"/>
                <w:szCs w:val="21"/>
                <w:highlight w:val="none"/>
              </w:rPr>
              <w:t>（单位：人民币元）</w:t>
            </w:r>
          </w:p>
        </w:tc>
        <w:tc>
          <w:tcPr>
            <w:tcW w:w="7478" w:type="dxa"/>
            <w:gridSpan w:val="4"/>
            <w:vAlign w:val="center"/>
          </w:tcPr>
          <w:p>
            <w:pPr>
              <w:ind w:firstLine="422"/>
              <w:jc w:val="center"/>
              <w:rPr>
                <w:rFonts w:ascii="宋体" w:hAnsi="宋体"/>
                <w:color w:val="auto"/>
                <w:szCs w:val="21"/>
                <w:highlight w:val="none"/>
              </w:rPr>
            </w:pPr>
            <w:r>
              <w:rPr>
                <w:rFonts w:hint="eastAsia" w:ascii="宋体" w:hAnsi="宋体"/>
                <w:b/>
                <w:bCs/>
                <w:color w:val="auto"/>
                <w:szCs w:val="21"/>
                <w:highlight w:val="none"/>
              </w:rPr>
              <w:t>以下数据出自审计报告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trPr>
        <w:tc>
          <w:tcPr>
            <w:tcW w:w="2067" w:type="dxa"/>
            <w:vMerge w:val="continue"/>
            <w:vAlign w:val="center"/>
          </w:tcPr>
          <w:p>
            <w:pPr>
              <w:ind w:firstLine="422"/>
              <w:jc w:val="center"/>
              <w:rPr>
                <w:rFonts w:ascii="宋体" w:hAnsi="宋体"/>
                <w:b/>
                <w:color w:val="auto"/>
                <w:szCs w:val="21"/>
                <w:highlight w:val="none"/>
              </w:rPr>
            </w:pPr>
          </w:p>
        </w:tc>
        <w:tc>
          <w:tcPr>
            <w:tcW w:w="1939" w:type="dxa"/>
            <w:vAlign w:val="center"/>
          </w:tcPr>
          <w:p>
            <w:pPr>
              <w:ind w:firstLine="422"/>
              <w:jc w:val="center"/>
              <w:rPr>
                <w:rFonts w:ascii="宋体" w:hAnsi="宋体"/>
                <w:b/>
                <w:color w:val="auto"/>
                <w:szCs w:val="21"/>
                <w:highlight w:val="none"/>
              </w:rPr>
            </w:pPr>
            <w:r>
              <w:rPr>
                <w:rFonts w:hint="eastAsia" w:ascii="宋体" w:hAnsi="宋体"/>
                <w:b/>
                <w:color w:val="auto"/>
                <w:szCs w:val="21"/>
                <w:highlight w:val="none"/>
              </w:rPr>
              <w:t>年度日期</w:t>
            </w:r>
          </w:p>
        </w:tc>
        <w:tc>
          <w:tcPr>
            <w:tcW w:w="1963" w:type="dxa"/>
            <w:vAlign w:val="center"/>
          </w:tcPr>
          <w:p>
            <w:pPr>
              <w:ind w:firstLine="422"/>
              <w:jc w:val="center"/>
              <w:rPr>
                <w:rFonts w:ascii="宋体" w:hAnsi="宋体"/>
                <w:b/>
                <w:color w:val="auto"/>
                <w:szCs w:val="21"/>
                <w:highlight w:val="none"/>
              </w:rPr>
            </w:pPr>
            <w:r>
              <w:rPr>
                <w:rFonts w:hint="eastAsia" w:ascii="宋体" w:hAnsi="宋体"/>
                <w:b/>
                <w:color w:val="auto"/>
                <w:szCs w:val="21"/>
                <w:highlight w:val="none"/>
              </w:rPr>
              <w:t>资产总计</w:t>
            </w:r>
          </w:p>
        </w:tc>
        <w:tc>
          <w:tcPr>
            <w:tcW w:w="1793" w:type="dxa"/>
            <w:vAlign w:val="center"/>
          </w:tcPr>
          <w:p>
            <w:pPr>
              <w:ind w:firstLine="422"/>
              <w:jc w:val="center"/>
              <w:rPr>
                <w:rFonts w:ascii="宋体" w:hAnsi="宋体"/>
                <w:b/>
                <w:color w:val="auto"/>
                <w:szCs w:val="21"/>
                <w:highlight w:val="none"/>
              </w:rPr>
            </w:pPr>
            <w:r>
              <w:rPr>
                <w:rFonts w:hint="eastAsia" w:ascii="宋体" w:hAnsi="宋体"/>
                <w:b/>
                <w:color w:val="auto"/>
                <w:szCs w:val="21"/>
                <w:highlight w:val="none"/>
              </w:rPr>
              <w:t>负债总计</w:t>
            </w:r>
          </w:p>
        </w:tc>
        <w:tc>
          <w:tcPr>
            <w:tcW w:w="1783" w:type="dxa"/>
            <w:vAlign w:val="center"/>
          </w:tcPr>
          <w:p>
            <w:pPr>
              <w:ind w:firstLine="422"/>
              <w:jc w:val="center"/>
              <w:rPr>
                <w:rFonts w:ascii="宋体" w:hAnsi="宋体"/>
                <w:b/>
                <w:color w:val="auto"/>
                <w:szCs w:val="21"/>
                <w:highlight w:val="none"/>
              </w:rPr>
            </w:pPr>
            <w:r>
              <w:rPr>
                <w:rFonts w:hint="eastAsia" w:ascii="宋体" w:hAnsi="宋体"/>
                <w:b/>
                <w:color w:val="auto"/>
                <w:szCs w:val="21"/>
                <w:highlight w:val="none"/>
              </w:rPr>
              <w:t>所有者权益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trPr>
        <w:tc>
          <w:tcPr>
            <w:tcW w:w="2067" w:type="dxa"/>
            <w:vMerge w:val="continue"/>
            <w:vAlign w:val="center"/>
          </w:tcPr>
          <w:p>
            <w:pPr>
              <w:ind w:firstLine="422"/>
              <w:jc w:val="center"/>
              <w:rPr>
                <w:rFonts w:ascii="宋体" w:hAnsi="宋体"/>
                <w:b/>
                <w:color w:val="auto"/>
                <w:szCs w:val="21"/>
                <w:highlight w:val="none"/>
              </w:rPr>
            </w:pPr>
          </w:p>
        </w:tc>
        <w:tc>
          <w:tcPr>
            <w:tcW w:w="1939" w:type="dxa"/>
            <w:vMerge w:val="restart"/>
            <w:vAlign w:val="center"/>
          </w:tcPr>
          <w:p>
            <w:pPr>
              <w:ind w:firstLine="0" w:firstLineChars="0"/>
              <w:jc w:val="both"/>
              <w:rPr>
                <w:rFonts w:ascii="宋体" w:hAnsi="宋体"/>
                <w:color w:val="auto"/>
                <w:szCs w:val="21"/>
                <w:highlight w:val="none"/>
                <w:u w:val="single"/>
              </w:rPr>
            </w:pPr>
            <w:r>
              <w:rPr>
                <w:rFonts w:ascii="宋体" w:hAnsi="宋体"/>
                <w:color w:val="auto"/>
                <w:szCs w:val="21"/>
                <w:highlight w:val="none"/>
              </w:rPr>
              <w:t>2021</w:t>
            </w:r>
            <w:r>
              <w:rPr>
                <w:rFonts w:hint="eastAsia" w:ascii="宋体" w:hAnsi="宋体"/>
                <w:color w:val="auto"/>
                <w:szCs w:val="21"/>
                <w:highlight w:val="none"/>
              </w:rPr>
              <w:t>年</w:t>
            </w:r>
            <w:r>
              <w:rPr>
                <w:rFonts w:hint="eastAsia" w:ascii="宋体" w:hAnsi="宋体"/>
                <w:color w:val="auto"/>
                <w:szCs w:val="21"/>
                <w:highlight w:val="none"/>
                <w:lang w:eastAsia="zh-CN"/>
              </w:rPr>
              <w:t>1</w:t>
            </w:r>
            <w:r>
              <w:rPr>
                <w:rFonts w:hint="eastAsia" w:ascii="宋体" w:hAnsi="宋体"/>
                <w:color w:val="auto"/>
                <w:szCs w:val="21"/>
                <w:highlight w:val="none"/>
                <w:lang w:val="en-US" w:eastAsia="zh-CN"/>
              </w:rPr>
              <w:t>2</w:t>
            </w:r>
            <w:r>
              <w:rPr>
                <w:rFonts w:hint="eastAsia" w:ascii="宋体" w:hAnsi="宋体"/>
                <w:color w:val="auto"/>
                <w:szCs w:val="21"/>
                <w:highlight w:val="none"/>
              </w:rPr>
              <w:t>月3</w:t>
            </w:r>
            <w:r>
              <w:rPr>
                <w:rFonts w:ascii="宋体" w:hAnsi="宋体"/>
                <w:color w:val="auto"/>
                <w:szCs w:val="21"/>
                <w:highlight w:val="none"/>
              </w:rPr>
              <w:t>1</w:t>
            </w:r>
            <w:r>
              <w:rPr>
                <w:rFonts w:hint="eastAsia" w:ascii="宋体" w:hAnsi="宋体"/>
                <w:color w:val="auto"/>
                <w:szCs w:val="21"/>
                <w:highlight w:val="none"/>
              </w:rPr>
              <w:t>日</w:t>
            </w:r>
          </w:p>
        </w:tc>
        <w:tc>
          <w:tcPr>
            <w:tcW w:w="1963" w:type="dxa"/>
            <w:vAlign w:val="center"/>
          </w:tcPr>
          <w:p>
            <w:pPr>
              <w:ind w:firstLine="0" w:firstLineChars="0"/>
              <w:jc w:val="right"/>
              <w:rPr>
                <w:rFonts w:hint="default" w:ascii="宋体" w:hAnsi="宋体"/>
                <w:color w:val="auto"/>
                <w:szCs w:val="21"/>
                <w:highlight w:val="none"/>
                <w:lang w:val="en-US"/>
              </w:rPr>
            </w:pPr>
            <w:r>
              <w:rPr>
                <w:rFonts w:hint="eastAsia" w:ascii="宋体" w:hAnsi="宋体"/>
                <w:color w:val="auto"/>
                <w:szCs w:val="21"/>
                <w:highlight w:val="none"/>
                <w:lang w:val="en-US" w:eastAsia="zh-CN"/>
              </w:rPr>
              <w:t>632,390.59</w:t>
            </w:r>
          </w:p>
        </w:tc>
        <w:tc>
          <w:tcPr>
            <w:tcW w:w="1793" w:type="dxa"/>
            <w:vAlign w:val="center"/>
          </w:tcPr>
          <w:p>
            <w:pPr>
              <w:ind w:firstLine="0" w:firstLineChars="0"/>
              <w:jc w:val="right"/>
              <w:rPr>
                <w:rFonts w:hint="default" w:ascii="宋体" w:hAnsi="宋体"/>
                <w:color w:val="auto"/>
                <w:szCs w:val="21"/>
                <w:highlight w:val="none"/>
                <w:lang w:val="en-US"/>
              </w:rPr>
            </w:pPr>
            <w:r>
              <w:rPr>
                <w:rFonts w:hint="eastAsia" w:ascii="宋体" w:hAnsi="宋体"/>
                <w:color w:val="auto"/>
                <w:szCs w:val="21"/>
                <w:highlight w:val="none"/>
                <w:lang w:val="en-US" w:eastAsia="zh-CN"/>
              </w:rPr>
              <w:t>133,780.19</w:t>
            </w:r>
          </w:p>
        </w:tc>
        <w:tc>
          <w:tcPr>
            <w:tcW w:w="1783" w:type="dxa"/>
            <w:vAlign w:val="center"/>
          </w:tcPr>
          <w:p>
            <w:pPr>
              <w:ind w:firstLine="0" w:firstLineChars="0"/>
              <w:jc w:val="right"/>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498,610.4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trPr>
        <w:tc>
          <w:tcPr>
            <w:tcW w:w="2067" w:type="dxa"/>
            <w:vMerge w:val="continue"/>
            <w:shd w:val="clear" w:color="auto" w:fill="auto"/>
            <w:vAlign w:val="center"/>
          </w:tcPr>
          <w:p>
            <w:pPr>
              <w:ind w:firstLine="422"/>
              <w:jc w:val="center"/>
              <w:rPr>
                <w:rFonts w:ascii="宋体" w:hAnsi="宋体"/>
                <w:b/>
                <w:color w:val="auto"/>
                <w:szCs w:val="21"/>
                <w:highlight w:val="none"/>
              </w:rPr>
            </w:pPr>
          </w:p>
        </w:tc>
        <w:tc>
          <w:tcPr>
            <w:tcW w:w="1939" w:type="dxa"/>
            <w:vMerge w:val="continue"/>
            <w:shd w:val="clear" w:color="auto" w:fill="auto"/>
            <w:vAlign w:val="center"/>
          </w:tcPr>
          <w:p>
            <w:pPr>
              <w:ind w:firstLine="420"/>
              <w:jc w:val="center"/>
              <w:rPr>
                <w:rFonts w:ascii="宋体" w:hAnsi="宋体"/>
                <w:color w:val="auto"/>
                <w:szCs w:val="21"/>
                <w:highlight w:val="none"/>
                <w:u w:val="single"/>
              </w:rPr>
            </w:pPr>
          </w:p>
        </w:tc>
        <w:tc>
          <w:tcPr>
            <w:tcW w:w="1963" w:type="dxa"/>
            <w:shd w:val="clear" w:color="auto" w:fill="auto"/>
            <w:vAlign w:val="center"/>
          </w:tcPr>
          <w:p>
            <w:pPr>
              <w:ind w:firstLine="422"/>
              <w:jc w:val="center"/>
              <w:rPr>
                <w:rFonts w:ascii="宋体" w:hAnsi="宋体"/>
                <w:b/>
                <w:color w:val="auto"/>
                <w:szCs w:val="21"/>
                <w:highlight w:val="none"/>
              </w:rPr>
            </w:pPr>
            <w:r>
              <w:rPr>
                <w:rFonts w:hint="eastAsia" w:ascii="宋体" w:hAnsi="宋体"/>
                <w:b/>
                <w:color w:val="auto"/>
                <w:szCs w:val="21"/>
                <w:highlight w:val="none"/>
              </w:rPr>
              <w:t>营业收入</w:t>
            </w:r>
          </w:p>
        </w:tc>
        <w:tc>
          <w:tcPr>
            <w:tcW w:w="1793" w:type="dxa"/>
            <w:shd w:val="clear" w:color="auto" w:fill="FFFFFF"/>
            <w:vAlign w:val="center"/>
          </w:tcPr>
          <w:p>
            <w:pPr>
              <w:ind w:firstLine="422"/>
              <w:jc w:val="center"/>
              <w:rPr>
                <w:rFonts w:ascii="宋体" w:hAnsi="宋体"/>
                <w:b/>
                <w:color w:val="auto"/>
                <w:szCs w:val="21"/>
                <w:highlight w:val="none"/>
              </w:rPr>
            </w:pPr>
            <w:r>
              <w:rPr>
                <w:rFonts w:hint="eastAsia" w:ascii="宋体" w:hAnsi="宋体"/>
                <w:b/>
                <w:color w:val="auto"/>
                <w:szCs w:val="21"/>
                <w:highlight w:val="none"/>
              </w:rPr>
              <w:t>利润总额</w:t>
            </w:r>
          </w:p>
        </w:tc>
        <w:tc>
          <w:tcPr>
            <w:tcW w:w="1783" w:type="dxa"/>
            <w:shd w:val="clear" w:color="auto" w:fill="FFFFFF"/>
            <w:vAlign w:val="center"/>
          </w:tcPr>
          <w:p>
            <w:pPr>
              <w:ind w:firstLine="422"/>
              <w:jc w:val="center"/>
              <w:rPr>
                <w:rFonts w:ascii="宋体" w:hAnsi="宋体"/>
                <w:b/>
                <w:color w:val="auto"/>
                <w:szCs w:val="21"/>
                <w:highlight w:val="none"/>
              </w:rPr>
            </w:pPr>
            <w:r>
              <w:rPr>
                <w:rFonts w:hint="eastAsia" w:ascii="宋体" w:hAnsi="宋体"/>
                <w:b/>
                <w:color w:val="auto"/>
                <w:szCs w:val="21"/>
                <w:highlight w:val="none"/>
              </w:rPr>
              <w:t>净利润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trPr>
        <w:tc>
          <w:tcPr>
            <w:tcW w:w="2067" w:type="dxa"/>
            <w:vMerge w:val="continue"/>
            <w:shd w:val="clear" w:color="auto" w:fill="auto"/>
            <w:vAlign w:val="center"/>
          </w:tcPr>
          <w:p>
            <w:pPr>
              <w:ind w:firstLine="422"/>
              <w:jc w:val="center"/>
              <w:rPr>
                <w:rFonts w:ascii="宋体" w:hAnsi="宋体"/>
                <w:b/>
                <w:color w:val="auto"/>
                <w:szCs w:val="21"/>
                <w:highlight w:val="none"/>
              </w:rPr>
            </w:pPr>
          </w:p>
        </w:tc>
        <w:tc>
          <w:tcPr>
            <w:tcW w:w="1939" w:type="dxa"/>
            <w:vMerge w:val="continue"/>
            <w:shd w:val="clear" w:color="auto" w:fill="auto"/>
            <w:vAlign w:val="center"/>
          </w:tcPr>
          <w:p>
            <w:pPr>
              <w:ind w:firstLine="420"/>
              <w:jc w:val="center"/>
              <w:rPr>
                <w:rFonts w:ascii="宋体" w:hAnsi="宋体"/>
                <w:color w:val="auto"/>
                <w:szCs w:val="21"/>
                <w:highlight w:val="none"/>
                <w:u w:val="single"/>
              </w:rPr>
            </w:pPr>
          </w:p>
        </w:tc>
        <w:tc>
          <w:tcPr>
            <w:tcW w:w="1963" w:type="dxa"/>
            <w:shd w:val="clear" w:color="auto" w:fill="auto"/>
            <w:vAlign w:val="center"/>
          </w:tcPr>
          <w:p>
            <w:pPr>
              <w:ind w:firstLine="0" w:firstLineChars="0"/>
              <w:jc w:val="right"/>
              <w:rPr>
                <w:rFonts w:hint="default" w:ascii="宋体" w:hAnsi="宋体"/>
                <w:color w:val="auto"/>
                <w:szCs w:val="21"/>
                <w:highlight w:val="none"/>
                <w:lang w:val="en-US"/>
              </w:rPr>
            </w:pPr>
            <w:r>
              <w:rPr>
                <w:rFonts w:hint="eastAsia" w:ascii="宋体" w:hAnsi="宋体"/>
                <w:color w:val="auto"/>
                <w:szCs w:val="21"/>
                <w:highlight w:val="none"/>
                <w:lang w:val="en-US" w:eastAsia="zh-CN"/>
              </w:rPr>
              <w:t>695,049.5</w:t>
            </w:r>
          </w:p>
        </w:tc>
        <w:tc>
          <w:tcPr>
            <w:tcW w:w="1793" w:type="dxa"/>
            <w:shd w:val="clear" w:color="auto" w:fill="FFFFFF"/>
            <w:vAlign w:val="center"/>
          </w:tcPr>
          <w:p>
            <w:pPr>
              <w:ind w:firstLine="0" w:firstLineChars="0"/>
              <w:jc w:val="right"/>
              <w:rPr>
                <w:rFonts w:hint="default" w:ascii="宋体" w:hAnsi="宋体"/>
                <w:color w:val="auto"/>
                <w:szCs w:val="21"/>
                <w:highlight w:val="none"/>
                <w:lang w:val="en-US"/>
              </w:rPr>
            </w:pPr>
            <w:r>
              <w:rPr>
                <w:rFonts w:hint="eastAsia" w:ascii="宋体" w:hAnsi="宋体"/>
                <w:color w:val="auto"/>
                <w:szCs w:val="21"/>
                <w:highlight w:val="none"/>
                <w:lang w:val="en-US" w:eastAsia="zh-CN"/>
              </w:rPr>
              <w:t>-153,983.37</w:t>
            </w:r>
          </w:p>
        </w:tc>
        <w:tc>
          <w:tcPr>
            <w:tcW w:w="1783" w:type="dxa"/>
            <w:shd w:val="clear" w:color="auto" w:fill="FFFFFF"/>
            <w:vAlign w:val="center"/>
          </w:tcPr>
          <w:p>
            <w:pPr>
              <w:ind w:firstLine="0" w:firstLineChars="0"/>
              <w:jc w:val="right"/>
              <w:rPr>
                <w:rFonts w:hint="default" w:ascii="宋体" w:hAnsi="宋体"/>
                <w:color w:val="auto"/>
                <w:szCs w:val="21"/>
                <w:highlight w:val="none"/>
                <w:lang w:val="en-US"/>
              </w:rPr>
            </w:pPr>
            <w:r>
              <w:rPr>
                <w:rFonts w:hint="eastAsia" w:ascii="宋体" w:hAnsi="宋体"/>
                <w:color w:val="auto"/>
                <w:szCs w:val="21"/>
                <w:highlight w:val="none"/>
                <w:lang w:val="en-US" w:eastAsia="zh-CN"/>
              </w:rPr>
              <w:t>-153,983.37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trPr>
        <w:tc>
          <w:tcPr>
            <w:tcW w:w="2067" w:type="dxa"/>
            <w:vMerge w:val="continue"/>
            <w:shd w:val="clear" w:color="auto" w:fill="auto"/>
            <w:vAlign w:val="center"/>
          </w:tcPr>
          <w:p>
            <w:pPr>
              <w:ind w:firstLine="422"/>
              <w:jc w:val="center"/>
              <w:rPr>
                <w:rFonts w:ascii="宋体" w:hAnsi="宋体"/>
                <w:b/>
                <w:color w:val="auto"/>
                <w:szCs w:val="21"/>
                <w:highlight w:val="none"/>
              </w:rPr>
            </w:pPr>
          </w:p>
        </w:tc>
        <w:tc>
          <w:tcPr>
            <w:tcW w:w="1939" w:type="dxa"/>
            <w:shd w:val="clear" w:color="auto" w:fill="auto"/>
            <w:vAlign w:val="center"/>
          </w:tcPr>
          <w:p>
            <w:pPr>
              <w:ind w:firstLine="422"/>
              <w:jc w:val="center"/>
              <w:rPr>
                <w:rFonts w:ascii="宋体" w:hAnsi="宋体"/>
                <w:b/>
                <w:color w:val="auto"/>
                <w:szCs w:val="21"/>
                <w:highlight w:val="none"/>
              </w:rPr>
            </w:pPr>
            <w:r>
              <w:rPr>
                <w:rFonts w:hint="eastAsia" w:ascii="宋体" w:hAnsi="宋体"/>
                <w:b/>
                <w:color w:val="auto"/>
                <w:szCs w:val="21"/>
                <w:highlight w:val="none"/>
              </w:rPr>
              <w:t>审计机构</w:t>
            </w:r>
          </w:p>
        </w:tc>
        <w:tc>
          <w:tcPr>
            <w:tcW w:w="5539" w:type="dxa"/>
            <w:gridSpan w:val="3"/>
            <w:shd w:val="clear" w:color="auto" w:fill="FFFFFF"/>
            <w:vAlign w:val="center"/>
          </w:tcPr>
          <w:p>
            <w:pPr>
              <w:ind w:firstLine="420"/>
              <w:rPr>
                <w:rFonts w:ascii="宋体" w:hAnsi="宋体"/>
                <w:color w:val="auto"/>
                <w:szCs w:val="21"/>
                <w:highlight w:val="none"/>
              </w:rPr>
            </w:pPr>
            <w:r>
              <w:rPr>
                <w:rFonts w:hint="eastAsia" w:ascii="宋体" w:hAnsi="宋体"/>
                <w:color w:val="000000"/>
                <w:sz w:val="24"/>
                <w:szCs w:val="24"/>
                <w:highlight w:val="none"/>
                <w:lang w:eastAsia="zh-CN"/>
              </w:rPr>
              <w:t>台州鸿瑞会计事务所有限公司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trPr>
        <w:tc>
          <w:tcPr>
            <w:tcW w:w="2067" w:type="dxa"/>
            <w:vMerge w:val="continue"/>
            <w:shd w:val="clear" w:color="auto" w:fill="auto"/>
            <w:vAlign w:val="center"/>
          </w:tcPr>
          <w:p>
            <w:pPr>
              <w:ind w:firstLine="422"/>
              <w:jc w:val="center"/>
              <w:rPr>
                <w:rFonts w:ascii="宋体" w:hAnsi="宋体"/>
                <w:b/>
                <w:color w:val="auto"/>
                <w:szCs w:val="21"/>
                <w:highlight w:val="none"/>
              </w:rPr>
            </w:pPr>
          </w:p>
        </w:tc>
        <w:tc>
          <w:tcPr>
            <w:tcW w:w="7478" w:type="dxa"/>
            <w:gridSpan w:val="4"/>
            <w:shd w:val="clear" w:color="auto" w:fill="FFFFFF"/>
            <w:vAlign w:val="center"/>
          </w:tcPr>
          <w:p>
            <w:pPr>
              <w:ind w:firstLine="422"/>
              <w:jc w:val="center"/>
              <w:rPr>
                <w:rFonts w:ascii="宋体" w:hAnsi="宋体"/>
                <w:color w:val="auto"/>
                <w:szCs w:val="21"/>
                <w:highlight w:val="none"/>
              </w:rPr>
            </w:pPr>
            <w:r>
              <w:rPr>
                <w:rFonts w:hint="eastAsia" w:ascii="宋体" w:hAnsi="宋体"/>
                <w:b/>
                <w:bCs/>
                <w:color w:val="auto"/>
                <w:szCs w:val="21"/>
                <w:highlight w:val="none"/>
              </w:rPr>
              <w:t>以下数据出自企业财务报表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trPr>
        <w:tc>
          <w:tcPr>
            <w:tcW w:w="2067" w:type="dxa"/>
            <w:vMerge w:val="continue"/>
            <w:shd w:val="clear" w:color="auto" w:fill="auto"/>
            <w:vAlign w:val="center"/>
          </w:tcPr>
          <w:p>
            <w:pPr>
              <w:ind w:firstLine="420"/>
              <w:jc w:val="center"/>
              <w:rPr>
                <w:rFonts w:ascii="宋体" w:hAnsi="宋体"/>
                <w:color w:val="auto"/>
                <w:szCs w:val="21"/>
                <w:highlight w:val="none"/>
              </w:rPr>
            </w:pPr>
          </w:p>
        </w:tc>
        <w:tc>
          <w:tcPr>
            <w:tcW w:w="1939" w:type="dxa"/>
            <w:shd w:val="clear" w:color="auto" w:fill="auto"/>
            <w:vAlign w:val="center"/>
          </w:tcPr>
          <w:p>
            <w:pPr>
              <w:ind w:firstLine="422"/>
              <w:jc w:val="center"/>
              <w:rPr>
                <w:rFonts w:ascii="宋体" w:hAnsi="宋体"/>
                <w:b/>
                <w:color w:val="auto"/>
                <w:szCs w:val="21"/>
                <w:highlight w:val="none"/>
              </w:rPr>
            </w:pPr>
            <w:r>
              <w:rPr>
                <w:rFonts w:hint="eastAsia" w:ascii="宋体" w:hAnsi="宋体"/>
                <w:b/>
                <w:color w:val="auto"/>
                <w:szCs w:val="21"/>
                <w:highlight w:val="none"/>
              </w:rPr>
              <w:t>报表日期</w:t>
            </w:r>
          </w:p>
        </w:tc>
        <w:tc>
          <w:tcPr>
            <w:tcW w:w="1963" w:type="dxa"/>
            <w:shd w:val="clear" w:color="auto" w:fill="auto"/>
            <w:vAlign w:val="center"/>
          </w:tcPr>
          <w:p>
            <w:pPr>
              <w:ind w:firstLine="422"/>
              <w:jc w:val="center"/>
              <w:rPr>
                <w:rFonts w:ascii="宋体" w:hAnsi="宋体"/>
                <w:b/>
                <w:color w:val="auto"/>
                <w:szCs w:val="21"/>
                <w:highlight w:val="none"/>
              </w:rPr>
            </w:pPr>
            <w:r>
              <w:rPr>
                <w:rFonts w:hint="eastAsia" w:ascii="宋体" w:hAnsi="宋体"/>
                <w:b/>
                <w:color w:val="auto"/>
                <w:szCs w:val="21"/>
                <w:highlight w:val="none"/>
              </w:rPr>
              <w:t>资产总计</w:t>
            </w:r>
          </w:p>
        </w:tc>
        <w:tc>
          <w:tcPr>
            <w:tcW w:w="1793" w:type="dxa"/>
            <w:shd w:val="clear" w:color="auto" w:fill="FFFFFF"/>
            <w:vAlign w:val="center"/>
          </w:tcPr>
          <w:p>
            <w:pPr>
              <w:ind w:firstLine="422"/>
              <w:jc w:val="center"/>
              <w:rPr>
                <w:rFonts w:ascii="宋体" w:hAnsi="宋体"/>
                <w:b/>
                <w:color w:val="auto"/>
                <w:szCs w:val="21"/>
                <w:highlight w:val="none"/>
              </w:rPr>
            </w:pPr>
            <w:r>
              <w:rPr>
                <w:rFonts w:hint="eastAsia" w:ascii="宋体" w:hAnsi="宋体"/>
                <w:b/>
                <w:color w:val="auto"/>
                <w:szCs w:val="21"/>
                <w:highlight w:val="none"/>
              </w:rPr>
              <w:t>负债总计</w:t>
            </w:r>
          </w:p>
        </w:tc>
        <w:tc>
          <w:tcPr>
            <w:tcW w:w="1783" w:type="dxa"/>
            <w:shd w:val="clear" w:color="auto" w:fill="FFFFFF"/>
            <w:vAlign w:val="center"/>
          </w:tcPr>
          <w:p>
            <w:pPr>
              <w:ind w:firstLine="422"/>
              <w:jc w:val="center"/>
              <w:rPr>
                <w:rFonts w:ascii="宋体" w:hAnsi="宋体"/>
                <w:b/>
                <w:color w:val="auto"/>
                <w:szCs w:val="21"/>
                <w:highlight w:val="none"/>
              </w:rPr>
            </w:pPr>
            <w:r>
              <w:rPr>
                <w:rFonts w:hint="eastAsia" w:ascii="宋体" w:hAnsi="宋体"/>
                <w:b/>
                <w:color w:val="auto"/>
                <w:szCs w:val="21"/>
                <w:highlight w:val="none"/>
              </w:rPr>
              <w:t>所有者权益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trPr>
        <w:tc>
          <w:tcPr>
            <w:tcW w:w="2067" w:type="dxa"/>
            <w:vMerge w:val="continue"/>
            <w:shd w:val="clear" w:color="auto" w:fill="auto"/>
            <w:vAlign w:val="center"/>
          </w:tcPr>
          <w:p>
            <w:pPr>
              <w:ind w:firstLine="420"/>
              <w:rPr>
                <w:rFonts w:ascii="宋体" w:hAnsi="宋体"/>
                <w:color w:val="auto"/>
                <w:szCs w:val="21"/>
                <w:highlight w:val="none"/>
              </w:rPr>
            </w:pPr>
          </w:p>
        </w:tc>
        <w:tc>
          <w:tcPr>
            <w:tcW w:w="1939" w:type="dxa"/>
            <w:shd w:val="clear" w:color="auto" w:fill="auto"/>
            <w:vAlign w:val="center"/>
          </w:tcPr>
          <w:p>
            <w:pPr>
              <w:ind w:firstLine="0" w:firstLineChars="0"/>
              <w:jc w:val="both"/>
              <w:rPr>
                <w:rFonts w:ascii="宋体" w:hAnsi="宋体"/>
                <w:color w:val="auto"/>
                <w:szCs w:val="21"/>
                <w:highlight w:val="none"/>
              </w:rPr>
            </w:pPr>
            <w:r>
              <w:rPr>
                <w:rFonts w:hint="eastAsia" w:ascii="宋体" w:hAnsi="宋体"/>
                <w:color w:val="auto"/>
                <w:szCs w:val="21"/>
                <w:highlight w:val="none"/>
              </w:rPr>
              <w:t>202</w:t>
            </w:r>
            <w:r>
              <w:rPr>
                <w:rFonts w:hint="eastAsia" w:ascii="宋体" w:hAnsi="宋体"/>
                <w:color w:val="auto"/>
                <w:szCs w:val="21"/>
                <w:highlight w:val="none"/>
                <w:lang w:eastAsia="zh-CN"/>
              </w:rPr>
              <w:t>2</w:t>
            </w:r>
            <w:r>
              <w:rPr>
                <w:rFonts w:hint="eastAsia" w:ascii="宋体" w:hAnsi="宋体"/>
                <w:color w:val="auto"/>
                <w:szCs w:val="21"/>
                <w:highlight w:val="none"/>
              </w:rPr>
              <w:t>年</w:t>
            </w:r>
            <w:r>
              <w:rPr>
                <w:rFonts w:hint="eastAsia" w:ascii="宋体" w:hAnsi="宋体"/>
                <w:color w:val="auto"/>
                <w:szCs w:val="21"/>
                <w:highlight w:val="none"/>
                <w:lang w:eastAsia="zh-CN"/>
              </w:rPr>
              <w:t>3</w:t>
            </w:r>
            <w:r>
              <w:rPr>
                <w:rFonts w:hint="eastAsia" w:ascii="宋体" w:hAnsi="宋体"/>
                <w:color w:val="auto"/>
                <w:szCs w:val="21"/>
                <w:highlight w:val="none"/>
              </w:rPr>
              <w:t>月31日</w:t>
            </w:r>
          </w:p>
        </w:tc>
        <w:tc>
          <w:tcPr>
            <w:tcW w:w="1963" w:type="dxa"/>
            <w:shd w:val="clear" w:color="auto" w:fill="auto"/>
            <w:vAlign w:val="center"/>
          </w:tcPr>
          <w:p>
            <w:pPr>
              <w:ind w:firstLine="0" w:firstLineChars="0"/>
              <w:jc w:val="right"/>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525,510.27</w:t>
            </w:r>
          </w:p>
        </w:tc>
        <w:tc>
          <w:tcPr>
            <w:tcW w:w="1793" w:type="dxa"/>
            <w:shd w:val="clear" w:color="auto" w:fill="FFFFFF"/>
            <w:vAlign w:val="center"/>
          </w:tcPr>
          <w:p>
            <w:pPr>
              <w:ind w:firstLine="0" w:firstLineChars="0"/>
              <w:jc w:val="right"/>
              <w:rPr>
                <w:rFonts w:hint="default" w:ascii="宋体" w:hAnsi="宋体"/>
                <w:color w:val="auto"/>
                <w:szCs w:val="21"/>
                <w:highlight w:val="none"/>
                <w:lang w:val="en-US"/>
              </w:rPr>
            </w:pPr>
            <w:r>
              <w:rPr>
                <w:rFonts w:hint="eastAsia" w:ascii="宋体" w:hAnsi="宋体"/>
                <w:color w:val="auto"/>
                <w:szCs w:val="21"/>
                <w:highlight w:val="none"/>
                <w:lang w:val="en-US" w:eastAsia="zh-CN"/>
              </w:rPr>
              <w:t>97,330.89</w:t>
            </w:r>
          </w:p>
        </w:tc>
        <w:tc>
          <w:tcPr>
            <w:tcW w:w="1783" w:type="dxa"/>
            <w:shd w:val="clear" w:color="auto" w:fill="FFFFFF"/>
            <w:vAlign w:val="center"/>
          </w:tcPr>
          <w:p>
            <w:pPr>
              <w:ind w:firstLine="0" w:firstLineChars="0"/>
              <w:jc w:val="right"/>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428,179.38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trPr>
        <w:tc>
          <w:tcPr>
            <w:tcW w:w="2067" w:type="dxa"/>
            <w:vMerge w:val="continue"/>
            <w:shd w:val="clear" w:color="auto" w:fill="auto"/>
            <w:vAlign w:val="center"/>
          </w:tcPr>
          <w:p>
            <w:pPr>
              <w:ind w:firstLine="420"/>
              <w:rPr>
                <w:rFonts w:ascii="宋体" w:hAnsi="宋体"/>
                <w:color w:val="auto"/>
                <w:szCs w:val="21"/>
                <w:highlight w:val="none"/>
              </w:rPr>
            </w:pPr>
          </w:p>
        </w:tc>
        <w:tc>
          <w:tcPr>
            <w:tcW w:w="1939" w:type="dxa"/>
            <w:shd w:val="clear" w:color="auto" w:fill="auto"/>
            <w:vAlign w:val="center"/>
          </w:tcPr>
          <w:p>
            <w:pPr>
              <w:ind w:firstLine="422"/>
              <w:jc w:val="center"/>
              <w:rPr>
                <w:rFonts w:ascii="宋体" w:hAnsi="宋体"/>
                <w:b/>
                <w:color w:val="auto"/>
                <w:szCs w:val="21"/>
                <w:highlight w:val="none"/>
              </w:rPr>
            </w:pPr>
            <w:r>
              <w:rPr>
                <w:rFonts w:hint="eastAsia" w:ascii="宋体" w:hAnsi="宋体"/>
                <w:b/>
                <w:color w:val="auto"/>
                <w:szCs w:val="21"/>
                <w:highlight w:val="none"/>
              </w:rPr>
              <w:t>报表类型</w:t>
            </w:r>
          </w:p>
        </w:tc>
        <w:tc>
          <w:tcPr>
            <w:tcW w:w="1963" w:type="dxa"/>
            <w:shd w:val="clear" w:color="auto" w:fill="auto"/>
            <w:vAlign w:val="center"/>
          </w:tcPr>
          <w:p>
            <w:pPr>
              <w:ind w:firstLine="422"/>
              <w:jc w:val="center"/>
              <w:rPr>
                <w:rFonts w:ascii="宋体" w:hAnsi="宋体"/>
                <w:b/>
                <w:color w:val="auto"/>
                <w:szCs w:val="21"/>
                <w:highlight w:val="none"/>
              </w:rPr>
            </w:pPr>
            <w:r>
              <w:rPr>
                <w:rFonts w:hint="eastAsia" w:ascii="宋体" w:hAnsi="宋体"/>
                <w:b/>
                <w:color w:val="auto"/>
                <w:szCs w:val="21"/>
                <w:highlight w:val="none"/>
              </w:rPr>
              <w:t>营业收入</w:t>
            </w:r>
          </w:p>
        </w:tc>
        <w:tc>
          <w:tcPr>
            <w:tcW w:w="1793" w:type="dxa"/>
            <w:shd w:val="clear" w:color="auto" w:fill="FFFFFF"/>
            <w:vAlign w:val="center"/>
          </w:tcPr>
          <w:p>
            <w:pPr>
              <w:ind w:firstLine="422"/>
              <w:jc w:val="center"/>
              <w:rPr>
                <w:rFonts w:ascii="宋体" w:hAnsi="宋体"/>
                <w:b/>
                <w:color w:val="auto"/>
                <w:szCs w:val="21"/>
                <w:highlight w:val="none"/>
              </w:rPr>
            </w:pPr>
            <w:r>
              <w:rPr>
                <w:rFonts w:hint="eastAsia" w:ascii="宋体" w:hAnsi="宋体"/>
                <w:b/>
                <w:color w:val="auto"/>
                <w:szCs w:val="21"/>
                <w:highlight w:val="none"/>
              </w:rPr>
              <w:t>利润总额</w:t>
            </w:r>
          </w:p>
        </w:tc>
        <w:tc>
          <w:tcPr>
            <w:tcW w:w="1783" w:type="dxa"/>
            <w:shd w:val="clear" w:color="auto" w:fill="FFFFFF"/>
            <w:vAlign w:val="center"/>
          </w:tcPr>
          <w:p>
            <w:pPr>
              <w:ind w:firstLine="422"/>
              <w:jc w:val="center"/>
              <w:rPr>
                <w:rFonts w:ascii="宋体" w:hAnsi="宋体"/>
                <w:b/>
                <w:color w:val="auto"/>
                <w:szCs w:val="21"/>
                <w:highlight w:val="none"/>
              </w:rPr>
            </w:pPr>
            <w:r>
              <w:rPr>
                <w:rFonts w:hint="eastAsia" w:ascii="宋体" w:hAnsi="宋体"/>
                <w:b/>
                <w:color w:val="auto"/>
                <w:szCs w:val="21"/>
                <w:highlight w:val="none"/>
              </w:rPr>
              <w:t>净利润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trPr>
        <w:tc>
          <w:tcPr>
            <w:tcW w:w="2067" w:type="dxa"/>
            <w:vMerge w:val="continue"/>
            <w:shd w:val="clear" w:color="auto" w:fill="auto"/>
            <w:vAlign w:val="center"/>
          </w:tcPr>
          <w:p>
            <w:pPr>
              <w:ind w:firstLine="420"/>
              <w:rPr>
                <w:rFonts w:ascii="宋体" w:hAnsi="宋体"/>
                <w:color w:val="auto"/>
                <w:szCs w:val="21"/>
                <w:highlight w:val="none"/>
              </w:rPr>
            </w:pPr>
          </w:p>
        </w:tc>
        <w:tc>
          <w:tcPr>
            <w:tcW w:w="1939" w:type="dxa"/>
            <w:shd w:val="clear" w:color="auto" w:fill="auto"/>
            <w:vAlign w:val="center"/>
          </w:tcPr>
          <w:p>
            <w:pPr>
              <w:ind w:firstLine="420"/>
              <w:jc w:val="center"/>
              <w:rPr>
                <w:rFonts w:ascii="宋体" w:hAnsi="宋体"/>
                <w:color w:val="auto"/>
                <w:szCs w:val="21"/>
                <w:highlight w:val="none"/>
              </w:rPr>
            </w:pPr>
            <w:r>
              <w:rPr>
                <w:rFonts w:hint="eastAsia" w:ascii="宋体" w:hAnsi="宋体"/>
                <w:color w:val="auto"/>
                <w:szCs w:val="21"/>
                <w:highlight w:val="none"/>
              </w:rPr>
              <w:t>财务报表</w:t>
            </w:r>
          </w:p>
        </w:tc>
        <w:tc>
          <w:tcPr>
            <w:tcW w:w="1963" w:type="dxa"/>
            <w:shd w:val="clear" w:color="auto" w:fill="auto"/>
            <w:vAlign w:val="center"/>
          </w:tcPr>
          <w:p>
            <w:pPr>
              <w:ind w:firstLine="420"/>
              <w:jc w:val="right"/>
              <w:rPr>
                <w:rFonts w:hint="default" w:ascii="宋体" w:hAnsi="宋体"/>
                <w:color w:val="auto"/>
                <w:szCs w:val="21"/>
                <w:highlight w:val="none"/>
                <w:lang w:val="en-US"/>
              </w:rPr>
            </w:pPr>
            <w:r>
              <w:rPr>
                <w:rFonts w:hint="eastAsia" w:ascii="宋体" w:hAnsi="宋体"/>
                <w:color w:val="auto"/>
                <w:szCs w:val="21"/>
                <w:highlight w:val="none"/>
                <w:lang w:val="en-US" w:eastAsia="zh-CN"/>
              </w:rPr>
              <w:t>33,980.58</w:t>
            </w:r>
          </w:p>
        </w:tc>
        <w:tc>
          <w:tcPr>
            <w:tcW w:w="1793" w:type="dxa"/>
            <w:shd w:val="clear" w:color="auto" w:fill="FFFFFF"/>
            <w:vAlign w:val="center"/>
          </w:tcPr>
          <w:p>
            <w:pPr>
              <w:ind w:firstLine="420"/>
              <w:jc w:val="right"/>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-12,213.68</w:t>
            </w:r>
          </w:p>
        </w:tc>
        <w:tc>
          <w:tcPr>
            <w:tcW w:w="1783" w:type="dxa"/>
            <w:shd w:val="clear" w:color="auto" w:fill="FFFFFF"/>
            <w:vAlign w:val="center"/>
          </w:tcPr>
          <w:p>
            <w:pPr>
              <w:ind w:firstLine="420"/>
              <w:jc w:val="right"/>
              <w:rPr>
                <w:rFonts w:hint="default" w:ascii="宋体" w:hAnsi="宋体"/>
                <w:color w:val="auto"/>
                <w:szCs w:val="21"/>
                <w:highlight w:val="none"/>
                <w:lang w:val="en-US"/>
              </w:rPr>
            </w:pPr>
            <w:r>
              <w:rPr>
                <w:rFonts w:hint="eastAsia" w:ascii="宋体" w:hAnsi="宋体"/>
                <w:color w:val="auto"/>
                <w:szCs w:val="21"/>
                <w:highlight w:val="none"/>
                <w:lang w:val="en-US" w:eastAsia="zh-CN"/>
              </w:rPr>
              <w:t>-12,213.68</w:t>
            </w:r>
          </w:p>
        </w:tc>
      </w:tr>
    </w:tbl>
    <w:p>
      <w:pPr>
        <w:ind w:firstLine="0" w:firstLineChars="0"/>
        <w:rPr>
          <w:rFonts w:ascii="宋体" w:hAnsi="宋体" w:cs="宋体"/>
          <w:color w:val="auto"/>
          <w:szCs w:val="21"/>
          <w:highlight w:val="none"/>
        </w:rPr>
      </w:pPr>
    </w:p>
    <w:p>
      <w:pPr>
        <w:pStyle w:val="5"/>
        <w:ind w:firstLine="0" w:firstLineChars="0"/>
        <w:rPr>
          <w:rFonts w:ascii="宋体" w:hAnsi="宋体" w:cs="宋体"/>
          <w:color w:val="auto"/>
          <w:szCs w:val="21"/>
          <w:highlight w:val="none"/>
        </w:rPr>
      </w:pPr>
    </w:p>
    <w:tbl>
      <w:tblPr>
        <w:tblStyle w:val="14"/>
        <w:tblW w:w="90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9061" w:type="dxa"/>
          </w:tcPr>
          <w:p>
            <w:pPr>
              <w:ind w:firstLine="420"/>
              <w:jc w:val="center"/>
              <w:rPr>
                <w:rFonts w:ascii="宋体" w:hAnsi="宋体" w:cs="宋体"/>
                <w:color w:val="auto"/>
                <w:highlight w:val="none"/>
              </w:rPr>
            </w:pPr>
            <w:bookmarkStart w:id="38" w:name="待定11"/>
            <w:r>
              <w:rPr>
                <w:rFonts w:hint="eastAsia" w:ascii="宋体" w:hAnsi="宋体" w:cs="宋体"/>
                <w:color w:val="auto"/>
                <w:highlight w:val="none"/>
              </w:rPr>
              <w:t>产权转让行为的内部决策及批准情况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061" w:type="dxa"/>
          </w:tcPr>
          <w:p>
            <w:pPr>
              <w:ind w:left="1365" w:hanging="1365" w:hangingChars="650"/>
              <w:rPr>
                <w:rFonts w:ascii="宋体" w:hAnsi="宋体" w:cs="宋体"/>
                <w:color w:val="auto"/>
                <w:highlight w:val="none"/>
              </w:rPr>
            </w:pPr>
            <w:r>
              <w:rPr>
                <w:rFonts w:hint="eastAsia" w:ascii="宋体" w:hAnsi="宋体" w:cs="宋体"/>
                <w:color w:val="auto"/>
                <w:highlight w:val="none"/>
              </w:rPr>
              <w:t>出资监管单位名称：</w:t>
            </w:r>
            <w:bookmarkStart w:id="39" w:name="_Hlk92892003"/>
            <w:r>
              <w:rPr>
                <w:rFonts w:hint="eastAsia" w:ascii="宋体" w:hAnsi="宋体" w:cs="宋体"/>
                <w:color w:val="auto"/>
                <w:highlight w:val="none"/>
                <w:lang w:val="en-US" w:eastAsia="zh-CN"/>
              </w:rPr>
              <w:t>浙江浙华投资有限公司</w:t>
            </w:r>
            <w:bookmarkEnd w:id="39"/>
          </w:p>
          <w:p>
            <w:pPr>
              <w:ind w:left="1365" w:hanging="1365" w:hangingChars="650"/>
              <w:rPr>
                <w:rFonts w:hint="default" w:ascii="宋体" w:hAnsi="宋体" w:eastAsia="宋体" w:cs="宋体"/>
                <w:color w:val="auto"/>
                <w:highlight w:val="none"/>
                <w:lang w:val="en-US" w:eastAsia="zh-CN"/>
              </w:rPr>
            </w:pPr>
            <w:r>
              <w:rPr>
                <w:rFonts w:hint="eastAsia" w:ascii="宋体" w:hAnsi="宋体" w:cs="宋体"/>
                <w:color w:val="auto"/>
                <w:highlight w:val="none"/>
              </w:rPr>
              <w:t>批复文件号：</w:t>
            </w:r>
            <w:r>
              <w:rPr>
                <w:rFonts w:hint="eastAsia" w:ascii="宋体" w:hAnsi="宋体" w:cs="宋体"/>
                <w:color w:val="auto"/>
                <w:highlight w:val="none"/>
                <w:lang w:val="en-US" w:eastAsia="zh-CN"/>
              </w:rPr>
              <w:t>股东决定。</w:t>
            </w:r>
          </w:p>
          <w:p>
            <w:pPr>
              <w:ind w:left="1365" w:hanging="1365" w:hangingChars="650"/>
              <w:rPr>
                <w:rFonts w:ascii="宋体" w:hAnsi="宋体" w:cs="宋体"/>
                <w:color w:val="auto"/>
                <w:highlight w:val="none"/>
              </w:rPr>
            </w:pPr>
            <w:r>
              <w:rPr>
                <w:rFonts w:hint="eastAsia" w:ascii="宋体" w:hAnsi="宋体" w:cs="宋体"/>
                <w:color w:val="auto"/>
                <w:highlight w:val="none"/>
              </w:rPr>
              <w:t>批复主要内容：同意股权转让。</w:t>
            </w:r>
          </w:p>
          <w:p>
            <w:pPr>
              <w:ind w:left="1365" w:hanging="1365" w:hangingChars="650"/>
              <w:rPr>
                <w:rFonts w:ascii="宋体" w:hAnsi="宋体" w:cs="宋体"/>
                <w:color w:val="auto"/>
                <w:highlight w:val="none"/>
              </w:rPr>
            </w:pPr>
            <w:r>
              <w:rPr>
                <w:rFonts w:hint="eastAsia" w:ascii="宋体" w:hAnsi="宋体" w:cs="宋体"/>
                <w:color w:val="auto"/>
                <w:highlight w:val="none"/>
              </w:rPr>
              <w:t>内部决策文件：</w:t>
            </w:r>
            <w:r>
              <w:rPr>
                <w:rFonts w:hint="eastAsia" w:ascii="宋体" w:hAnsi="宋体" w:cs="宋体"/>
                <w:color w:val="auto"/>
                <w:highlight w:val="none"/>
                <w:lang w:eastAsia="zh-CN"/>
              </w:rPr>
              <w:t>台州浙华科技开发有限</w:t>
            </w:r>
            <w:r>
              <w:rPr>
                <w:rFonts w:hint="eastAsia" w:ascii="宋体" w:hAnsi="宋体" w:cs="宋体"/>
                <w:color w:val="auto"/>
                <w:highlight w:val="none"/>
              </w:rPr>
              <w:t>公司</w:t>
            </w:r>
            <w:r>
              <w:rPr>
                <w:rFonts w:hint="eastAsia" w:ascii="宋体" w:hAnsi="宋体" w:cs="宋体"/>
                <w:color w:val="auto"/>
                <w:highlight w:val="none"/>
                <w:lang w:val="en-US" w:eastAsia="zh-CN"/>
              </w:rPr>
              <w:t>董事会</w:t>
            </w:r>
            <w:r>
              <w:rPr>
                <w:rFonts w:hint="eastAsia" w:ascii="宋体" w:hAnsi="宋体" w:cs="宋体"/>
                <w:color w:val="auto"/>
                <w:highlight w:val="none"/>
              </w:rPr>
              <w:t>决议</w:t>
            </w:r>
            <w:r>
              <w:rPr>
                <w:rFonts w:hint="eastAsia" w:ascii="宋体" w:hAnsi="宋体" w:cs="宋体"/>
                <w:color w:val="auto"/>
                <w:highlight w:val="none"/>
                <w:lang w:eastAsia="zh-CN"/>
              </w:rPr>
              <w:t>（</w:t>
            </w:r>
            <w:r>
              <w:rPr>
                <w:rFonts w:hint="eastAsia" w:ascii="宋体" w:hAnsi="宋体" w:cs="宋体"/>
                <w:color w:val="auto"/>
                <w:highlight w:val="none"/>
                <w:lang w:val="en-US" w:eastAsia="zh-CN"/>
              </w:rPr>
              <w:t>浙华董〔2022〕2号）</w:t>
            </w:r>
            <w:r>
              <w:rPr>
                <w:rFonts w:hint="eastAsia" w:ascii="宋体" w:hAnsi="宋体" w:cs="宋体"/>
                <w:color w:val="auto"/>
                <w:highlight w:val="none"/>
              </w:rPr>
              <w:t>。</w:t>
            </w:r>
          </w:p>
          <w:p>
            <w:pPr>
              <w:ind w:left="1365" w:hanging="1365" w:hangingChars="650"/>
              <w:rPr>
                <w:rFonts w:ascii="宋体" w:hAnsi="宋体" w:cs="宋体"/>
                <w:color w:val="auto"/>
                <w:highlight w:val="none"/>
              </w:rPr>
            </w:pPr>
            <w:r>
              <w:rPr>
                <w:rFonts w:hint="eastAsia" w:ascii="宋体" w:hAnsi="宋体" w:cs="宋体"/>
                <w:color w:val="auto"/>
                <w:highlight w:val="none"/>
              </w:rPr>
              <w:t xml:space="preserve">内部决策文件主要内容：同意转让股权。 </w:t>
            </w:r>
          </w:p>
        </w:tc>
      </w:tr>
      <w:bookmarkEnd w:id="38"/>
    </w:tbl>
    <w:tbl>
      <w:tblPr>
        <w:tblStyle w:val="14"/>
        <w:tblpPr w:leftFromText="180" w:rightFromText="180" w:vertAnchor="text" w:horzAnchor="page" w:tblpX="1577" w:tblpY="308"/>
        <w:tblOverlap w:val="never"/>
        <w:tblW w:w="90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7"/>
        <w:gridCol w:w="3519"/>
        <w:gridCol w:w="43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67" w:type="dxa"/>
            <w:vMerge w:val="restart"/>
            <w:vAlign w:val="center"/>
          </w:tcPr>
          <w:p>
            <w:pPr>
              <w:ind w:firstLine="422"/>
              <w:jc w:val="center"/>
              <w:rPr>
                <w:rFonts w:ascii="宋体" w:hAnsi="宋体" w:cs="宋体"/>
                <w:b/>
                <w:color w:val="auto"/>
                <w:szCs w:val="21"/>
                <w:highlight w:val="none"/>
              </w:rPr>
            </w:pPr>
          </w:p>
        </w:tc>
        <w:tc>
          <w:tcPr>
            <w:tcW w:w="3519" w:type="dxa"/>
            <w:vAlign w:val="center"/>
          </w:tcPr>
          <w:p>
            <w:pPr>
              <w:ind w:firstLine="422"/>
              <w:jc w:val="center"/>
              <w:rPr>
                <w:rFonts w:ascii="宋体" w:hAnsi="宋体" w:cs="宋体"/>
                <w:b/>
                <w:color w:val="auto"/>
                <w:szCs w:val="21"/>
                <w:highlight w:val="none"/>
              </w:rPr>
            </w:pPr>
            <w:r>
              <w:rPr>
                <w:rFonts w:hint="eastAsia" w:ascii="宋体" w:hAnsi="宋体" w:cs="宋体"/>
                <w:b/>
                <w:color w:val="auto"/>
                <w:szCs w:val="21"/>
                <w:highlight w:val="none"/>
              </w:rPr>
              <w:t>会 计 师 事 务 所</w:t>
            </w:r>
          </w:p>
        </w:tc>
        <w:tc>
          <w:tcPr>
            <w:tcW w:w="4373" w:type="dxa"/>
            <w:vAlign w:val="center"/>
          </w:tcPr>
          <w:p>
            <w:pPr>
              <w:ind w:firstLine="0" w:firstLineChars="0"/>
              <w:jc w:val="center"/>
              <w:rPr>
                <w:rFonts w:ascii="宋体" w:hAnsi="宋体"/>
                <w:color w:val="auto"/>
                <w:szCs w:val="21"/>
                <w:highlight w:val="none"/>
              </w:rPr>
            </w:pPr>
            <w:r>
              <w:rPr>
                <w:rFonts w:hint="eastAsia" w:ascii="宋体" w:hAnsi="宋体"/>
                <w:color w:val="000000"/>
                <w:sz w:val="24"/>
                <w:szCs w:val="24"/>
                <w:highlight w:val="none"/>
                <w:lang w:eastAsia="zh-CN"/>
              </w:rPr>
              <w:t>台州鸿瑞会计事务所有限公司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67" w:type="dxa"/>
            <w:vMerge w:val="continue"/>
            <w:vAlign w:val="center"/>
          </w:tcPr>
          <w:p>
            <w:pPr>
              <w:ind w:firstLine="422"/>
              <w:jc w:val="center"/>
              <w:rPr>
                <w:rFonts w:ascii="宋体" w:hAnsi="宋体" w:cs="宋体"/>
                <w:b/>
                <w:color w:val="auto"/>
                <w:szCs w:val="21"/>
                <w:highlight w:val="none"/>
              </w:rPr>
            </w:pPr>
          </w:p>
        </w:tc>
        <w:tc>
          <w:tcPr>
            <w:tcW w:w="3519" w:type="dxa"/>
            <w:vAlign w:val="center"/>
          </w:tcPr>
          <w:p>
            <w:pPr>
              <w:ind w:firstLine="422"/>
              <w:jc w:val="center"/>
              <w:rPr>
                <w:rFonts w:ascii="宋体" w:hAnsi="宋体" w:cs="宋体"/>
                <w:b/>
                <w:color w:val="auto"/>
                <w:szCs w:val="21"/>
                <w:highlight w:val="none"/>
              </w:rPr>
            </w:pPr>
            <w:r>
              <w:rPr>
                <w:rFonts w:hint="eastAsia" w:ascii="宋体" w:hAnsi="宋体" w:cs="宋体"/>
                <w:b/>
                <w:color w:val="auto"/>
                <w:szCs w:val="21"/>
                <w:highlight w:val="none"/>
              </w:rPr>
              <w:t>评 估 事 务 所</w:t>
            </w:r>
          </w:p>
        </w:tc>
        <w:tc>
          <w:tcPr>
            <w:tcW w:w="4373" w:type="dxa"/>
            <w:vAlign w:val="center"/>
          </w:tcPr>
          <w:p>
            <w:pPr>
              <w:ind w:firstLine="0" w:firstLineChars="0"/>
              <w:jc w:val="center"/>
              <w:rPr>
                <w:rFonts w:ascii="宋体" w:hAnsi="宋体"/>
                <w:color w:val="auto"/>
                <w:szCs w:val="21"/>
                <w:highlight w:val="none"/>
              </w:rPr>
            </w:pPr>
            <w:r>
              <w:rPr>
                <w:rFonts w:hint="eastAsia" w:ascii="宋体" w:hAnsi="宋体"/>
                <w:color w:val="000000"/>
                <w:sz w:val="24"/>
                <w:szCs w:val="24"/>
                <w:highlight w:val="none"/>
                <w:lang w:eastAsia="zh-CN"/>
              </w:rPr>
              <w:t>台州兴元资产评估有限公司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67" w:type="dxa"/>
            <w:vMerge w:val="continue"/>
            <w:vAlign w:val="center"/>
          </w:tcPr>
          <w:p>
            <w:pPr>
              <w:ind w:firstLine="422"/>
              <w:jc w:val="center"/>
              <w:rPr>
                <w:rFonts w:ascii="宋体" w:hAnsi="宋体" w:cs="宋体"/>
                <w:b/>
                <w:color w:val="auto"/>
                <w:szCs w:val="21"/>
                <w:highlight w:val="none"/>
              </w:rPr>
            </w:pPr>
          </w:p>
        </w:tc>
        <w:tc>
          <w:tcPr>
            <w:tcW w:w="3519" w:type="dxa"/>
            <w:vAlign w:val="center"/>
          </w:tcPr>
          <w:p>
            <w:pPr>
              <w:ind w:firstLine="422"/>
              <w:jc w:val="center"/>
              <w:rPr>
                <w:rFonts w:ascii="宋体" w:hAnsi="宋体" w:cs="宋体"/>
                <w:b/>
                <w:color w:val="auto"/>
                <w:szCs w:val="21"/>
                <w:highlight w:val="none"/>
              </w:rPr>
            </w:pPr>
            <w:r>
              <w:rPr>
                <w:rFonts w:hint="eastAsia" w:ascii="宋体" w:hAnsi="宋体" w:cs="宋体"/>
                <w:b/>
                <w:color w:val="auto"/>
                <w:szCs w:val="21"/>
                <w:highlight w:val="none"/>
              </w:rPr>
              <w:t>评 估 基 准 日</w:t>
            </w:r>
          </w:p>
        </w:tc>
        <w:tc>
          <w:tcPr>
            <w:tcW w:w="4373" w:type="dxa"/>
            <w:vAlign w:val="center"/>
          </w:tcPr>
          <w:p>
            <w:pPr>
              <w:ind w:firstLine="420"/>
              <w:jc w:val="center"/>
              <w:rPr>
                <w:rFonts w:ascii="宋体" w:hAnsi="宋体" w:cs="宋体"/>
                <w:color w:val="auto"/>
                <w:szCs w:val="21"/>
                <w:highlight w:val="none"/>
              </w:rPr>
            </w:pPr>
            <w:r>
              <w:rPr>
                <w:rFonts w:hint="eastAsia" w:ascii="宋体" w:hAnsi="宋体" w:cs="宋体"/>
                <w:color w:val="auto"/>
                <w:szCs w:val="21"/>
                <w:highlight w:val="none"/>
              </w:rPr>
              <w:t>2021年</w:t>
            </w:r>
            <w:r>
              <w:rPr>
                <w:rFonts w:hint="eastAsia" w:ascii="宋体" w:hAnsi="宋体" w:cs="宋体"/>
                <w:color w:val="auto"/>
                <w:szCs w:val="21"/>
                <w:highlight w:val="none"/>
                <w:lang w:val="en-US" w:eastAsia="zh-CN"/>
              </w:rPr>
              <w:t>12</w:t>
            </w:r>
            <w:r>
              <w:rPr>
                <w:rFonts w:hint="eastAsia" w:ascii="宋体" w:hAnsi="宋体" w:cs="宋体"/>
                <w:color w:val="auto"/>
                <w:szCs w:val="21"/>
                <w:highlight w:val="none"/>
              </w:rPr>
              <w:t>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67" w:type="dxa"/>
            <w:vMerge w:val="continue"/>
            <w:vAlign w:val="center"/>
          </w:tcPr>
          <w:p>
            <w:pPr>
              <w:ind w:firstLine="422"/>
              <w:jc w:val="center"/>
              <w:rPr>
                <w:rFonts w:ascii="宋体" w:hAnsi="宋体" w:cs="宋体"/>
                <w:b/>
                <w:color w:val="auto"/>
                <w:szCs w:val="21"/>
                <w:highlight w:val="none"/>
              </w:rPr>
            </w:pPr>
          </w:p>
        </w:tc>
        <w:tc>
          <w:tcPr>
            <w:tcW w:w="3519" w:type="dxa"/>
            <w:vAlign w:val="center"/>
          </w:tcPr>
          <w:p>
            <w:pPr>
              <w:ind w:firstLine="422"/>
              <w:jc w:val="center"/>
              <w:rPr>
                <w:rFonts w:ascii="宋体" w:hAnsi="宋体" w:cs="宋体"/>
                <w:b/>
                <w:color w:val="auto"/>
                <w:szCs w:val="21"/>
                <w:highlight w:val="none"/>
              </w:rPr>
            </w:pPr>
            <w:r>
              <w:rPr>
                <w:rFonts w:hint="eastAsia" w:ascii="宋体" w:hAnsi="宋体" w:cs="宋体"/>
                <w:b/>
                <w:color w:val="auto"/>
                <w:szCs w:val="21"/>
                <w:highlight w:val="none"/>
              </w:rPr>
              <w:t>评估核准（备案）机构</w:t>
            </w:r>
          </w:p>
        </w:tc>
        <w:tc>
          <w:tcPr>
            <w:tcW w:w="4373" w:type="dxa"/>
            <w:vAlign w:val="center"/>
          </w:tcPr>
          <w:p>
            <w:pPr>
              <w:ind w:firstLine="420"/>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浙江清华长三角研究院</w:t>
            </w:r>
          </w:p>
          <w:p>
            <w:pPr>
              <w:ind w:firstLine="420"/>
              <w:jc w:val="center"/>
              <w:rPr>
                <w:rFonts w:ascii="宋体" w:hAnsi="宋体" w:cs="宋体"/>
                <w:color w:val="auto"/>
                <w:szCs w:val="21"/>
                <w:highlight w:val="none"/>
              </w:rPr>
            </w:pPr>
            <w:r>
              <w:rPr>
                <w:rFonts w:hint="eastAsia" w:ascii="宋体" w:hAnsi="宋体" w:cs="宋体"/>
                <w:color w:val="auto"/>
                <w:szCs w:val="21"/>
                <w:highlight w:val="none"/>
              </w:rPr>
              <w:t>核准□  备案</w:t>
            </w:r>
            <w:r>
              <w:rPr>
                <w:rFonts w:hint="eastAsia" w:ascii="宋体" w:hAnsi="宋体" w:cs="宋体"/>
                <w:color w:val="auto"/>
                <w:szCs w:val="21"/>
                <w:highlight w:val="none"/>
              </w:rPr>
              <w:sym w:font="Wingdings" w:char="00FE"/>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67" w:type="dxa"/>
            <w:vAlign w:val="center"/>
          </w:tcPr>
          <w:p>
            <w:pPr>
              <w:ind w:firstLine="0" w:firstLineChars="0"/>
              <w:jc w:val="center"/>
              <w:rPr>
                <w:rFonts w:ascii="宋体" w:hAnsi="宋体" w:cs="宋体"/>
                <w:b/>
                <w:color w:val="auto"/>
                <w:szCs w:val="21"/>
                <w:highlight w:val="none"/>
              </w:rPr>
            </w:pPr>
            <w:bookmarkStart w:id="40" w:name="待定12" w:colFirst="1" w:colLast="1"/>
            <w:r>
              <w:rPr>
                <w:rFonts w:hint="eastAsia" w:ascii="宋体" w:hAnsi="宋体" w:cs="宋体"/>
                <w:b/>
                <w:color w:val="auto"/>
                <w:szCs w:val="21"/>
                <w:highlight w:val="none"/>
              </w:rPr>
              <w:t>对受让方的要求</w:t>
            </w:r>
          </w:p>
        </w:tc>
        <w:tc>
          <w:tcPr>
            <w:tcW w:w="7892" w:type="dxa"/>
            <w:gridSpan w:val="2"/>
            <w:vAlign w:val="center"/>
          </w:tcPr>
          <w:p>
            <w:pPr>
              <w:ind w:firstLine="0" w:firstLineChars="0"/>
              <w:jc w:val="left"/>
              <w:rPr>
                <w:rFonts w:ascii="宋体" w:hAnsi="宋体" w:cs="宋体"/>
                <w:color w:val="auto"/>
                <w:sz w:val="18"/>
                <w:szCs w:val="18"/>
                <w:highlight w:val="none"/>
              </w:rPr>
            </w:pPr>
            <w:r>
              <w:rPr>
                <w:rFonts w:hint="eastAsia" w:ascii="宋体" w:hAnsi="宋体" w:cs="宋体"/>
                <w:color w:val="auto"/>
                <w:szCs w:val="21"/>
                <w:highlight w:val="none"/>
              </w:rPr>
              <w:t>具有良好的商业信用及支付能力的境内企业、其他组织或自然人。</w:t>
            </w:r>
          </w:p>
        </w:tc>
      </w:tr>
      <w:bookmarkEnd w:id="40"/>
    </w:tbl>
    <w:p>
      <w:pPr>
        <w:ind w:firstLine="422"/>
        <w:rPr>
          <w:rFonts w:ascii="宋体" w:hAnsi="宋体" w:cs="宋体"/>
          <w:b/>
          <w:color w:val="auto"/>
          <w:szCs w:val="21"/>
          <w:highlight w:val="none"/>
        </w:rPr>
      </w:pPr>
    </w:p>
    <w:p>
      <w:pPr>
        <w:ind w:firstLine="0" w:firstLineChars="0"/>
        <w:jc w:val="center"/>
        <w:rPr>
          <w:rFonts w:ascii="黑体" w:eastAsia="黑体"/>
          <w:b/>
          <w:color w:val="auto"/>
          <w:spacing w:val="12"/>
          <w:sz w:val="36"/>
          <w:szCs w:val="36"/>
          <w:highlight w:val="none"/>
        </w:rPr>
        <w:sectPr>
          <w:pgSz w:w="11906" w:h="16838"/>
          <w:pgMar w:top="1701" w:right="1474" w:bottom="1701" w:left="1587" w:header="851" w:footer="992" w:gutter="0"/>
          <w:pgNumType w:fmt="numberInDash"/>
          <w:cols w:space="425" w:num="1"/>
          <w:docGrid w:type="lines" w:linePitch="312" w:charSpace="0"/>
        </w:sectPr>
      </w:pPr>
    </w:p>
    <w:p>
      <w:pPr>
        <w:pStyle w:val="12"/>
        <w:spacing w:line="460" w:lineRule="exact"/>
        <w:ind w:firstLine="0" w:firstLineChars="0"/>
        <w:rPr>
          <w:rFonts w:ascii="宋体" w:hAnsi="宋体" w:cs="宋体"/>
          <w:bCs w:val="0"/>
          <w:color w:val="auto"/>
          <w:highlight w:val="none"/>
          <w:shd w:val="clear" w:color="auto" w:fill="auto"/>
        </w:rPr>
      </w:pPr>
      <w:bookmarkStart w:id="41" w:name="_Toc16468"/>
      <w:bookmarkStart w:id="42" w:name="_Toc16709"/>
      <w:bookmarkStart w:id="43" w:name="_Toc99379233"/>
      <w:bookmarkStart w:id="44" w:name="_Toc17342"/>
      <w:r>
        <w:rPr>
          <w:rFonts w:hint="eastAsia" w:ascii="宋体" w:hAnsi="宋体" w:cs="宋体"/>
          <w:bCs w:val="0"/>
          <w:color w:val="auto"/>
          <w:spacing w:val="12"/>
          <w:highlight w:val="none"/>
          <w:shd w:val="clear" w:color="auto" w:fill="auto"/>
        </w:rPr>
        <w:t>台州市产权交易所有限公司</w:t>
      </w:r>
      <w:r>
        <w:rPr>
          <w:rFonts w:hint="eastAsia" w:ascii="宋体" w:hAnsi="宋体" w:cs="宋体"/>
          <w:bCs w:val="0"/>
          <w:color w:val="auto"/>
          <w:highlight w:val="none"/>
          <w:shd w:val="clear" w:color="auto" w:fill="auto"/>
        </w:rPr>
        <w:br w:type="textWrapping"/>
      </w:r>
      <w:r>
        <w:rPr>
          <w:rFonts w:hint="eastAsia" w:ascii="宋体" w:hAnsi="宋体" w:cs="宋体"/>
          <w:bCs w:val="0"/>
          <w:color w:val="auto"/>
          <w:spacing w:val="12"/>
          <w:highlight w:val="none"/>
          <w:shd w:val="clear" w:color="auto" w:fill="auto"/>
        </w:rPr>
        <w:t>简  介</w:t>
      </w:r>
      <w:bookmarkEnd w:id="41"/>
    </w:p>
    <w:p>
      <w:pPr>
        <w:spacing w:line="460" w:lineRule="exact"/>
        <w:ind w:firstLine="480"/>
        <w:rPr>
          <w:rFonts w:ascii="宋体" w:hAnsi="宋体" w:cs="宋体"/>
          <w:color w:val="auto"/>
          <w:sz w:val="24"/>
          <w:highlight w:val="none"/>
          <w:shd w:val="clear" w:color="auto" w:fill="auto"/>
        </w:rPr>
      </w:pPr>
      <w:r>
        <w:rPr>
          <w:rFonts w:hint="eastAsia" w:ascii="宋体" w:hAnsi="宋体" w:cs="宋体"/>
          <w:color w:val="auto"/>
          <w:sz w:val="24"/>
          <w:highlight w:val="none"/>
          <w:shd w:val="clear" w:color="auto" w:fill="auto"/>
        </w:rPr>
        <w:t>台州市产权交易所有限公司是浙江省人民政府批准，浙江省国资委认定，具有国有产权转让资质，立足台州，面向全国，依法从事企事业产权交易的专业性机构，是集物权、债权、股权、知识产权等一体的综合性交易平台，是整个台州地区唯一的中国企业国有产权交易机构协会会员，也是长江流域产权交易共同市场理事单位，为台州市目前规模最大的产权交易机构。</w:t>
      </w:r>
    </w:p>
    <w:p>
      <w:pPr>
        <w:spacing w:line="460" w:lineRule="exact"/>
        <w:ind w:firstLine="480"/>
        <w:rPr>
          <w:rFonts w:ascii="宋体" w:hAnsi="宋体" w:cs="宋体"/>
          <w:color w:val="auto"/>
          <w:sz w:val="24"/>
          <w:highlight w:val="none"/>
          <w:shd w:val="clear" w:color="auto" w:fill="auto"/>
        </w:rPr>
      </w:pPr>
      <w:r>
        <w:rPr>
          <w:rFonts w:hint="eastAsia" w:ascii="宋体" w:hAnsi="宋体" w:cs="宋体"/>
          <w:color w:val="auto"/>
          <w:sz w:val="24"/>
          <w:highlight w:val="none"/>
          <w:shd w:val="clear" w:color="auto" w:fill="auto"/>
        </w:rPr>
        <w:t>台州市产权交易所有限公司为全市各类国有资本的流动、国企采购、非上市民营企业的产权转让、公共资源交易以及其他各类产权交易提供服务。</w:t>
      </w:r>
    </w:p>
    <w:p>
      <w:pPr>
        <w:spacing w:line="460" w:lineRule="exact"/>
        <w:ind w:firstLine="480"/>
        <w:rPr>
          <w:rFonts w:ascii="宋体" w:hAnsi="宋体" w:cs="宋体"/>
          <w:color w:val="auto"/>
          <w:sz w:val="24"/>
          <w:highlight w:val="none"/>
          <w:shd w:val="clear" w:color="auto" w:fill="auto"/>
        </w:rPr>
      </w:pPr>
      <w:r>
        <w:rPr>
          <w:rFonts w:hint="eastAsia" w:ascii="宋体" w:hAnsi="宋体" w:cs="宋体"/>
          <w:color w:val="auto"/>
          <w:sz w:val="24"/>
          <w:highlight w:val="none"/>
          <w:shd w:val="clear" w:color="auto" w:fill="auto"/>
        </w:rPr>
        <w:t>台州市产权交易所有限公司的业务领域为：</w:t>
      </w:r>
    </w:p>
    <w:p>
      <w:pPr>
        <w:spacing w:line="460" w:lineRule="exact"/>
        <w:ind w:firstLine="480"/>
        <w:rPr>
          <w:rFonts w:ascii="宋体" w:hAnsi="宋体" w:cs="宋体"/>
          <w:color w:val="auto"/>
          <w:sz w:val="24"/>
          <w:highlight w:val="none"/>
          <w:shd w:val="clear" w:color="auto" w:fill="auto"/>
        </w:rPr>
      </w:pPr>
      <w:r>
        <w:rPr>
          <w:rFonts w:hint="eastAsia" w:ascii="宋体" w:hAnsi="宋体" w:cs="宋体"/>
          <w:color w:val="auto"/>
          <w:sz w:val="24"/>
          <w:highlight w:val="none"/>
          <w:shd w:val="clear" w:color="auto" w:fill="auto"/>
        </w:rPr>
        <w:t>1.国有企业、企事业单位的国有产权转让服务（股权、房屋、设备、债权、知识产权等）；</w:t>
      </w:r>
    </w:p>
    <w:p>
      <w:pPr>
        <w:spacing w:line="460" w:lineRule="exact"/>
        <w:ind w:firstLine="480"/>
        <w:rPr>
          <w:rFonts w:ascii="宋体" w:hAnsi="宋体" w:cs="宋体"/>
          <w:color w:val="auto"/>
          <w:sz w:val="24"/>
          <w:highlight w:val="none"/>
          <w:shd w:val="clear" w:color="auto" w:fill="auto"/>
        </w:rPr>
      </w:pPr>
      <w:r>
        <w:rPr>
          <w:rFonts w:hint="eastAsia" w:ascii="宋体" w:hAnsi="宋体" w:cs="宋体"/>
          <w:color w:val="auto"/>
          <w:sz w:val="24"/>
          <w:highlight w:val="none"/>
          <w:shd w:val="clear" w:color="auto" w:fill="auto"/>
        </w:rPr>
        <w:t>2.各类企业增资服务；</w:t>
      </w:r>
    </w:p>
    <w:p>
      <w:pPr>
        <w:spacing w:line="460" w:lineRule="exact"/>
        <w:ind w:firstLine="480"/>
        <w:rPr>
          <w:rFonts w:ascii="宋体" w:hAnsi="宋体" w:cs="宋体"/>
          <w:color w:val="auto"/>
          <w:sz w:val="24"/>
          <w:highlight w:val="none"/>
          <w:shd w:val="clear" w:color="auto" w:fill="auto"/>
        </w:rPr>
      </w:pPr>
      <w:r>
        <w:rPr>
          <w:rFonts w:hint="eastAsia" w:ascii="宋体" w:hAnsi="宋体" w:cs="宋体"/>
          <w:color w:val="auto"/>
          <w:sz w:val="24"/>
          <w:highlight w:val="none"/>
          <w:shd w:val="clear" w:color="auto" w:fill="auto"/>
        </w:rPr>
        <w:t>3.非上市民营企业的产权转让服务（股权、房屋、设备、债权、知识产权等）；</w:t>
      </w:r>
    </w:p>
    <w:p>
      <w:pPr>
        <w:spacing w:line="460" w:lineRule="exact"/>
        <w:ind w:firstLine="480"/>
        <w:rPr>
          <w:rFonts w:ascii="宋体" w:hAnsi="宋体" w:cs="宋体"/>
          <w:color w:val="auto"/>
          <w:sz w:val="24"/>
          <w:highlight w:val="none"/>
          <w:shd w:val="clear" w:color="auto" w:fill="auto"/>
        </w:rPr>
      </w:pPr>
      <w:r>
        <w:rPr>
          <w:rFonts w:hint="eastAsia" w:ascii="宋体" w:hAnsi="宋体" w:cs="宋体"/>
          <w:color w:val="auto"/>
          <w:sz w:val="24"/>
          <w:highlight w:val="none"/>
          <w:shd w:val="clear" w:color="auto" w:fill="auto"/>
        </w:rPr>
        <w:t>4.房屋租赁服务；</w:t>
      </w:r>
    </w:p>
    <w:p>
      <w:pPr>
        <w:spacing w:line="460" w:lineRule="exact"/>
        <w:ind w:firstLine="480"/>
        <w:rPr>
          <w:rFonts w:ascii="宋体" w:hAnsi="宋体" w:cs="宋体"/>
          <w:color w:val="auto"/>
          <w:sz w:val="24"/>
          <w:highlight w:val="none"/>
          <w:shd w:val="clear" w:color="auto" w:fill="auto"/>
        </w:rPr>
      </w:pPr>
      <w:r>
        <w:rPr>
          <w:rFonts w:hint="eastAsia" w:ascii="宋体" w:hAnsi="宋体" w:cs="宋体"/>
          <w:color w:val="auto"/>
          <w:sz w:val="24"/>
          <w:highlight w:val="none"/>
          <w:shd w:val="clear" w:color="auto" w:fill="auto"/>
        </w:rPr>
        <w:t>5.国企采购服务；</w:t>
      </w:r>
    </w:p>
    <w:p>
      <w:pPr>
        <w:spacing w:line="460" w:lineRule="exact"/>
        <w:ind w:firstLine="480"/>
        <w:rPr>
          <w:rFonts w:ascii="宋体" w:hAnsi="宋体" w:cs="宋体"/>
          <w:color w:val="auto"/>
          <w:sz w:val="24"/>
          <w:highlight w:val="none"/>
          <w:shd w:val="clear" w:color="auto" w:fill="auto"/>
        </w:rPr>
      </w:pPr>
      <w:r>
        <w:rPr>
          <w:rFonts w:hint="eastAsia" w:ascii="宋体" w:hAnsi="宋体" w:cs="宋体"/>
          <w:color w:val="auto"/>
          <w:sz w:val="24"/>
          <w:highlight w:val="none"/>
          <w:shd w:val="clear" w:color="auto" w:fill="auto"/>
        </w:rPr>
        <w:t>6.招商引资服务；</w:t>
      </w:r>
    </w:p>
    <w:p>
      <w:pPr>
        <w:spacing w:line="460" w:lineRule="exact"/>
        <w:ind w:firstLine="480"/>
        <w:rPr>
          <w:rFonts w:ascii="宋体" w:hAnsi="宋体" w:cs="宋体"/>
          <w:color w:val="auto"/>
          <w:sz w:val="24"/>
          <w:highlight w:val="none"/>
          <w:shd w:val="clear" w:color="auto" w:fill="auto"/>
        </w:rPr>
      </w:pPr>
      <w:r>
        <w:rPr>
          <w:rFonts w:hint="eastAsia" w:ascii="宋体" w:hAnsi="宋体" w:cs="宋体"/>
          <w:color w:val="auto"/>
          <w:sz w:val="24"/>
          <w:highlight w:val="none"/>
          <w:shd w:val="clear" w:color="auto" w:fill="auto"/>
        </w:rPr>
        <w:t>7.项目合作及投融资服务；</w:t>
      </w:r>
    </w:p>
    <w:p>
      <w:pPr>
        <w:spacing w:line="460" w:lineRule="exact"/>
        <w:ind w:firstLine="480"/>
        <w:rPr>
          <w:rFonts w:ascii="宋体" w:hAnsi="宋体" w:cs="宋体"/>
          <w:color w:val="auto"/>
          <w:sz w:val="24"/>
          <w:highlight w:val="none"/>
          <w:shd w:val="clear" w:color="auto" w:fill="auto"/>
        </w:rPr>
      </w:pPr>
      <w:r>
        <w:rPr>
          <w:rFonts w:hint="eastAsia" w:ascii="宋体" w:hAnsi="宋体" w:cs="宋体"/>
          <w:color w:val="auto"/>
          <w:sz w:val="24"/>
          <w:highlight w:val="none"/>
          <w:shd w:val="clear" w:color="auto" w:fill="auto"/>
        </w:rPr>
        <w:t>8.各种相关的培训、咨询业务。</w:t>
      </w:r>
    </w:p>
    <w:p>
      <w:pPr>
        <w:spacing w:line="460" w:lineRule="exact"/>
        <w:ind w:firstLine="480"/>
        <w:rPr>
          <w:rFonts w:ascii="宋体" w:hAnsi="宋体" w:cs="宋体"/>
          <w:color w:val="auto"/>
          <w:sz w:val="24"/>
          <w:highlight w:val="none"/>
          <w:shd w:val="clear" w:color="auto" w:fill="auto"/>
        </w:rPr>
      </w:pPr>
      <w:r>
        <w:rPr>
          <w:rFonts w:hint="eastAsia" w:ascii="宋体" w:hAnsi="宋体" w:cs="宋体"/>
          <w:color w:val="auto"/>
          <w:sz w:val="24"/>
          <w:highlight w:val="none"/>
          <w:shd w:val="clear" w:color="auto" w:fill="auto"/>
        </w:rPr>
        <w:t>台州市产权交易所有限公司依据国家政策法规的规定，遵循“公开、公平、公正”的原则，通过区域性产权市场的构建，着力推动国有企业的并购重组和招商引资；促进国资与民资、外资与内资、有形资产与无形资产有效嫁接与融合；实现各类产权跨行业、跨地区、跨所有制的有序流动，提升区域经济竞争力。</w:t>
      </w:r>
    </w:p>
    <w:p>
      <w:pPr>
        <w:spacing w:line="460" w:lineRule="exact"/>
        <w:ind w:firstLine="480"/>
        <w:rPr>
          <w:rFonts w:ascii="宋体" w:hAnsi="宋体" w:cs="宋体"/>
          <w:color w:val="auto"/>
          <w:sz w:val="24"/>
          <w:highlight w:val="none"/>
          <w:shd w:val="clear" w:color="auto" w:fill="auto"/>
        </w:rPr>
      </w:pPr>
      <w:r>
        <w:rPr>
          <w:rFonts w:hint="eastAsia" w:ascii="宋体" w:hAnsi="宋体" w:cs="宋体"/>
          <w:color w:val="auto"/>
          <w:sz w:val="24"/>
          <w:highlight w:val="none"/>
          <w:shd w:val="clear" w:color="auto" w:fill="auto"/>
        </w:rPr>
        <w:t>台州市产权交易所通过对产权交易的成功运作，事实证明产权“阳光交易”，程序规范化，操作市场化，能更好地满足企业在资产盘活、增资扩股、资源引进、融资等多方面的需求，实现国有资产的保值增值。</w:t>
      </w:r>
    </w:p>
    <w:p>
      <w:pPr>
        <w:spacing w:line="460" w:lineRule="exact"/>
        <w:ind w:firstLine="480"/>
        <w:rPr>
          <w:rFonts w:ascii="宋体" w:hAnsi="宋体"/>
          <w:color w:val="auto"/>
          <w:sz w:val="28"/>
          <w:szCs w:val="28"/>
          <w:highlight w:val="none"/>
        </w:rPr>
      </w:pPr>
      <w:r>
        <w:rPr>
          <w:rFonts w:hint="eastAsia" w:ascii="宋体" w:hAnsi="宋体" w:cs="宋体"/>
          <w:color w:val="auto"/>
          <w:sz w:val="24"/>
          <w:highlight w:val="none"/>
          <w:shd w:val="clear" w:color="auto" w:fill="auto"/>
        </w:rPr>
        <w:t>台州市产权交易所有限公司位于台州市市府大道777号浙江民泰商业银行五楼，邮编：318000，电话：0576-88685180，传真：0576-88685177，网址:www.tzpre.com。</w:t>
      </w:r>
      <w:bookmarkEnd w:id="42"/>
      <w:bookmarkEnd w:id="43"/>
      <w:bookmarkEnd w:id="44"/>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43"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ind w:firstLine="360"/>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p>
                    <w:pPr>
                      <w:pStyle w:val="9"/>
                      <w:ind w:firstLine="360"/>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ind w:firstLine="560"/>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0lY7tAAAAAFAQAADwAAAAAAAAABACAAAAAiAAAA&#10;ZHJzL2Rvd25yZXYueG1sUEsBAhQAFAAAAAgAh07iQHP4ZNkPAgAABwQAAA4AAAAAAAAAAQAgAAAA&#10;HwEAAGRycy9lMm9Eb2MueG1sUEsFBgAAAAAGAAYAWQEAAKAFAAAAAA==&#10;">
              <v:fill on="f" focussize="0,0"/>
              <v:stroke on="f" weight="0.5pt"/>
              <v:imagedata o:title=""/>
              <o:lock v:ext="edit" aspectratio="f"/>
              <v:textbox inset="0mm,0mm,0mm,0mm" style="mso-fit-shape-to-text:t;">
                <w:txbxContent>
                  <w:p>
                    <w:pPr>
                      <w:pStyle w:val="9"/>
                      <w:ind w:firstLine="560"/>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8A4B348"/>
    <w:multiLevelType w:val="singleLevel"/>
    <w:tmpl w:val="C8A4B348"/>
    <w:lvl w:ilvl="0" w:tentative="0">
      <w:start w:val="1"/>
      <w:numFmt w:val="decimal"/>
      <w:suff w:val="nothing"/>
      <w:lvlText w:val="%1、"/>
      <w:lvlJc w:val="left"/>
    </w:lvl>
  </w:abstractNum>
  <w:abstractNum w:abstractNumId="1">
    <w:nsid w:val="FBB175B6"/>
    <w:multiLevelType w:val="singleLevel"/>
    <w:tmpl w:val="FBB175B6"/>
    <w:lvl w:ilvl="0" w:tentative="0">
      <w:start w:val="2"/>
      <w:numFmt w:val="chineseCounting"/>
      <w:suff w:val="space"/>
      <w:lvlText w:val="第%1条"/>
      <w:lvlJc w:val="left"/>
      <w:rPr>
        <w:rFonts w:hint="eastAsia"/>
      </w:rPr>
    </w:lvl>
  </w:abstractNum>
  <w:abstractNum w:abstractNumId="2">
    <w:nsid w:val="1CB331C0"/>
    <w:multiLevelType w:val="multilevel"/>
    <w:tmpl w:val="1CB331C0"/>
    <w:lvl w:ilvl="0" w:tentative="0">
      <w:start w:val="1"/>
      <w:numFmt w:val="japaneseCounting"/>
      <w:lvlText w:val="%1、"/>
      <w:lvlJc w:val="left"/>
      <w:pPr>
        <w:tabs>
          <w:tab w:val="left" w:pos="900"/>
        </w:tabs>
        <w:ind w:left="900" w:hanging="480"/>
      </w:pPr>
      <w:rPr>
        <w:rFonts w:hint="default"/>
        <w:lang w:val="en-US"/>
      </w:r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3">
    <w:nsid w:val="4A4A7152"/>
    <w:multiLevelType w:val="singleLevel"/>
    <w:tmpl w:val="4A4A7152"/>
    <w:lvl w:ilvl="0" w:tentative="0">
      <w:start w:val="4"/>
      <w:numFmt w:val="chineseCounting"/>
      <w:suff w:val="nothing"/>
      <w:lvlText w:val="%1、"/>
      <w:lvlJc w:val="left"/>
      <w:rPr>
        <w:rFonts w:hint="eastAsia"/>
      </w:rPr>
    </w:lvl>
  </w:abstractNum>
  <w:abstractNum w:abstractNumId="4">
    <w:nsid w:val="63631DC9"/>
    <w:multiLevelType w:val="multilevel"/>
    <w:tmpl w:val="63631DC9"/>
    <w:lvl w:ilvl="0" w:tentative="0">
      <w:start w:val="1"/>
      <w:numFmt w:val="decimal"/>
      <w:lvlText w:val="%1、"/>
      <w:lvlJc w:val="left"/>
      <w:pPr>
        <w:ind w:left="1280" w:hanging="720"/>
      </w:pPr>
      <w:rPr>
        <w:rFonts w:hint="default"/>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5">
    <w:nsid w:val="73B11575"/>
    <w:multiLevelType w:val="multilevel"/>
    <w:tmpl w:val="73B11575"/>
    <w:lvl w:ilvl="0" w:tentative="0">
      <w:start w:val="1"/>
      <w:numFmt w:val="decimal"/>
      <w:lvlText w:val="%1、"/>
      <w:lvlJc w:val="left"/>
      <w:pPr>
        <w:ind w:left="1260" w:hanging="420"/>
      </w:pPr>
      <w:rPr>
        <w:rFonts w:hint="eastAsia"/>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num w:numId="1">
    <w:abstractNumId w:val="2"/>
  </w:num>
  <w:num w:numId="2">
    <w:abstractNumId w:val="3"/>
  </w:num>
  <w:num w:numId="3">
    <w:abstractNumId w:val="0"/>
  </w:num>
  <w:num w:numId="4">
    <w:abstractNumId w:val="5"/>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EzYTE0Njk3NGUyMjMzYjM5YWI3MmI5NjYyN2Y1NjkifQ=="/>
  </w:docVars>
  <w:rsids>
    <w:rsidRoot w:val="102C5D10"/>
    <w:rsid w:val="000843B1"/>
    <w:rsid w:val="00086450"/>
    <w:rsid w:val="001F2748"/>
    <w:rsid w:val="0024181D"/>
    <w:rsid w:val="002A6272"/>
    <w:rsid w:val="002C6A33"/>
    <w:rsid w:val="003127C3"/>
    <w:rsid w:val="00345D37"/>
    <w:rsid w:val="003F1CA7"/>
    <w:rsid w:val="005411D1"/>
    <w:rsid w:val="005A6881"/>
    <w:rsid w:val="005C40DF"/>
    <w:rsid w:val="00607A6D"/>
    <w:rsid w:val="00637254"/>
    <w:rsid w:val="00711433"/>
    <w:rsid w:val="00730FB9"/>
    <w:rsid w:val="00741F86"/>
    <w:rsid w:val="007942F6"/>
    <w:rsid w:val="007B1573"/>
    <w:rsid w:val="007C48BA"/>
    <w:rsid w:val="00844C38"/>
    <w:rsid w:val="008F32CF"/>
    <w:rsid w:val="00A93438"/>
    <w:rsid w:val="00B14769"/>
    <w:rsid w:val="00B36D61"/>
    <w:rsid w:val="00C06923"/>
    <w:rsid w:val="00C74CA2"/>
    <w:rsid w:val="00D54D2B"/>
    <w:rsid w:val="00DF36A3"/>
    <w:rsid w:val="00E14634"/>
    <w:rsid w:val="00E404BB"/>
    <w:rsid w:val="00F05545"/>
    <w:rsid w:val="00F11FA8"/>
    <w:rsid w:val="00F544D8"/>
    <w:rsid w:val="017919B7"/>
    <w:rsid w:val="067412EF"/>
    <w:rsid w:val="07A75B76"/>
    <w:rsid w:val="07C678FD"/>
    <w:rsid w:val="092F75B0"/>
    <w:rsid w:val="0A2E5647"/>
    <w:rsid w:val="0C38616B"/>
    <w:rsid w:val="0E0F33E0"/>
    <w:rsid w:val="0F6114AC"/>
    <w:rsid w:val="0F8E47BF"/>
    <w:rsid w:val="102C5D10"/>
    <w:rsid w:val="106E72BC"/>
    <w:rsid w:val="115C630E"/>
    <w:rsid w:val="12E3308D"/>
    <w:rsid w:val="13D6674E"/>
    <w:rsid w:val="14AF6CF6"/>
    <w:rsid w:val="162304BC"/>
    <w:rsid w:val="189C469D"/>
    <w:rsid w:val="19AB2C35"/>
    <w:rsid w:val="19F2776D"/>
    <w:rsid w:val="1A977F74"/>
    <w:rsid w:val="1AC00AF1"/>
    <w:rsid w:val="1AD37D06"/>
    <w:rsid w:val="1B0523EB"/>
    <w:rsid w:val="1B205AEE"/>
    <w:rsid w:val="1FC70668"/>
    <w:rsid w:val="210C66D2"/>
    <w:rsid w:val="22323213"/>
    <w:rsid w:val="23A54617"/>
    <w:rsid w:val="25EB14B9"/>
    <w:rsid w:val="26506553"/>
    <w:rsid w:val="268378EC"/>
    <w:rsid w:val="26D7520B"/>
    <w:rsid w:val="275A4453"/>
    <w:rsid w:val="2978652E"/>
    <w:rsid w:val="2BE25740"/>
    <w:rsid w:val="2F401C3D"/>
    <w:rsid w:val="2F8D6B48"/>
    <w:rsid w:val="304372CE"/>
    <w:rsid w:val="30B0573D"/>
    <w:rsid w:val="31E364B3"/>
    <w:rsid w:val="32ED680E"/>
    <w:rsid w:val="37C344B3"/>
    <w:rsid w:val="38EB6C56"/>
    <w:rsid w:val="395E1AE3"/>
    <w:rsid w:val="3A720424"/>
    <w:rsid w:val="3C1240FD"/>
    <w:rsid w:val="3C1D78F8"/>
    <w:rsid w:val="3CFE4159"/>
    <w:rsid w:val="3DDC1545"/>
    <w:rsid w:val="3F9E2F24"/>
    <w:rsid w:val="3FD60CB7"/>
    <w:rsid w:val="3FF80670"/>
    <w:rsid w:val="408B24EB"/>
    <w:rsid w:val="425E443E"/>
    <w:rsid w:val="43542361"/>
    <w:rsid w:val="43E02B4D"/>
    <w:rsid w:val="43EF2284"/>
    <w:rsid w:val="44102C80"/>
    <w:rsid w:val="454A33A3"/>
    <w:rsid w:val="465F2A65"/>
    <w:rsid w:val="469E4499"/>
    <w:rsid w:val="471A1ED2"/>
    <w:rsid w:val="475C455B"/>
    <w:rsid w:val="48ED3636"/>
    <w:rsid w:val="4A5A3702"/>
    <w:rsid w:val="4BA001D7"/>
    <w:rsid w:val="4C871CFC"/>
    <w:rsid w:val="4CFB5BD1"/>
    <w:rsid w:val="4E14094C"/>
    <w:rsid w:val="4E667301"/>
    <w:rsid w:val="5009799D"/>
    <w:rsid w:val="510773F7"/>
    <w:rsid w:val="5121290E"/>
    <w:rsid w:val="516412F9"/>
    <w:rsid w:val="51ED13A1"/>
    <w:rsid w:val="53FE6DD5"/>
    <w:rsid w:val="546C7C74"/>
    <w:rsid w:val="55FD4314"/>
    <w:rsid w:val="578265B2"/>
    <w:rsid w:val="5AD24EF5"/>
    <w:rsid w:val="5AE82248"/>
    <w:rsid w:val="5C4665FE"/>
    <w:rsid w:val="5CA55F60"/>
    <w:rsid w:val="5D71457E"/>
    <w:rsid w:val="5EB56C59"/>
    <w:rsid w:val="5ED42A73"/>
    <w:rsid w:val="5F741281"/>
    <w:rsid w:val="62732444"/>
    <w:rsid w:val="637D11C4"/>
    <w:rsid w:val="67ED581E"/>
    <w:rsid w:val="67FC395A"/>
    <w:rsid w:val="68071D23"/>
    <w:rsid w:val="68501757"/>
    <w:rsid w:val="6AC023D9"/>
    <w:rsid w:val="6BDB1254"/>
    <w:rsid w:val="6C586D06"/>
    <w:rsid w:val="6CB14A9B"/>
    <w:rsid w:val="71911E5A"/>
    <w:rsid w:val="72183311"/>
    <w:rsid w:val="7224155D"/>
    <w:rsid w:val="727753C7"/>
    <w:rsid w:val="73AB13B6"/>
    <w:rsid w:val="75B56421"/>
    <w:rsid w:val="76CC4810"/>
    <w:rsid w:val="7B8775B2"/>
    <w:rsid w:val="7CAD0B24"/>
    <w:rsid w:val="7DCE6F9B"/>
    <w:rsid w:val="7E0367F1"/>
    <w:rsid w:val="7FFE7D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firstLine="200" w:firstLineChars="20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24"/>
    <w:qFormat/>
    <w:uiPriority w:val="0"/>
    <w:pPr>
      <w:keepNext/>
      <w:keepLines/>
      <w:spacing w:line="360" w:lineRule="auto"/>
      <w:jc w:val="center"/>
      <w:outlineLvl w:val="0"/>
    </w:pPr>
    <w:rPr>
      <w:b/>
      <w:kern w:val="44"/>
      <w:sz w:val="44"/>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spacing w:after="120"/>
      <w:ind w:left="420" w:leftChars="200" w:firstLine="420"/>
    </w:pPr>
  </w:style>
  <w:style w:type="paragraph" w:styleId="3">
    <w:name w:val="Body Text Indent"/>
    <w:basedOn w:val="1"/>
    <w:qFormat/>
    <w:uiPriority w:val="0"/>
    <w:pPr>
      <w:widowControl w:val="0"/>
      <w:spacing w:line="440" w:lineRule="exact"/>
      <w:ind w:firstLine="720" w:firstLineChars="300"/>
      <w:jc w:val="both"/>
    </w:pPr>
    <w:rPr>
      <w:rFonts w:ascii="Times New Roman" w:hAnsi="Times New Roman" w:eastAsia="宋体" w:cs="Times New Roman"/>
      <w:kern w:val="2"/>
      <w:sz w:val="24"/>
      <w:szCs w:val="24"/>
      <w:lang w:val="en-US" w:eastAsia="zh-CN" w:bidi="ar-SA"/>
    </w:rPr>
  </w:style>
  <w:style w:type="paragraph" w:styleId="5">
    <w:name w:val="Normal Indent"/>
    <w:basedOn w:val="1"/>
    <w:qFormat/>
    <w:uiPriority w:val="0"/>
    <w:pPr>
      <w:ind w:firstLine="420"/>
    </w:pPr>
    <w:rPr>
      <w:szCs w:val="20"/>
    </w:rPr>
  </w:style>
  <w:style w:type="paragraph" w:styleId="6">
    <w:name w:val="annotation text"/>
    <w:basedOn w:val="1"/>
    <w:link w:val="19"/>
    <w:qFormat/>
    <w:uiPriority w:val="0"/>
    <w:pPr>
      <w:jc w:val="left"/>
    </w:pPr>
  </w:style>
  <w:style w:type="paragraph" w:styleId="7">
    <w:name w:val="Plain Text"/>
    <w:basedOn w:val="1"/>
    <w:qFormat/>
    <w:uiPriority w:val="0"/>
    <w:pPr>
      <w:ind w:firstLine="0" w:firstLineChars="0"/>
    </w:pPr>
    <w:rPr>
      <w:rFonts w:ascii="宋体" w:hAnsi="Courier New"/>
    </w:rPr>
  </w:style>
  <w:style w:type="paragraph" w:styleId="8">
    <w:name w:val="Balloon Text"/>
    <w:basedOn w:val="1"/>
    <w:link w:val="22"/>
    <w:qFormat/>
    <w:uiPriority w:val="0"/>
    <w:rPr>
      <w:sz w:val="18"/>
      <w:szCs w:val="18"/>
    </w:rPr>
  </w:style>
  <w:style w:type="paragraph" w:styleId="9">
    <w:name w:val="footer"/>
    <w:basedOn w:val="1"/>
    <w:qFormat/>
    <w:uiPriority w:val="0"/>
    <w:pPr>
      <w:widowControl w:val="0"/>
      <w:tabs>
        <w:tab w:val="center" w:pos="4153"/>
        <w:tab w:val="right" w:pos="8306"/>
      </w:tabs>
      <w:snapToGrid w:val="0"/>
      <w:ind w:firstLine="200" w:firstLineChars="200"/>
    </w:pPr>
    <w:rPr>
      <w:rFonts w:ascii="Times New Roman" w:hAnsi="Times New Roman" w:eastAsia="宋体" w:cs="Times New Roman"/>
      <w:kern w:val="2"/>
      <w:sz w:val="18"/>
      <w:szCs w:val="24"/>
      <w:lang w:val="en-US" w:eastAsia="zh-CN" w:bidi="ar-SA"/>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1">
    <w:name w:val="toc 1"/>
    <w:basedOn w:val="1"/>
    <w:next w:val="1"/>
    <w:qFormat/>
    <w:uiPriority w:val="39"/>
  </w:style>
  <w:style w:type="paragraph" w:styleId="12">
    <w:name w:val="Title"/>
    <w:basedOn w:val="1"/>
    <w:next w:val="1"/>
    <w:qFormat/>
    <w:uiPriority w:val="99"/>
    <w:pPr>
      <w:spacing w:before="240" w:after="60"/>
      <w:jc w:val="center"/>
      <w:outlineLvl w:val="0"/>
    </w:pPr>
    <w:rPr>
      <w:rFonts w:ascii="Cambria" w:hAnsi="Cambria" w:eastAsia="仿宋_GB2312" w:cs="Verdana"/>
      <w:b/>
      <w:bCs/>
      <w:sz w:val="32"/>
      <w:szCs w:val="32"/>
      <w:lang w:eastAsia="en-US"/>
    </w:rPr>
  </w:style>
  <w:style w:type="paragraph" w:styleId="13">
    <w:name w:val="annotation subject"/>
    <w:basedOn w:val="6"/>
    <w:next w:val="6"/>
    <w:link w:val="20"/>
    <w:qFormat/>
    <w:uiPriority w:val="0"/>
    <w:rPr>
      <w:b/>
      <w:bCs/>
    </w:rPr>
  </w:style>
  <w:style w:type="character" w:styleId="16">
    <w:name w:val="Hyperlink"/>
    <w:basedOn w:val="15"/>
    <w:qFormat/>
    <w:uiPriority w:val="0"/>
    <w:rPr>
      <w:color w:val="0000FF"/>
      <w:u w:val="single"/>
    </w:rPr>
  </w:style>
  <w:style w:type="character" w:styleId="17">
    <w:name w:val="annotation reference"/>
    <w:basedOn w:val="15"/>
    <w:qFormat/>
    <w:uiPriority w:val="0"/>
    <w:rPr>
      <w:sz w:val="21"/>
      <w:szCs w:val="21"/>
    </w:rPr>
  </w:style>
  <w:style w:type="paragraph" w:customStyle="1" w:styleId="18">
    <w:name w:val="列表段落1"/>
    <w:qFormat/>
    <w:uiPriority w:val="34"/>
    <w:pPr>
      <w:widowControl w:val="0"/>
      <w:ind w:firstLine="420" w:firstLineChars="200"/>
      <w:jc w:val="both"/>
    </w:pPr>
    <w:rPr>
      <w:rFonts w:ascii="Times New Roman" w:hAnsi="Times New Roman" w:eastAsia="宋体" w:cs="Times New Roman"/>
      <w:kern w:val="2"/>
      <w:sz w:val="21"/>
      <w:szCs w:val="24"/>
      <w:lang w:val="en-US" w:eastAsia="zh-CN" w:bidi="ar-SA"/>
    </w:rPr>
  </w:style>
  <w:style w:type="character" w:customStyle="1" w:styleId="19">
    <w:name w:val="批注文字 字符"/>
    <w:basedOn w:val="15"/>
    <w:link w:val="6"/>
    <w:qFormat/>
    <w:uiPriority w:val="0"/>
    <w:rPr>
      <w:kern w:val="2"/>
      <w:sz w:val="21"/>
      <w:szCs w:val="24"/>
    </w:rPr>
  </w:style>
  <w:style w:type="character" w:customStyle="1" w:styleId="20">
    <w:name w:val="批注主题 字符"/>
    <w:basedOn w:val="19"/>
    <w:link w:val="13"/>
    <w:qFormat/>
    <w:uiPriority w:val="0"/>
    <w:rPr>
      <w:b/>
      <w:bCs/>
      <w:kern w:val="2"/>
      <w:sz w:val="21"/>
      <w:szCs w:val="24"/>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22">
    <w:name w:val="批注框文本 字符"/>
    <w:basedOn w:val="15"/>
    <w:link w:val="8"/>
    <w:qFormat/>
    <w:uiPriority w:val="0"/>
    <w:rPr>
      <w:kern w:val="2"/>
      <w:sz w:val="18"/>
      <w:szCs w:val="18"/>
    </w:rPr>
  </w:style>
  <w:style w:type="paragraph" w:styleId="23">
    <w:name w:val="List Paragraph"/>
    <w:basedOn w:val="1"/>
    <w:qFormat/>
    <w:uiPriority w:val="99"/>
    <w:pPr>
      <w:ind w:firstLine="420"/>
    </w:pPr>
  </w:style>
  <w:style w:type="character" w:customStyle="1" w:styleId="24">
    <w:name w:val="标题 1 Char"/>
    <w:basedOn w:val="15"/>
    <w:link w:val="4"/>
    <w:qFormat/>
    <w:uiPriority w:val="0"/>
    <w:rPr>
      <w:b/>
      <w:kern w:val="44"/>
      <w:sz w:val="44"/>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FA4B214-00B1-43CB-A356-CA8FA01CD9FC}">
  <ds:schemaRefs/>
</ds:datastoreItem>
</file>

<file path=docProps/app.xml><?xml version="1.0" encoding="utf-8"?>
<Properties xmlns="http://schemas.openxmlformats.org/officeDocument/2006/extended-properties" xmlns:vt="http://schemas.openxmlformats.org/officeDocument/2006/docPropsVTypes">
  <Template>Normal.dotm</Template>
  <Pages>31</Pages>
  <Words>16860</Words>
  <Characters>18864</Characters>
  <Lines>138</Lines>
  <Paragraphs>39</Paragraphs>
  <TotalTime>5</TotalTime>
  <ScaleCrop>false</ScaleCrop>
  <LinksUpToDate>false</LinksUpToDate>
  <CharactersWithSpaces>19522</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2021-05-25T01:22:00Z</dcterms:created>
  <dc:creator>黄小蕾</dc:creator>
  <cp:lastModifiedBy>多年以后</cp:lastModifiedBy>
  <cp:lastPrinted>2022-05-11T01:43:00Z</cp:lastPrinted>
  <dcterms:modified xsi:type="dcterms:W3CDTF">2022-06-02T00:51:17Z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y fmtid="{D5CDD505-2E9C-101B-9397-08002B2CF9AE}" pid="3" name="ICV">
    <vt:lpwstr>3D0FFAD459B142838CC0BAC8B224C2BA</vt:lpwstr>
  </property>
</Properties>
</file>