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560"/>
        <w:rPr>
          <w:rFonts w:ascii="宋体" w:hAnsi="宋体"/>
          <w:color w:val="auto"/>
          <w:sz w:val="28"/>
          <w:szCs w:val="28"/>
          <w:highlight w:val="none"/>
          <w:shd w:val="clear" w:color="auto" w:fill="auto"/>
        </w:rPr>
      </w:pPr>
    </w:p>
    <w:p>
      <w:pPr>
        <w:ind w:firstLine="560"/>
        <w:rPr>
          <w:rFonts w:ascii="宋体" w:hAnsi="宋体"/>
          <w:color w:val="auto"/>
          <w:sz w:val="28"/>
          <w:szCs w:val="28"/>
          <w:highlight w:val="none"/>
          <w:shd w:val="clear" w:color="auto" w:fill="auto"/>
        </w:rPr>
      </w:pPr>
    </w:p>
    <w:p>
      <w:pPr>
        <w:ind w:firstLine="560"/>
        <w:rPr>
          <w:rFonts w:ascii="宋体" w:hAnsi="宋体"/>
          <w:color w:val="auto"/>
          <w:sz w:val="28"/>
          <w:szCs w:val="28"/>
          <w:highlight w:val="none"/>
          <w:shd w:val="clear" w:color="auto" w:fill="auto"/>
        </w:rPr>
      </w:pPr>
    </w:p>
    <w:p>
      <w:pPr>
        <w:ind w:firstLine="560"/>
        <w:rPr>
          <w:rFonts w:ascii="宋体" w:hAnsi="宋体"/>
          <w:color w:val="auto"/>
          <w:sz w:val="28"/>
          <w:szCs w:val="28"/>
          <w:highlight w:val="none"/>
          <w:shd w:val="clear" w:color="auto" w:fill="auto"/>
        </w:rPr>
      </w:pPr>
    </w:p>
    <w:p>
      <w:pPr>
        <w:spacing w:line="360" w:lineRule="auto"/>
        <w:ind w:left="8138" w:leftChars="-95" w:right="-395" w:rightChars="-188" w:hanging="8337" w:hangingChars="1654"/>
        <w:jc w:val="center"/>
        <w:rPr>
          <w:rFonts w:ascii="黑体" w:hAnsi="宋体" w:eastAsia="黑体"/>
          <w:b/>
          <w:color w:val="auto"/>
          <w:spacing w:val="-9"/>
          <w:sz w:val="52"/>
          <w:szCs w:val="48"/>
          <w:highlight w:val="none"/>
          <w:shd w:val="clear" w:color="auto" w:fill="auto"/>
        </w:rPr>
      </w:pPr>
      <w:r>
        <w:rPr>
          <w:rFonts w:hint="eastAsia" w:ascii="黑体" w:hAnsi="宋体" w:eastAsia="黑体"/>
          <w:b/>
          <w:color w:val="auto"/>
          <w:spacing w:val="-9"/>
          <w:sz w:val="52"/>
          <w:szCs w:val="48"/>
          <w:highlight w:val="none"/>
          <w:shd w:val="clear" w:color="auto" w:fill="auto"/>
        </w:rPr>
        <w:t>浙江海正甦力康生物科技有限公司</w:t>
      </w:r>
    </w:p>
    <w:p>
      <w:pPr>
        <w:spacing w:line="360" w:lineRule="auto"/>
        <w:ind w:left="8138" w:leftChars="-95" w:right="-395" w:rightChars="-188" w:hanging="8337" w:hangingChars="1654"/>
        <w:jc w:val="center"/>
        <w:rPr>
          <w:rFonts w:ascii="黑体" w:hAnsi="宋体" w:eastAsia="黑体"/>
          <w:b/>
          <w:color w:val="auto"/>
          <w:spacing w:val="-9"/>
          <w:sz w:val="52"/>
          <w:szCs w:val="48"/>
          <w:highlight w:val="none"/>
          <w:shd w:val="clear" w:color="auto" w:fill="auto"/>
        </w:rPr>
      </w:pPr>
      <w:r>
        <w:rPr>
          <w:rFonts w:ascii="黑体" w:hAnsi="宋体" w:eastAsia="黑体"/>
          <w:b/>
          <w:color w:val="auto"/>
          <w:spacing w:val="-9"/>
          <w:sz w:val="52"/>
          <w:szCs w:val="48"/>
          <w:highlight w:val="none"/>
          <w:shd w:val="clear" w:color="auto" w:fill="auto"/>
        </w:rPr>
        <w:t>17,362,702</w:t>
      </w:r>
      <w:r>
        <w:rPr>
          <w:rFonts w:hint="eastAsia" w:ascii="黑体" w:hAnsi="宋体" w:eastAsia="黑体"/>
          <w:b/>
          <w:color w:val="auto"/>
          <w:spacing w:val="-9"/>
          <w:sz w:val="52"/>
          <w:szCs w:val="48"/>
          <w:highlight w:val="none"/>
          <w:shd w:val="clear" w:color="auto" w:fill="auto"/>
        </w:rPr>
        <w:t>元注册资本</w:t>
      </w:r>
      <w:r>
        <w:rPr>
          <w:rFonts w:hint="eastAsia" w:ascii="黑体" w:hAnsi="宋体" w:eastAsia="黑体"/>
          <w:b/>
          <w:color w:val="auto"/>
          <w:spacing w:val="-9"/>
          <w:sz w:val="52"/>
          <w:szCs w:val="48"/>
          <w:highlight w:val="none"/>
          <w:shd w:val="clear" w:color="auto" w:fill="auto"/>
          <w:lang w:val="en-US" w:eastAsia="zh-CN"/>
        </w:rPr>
        <w:t>对应股权</w:t>
      </w:r>
    </w:p>
    <w:p>
      <w:pPr>
        <w:spacing w:line="360" w:lineRule="auto"/>
        <w:ind w:left="8138" w:leftChars="-95" w:right="-395" w:rightChars="-188" w:hanging="8337" w:hangingChars="1654"/>
        <w:jc w:val="center"/>
        <w:rPr>
          <w:rFonts w:ascii="黑体" w:hAnsi="宋体" w:eastAsia="黑体"/>
          <w:b/>
          <w:color w:val="auto"/>
          <w:spacing w:val="-9"/>
          <w:sz w:val="52"/>
          <w:szCs w:val="48"/>
          <w:highlight w:val="none"/>
          <w:shd w:val="clear" w:color="auto" w:fill="auto"/>
        </w:rPr>
      </w:pPr>
    </w:p>
    <w:p>
      <w:pPr>
        <w:spacing w:line="360" w:lineRule="auto"/>
        <w:ind w:left="8435" w:leftChars="-95" w:right="-395" w:rightChars="-188" w:hanging="8634" w:hangingChars="1654"/>
        <w:jc w:val="center"/>
        <w:rPr>
          <w:rFonts w:ascii="黑体" w:hAnsi="宋体" w:eastAsia="黑体"/>
          <w:b/>
          <w:color w:val="auto"/>
          <w:sz w:val="52"/>
          <w:szCs w:val="48"/>
          <w:highlight w:val="none"/>
          <w:shd w:val="clear" w:color="auto" w:fill="auto"/>
        </w:rPr>
      </w:pPr>
    </w:p>
    <w:p>
      <w:pPr>
        <w:spacing w:line="360" w:lineRule="auto"/>
        <w:ind w:firstLine="964"/>
        <w:jc w:val="center"/>
        <w:rPr>
          <w:rFonts w:ascii="黑体" w:hAnsi="宋体" w:eastAsia="黑体"/>
          <w:b/>
          <w:color w:val="auto"/>
          <w:sz w:val="48"/>
          <w:szCs w:val="48"/>
          <w:highlight w:val="none"/>
          <w:shd w:val="clear" w:color="auto" w:fill="auto"/>
        </w:rPr>
      </w:pPr>
    </w:p>
    <w:p>
      <w:pPr>
        <w:spacing w:line="360" w:lineRule="auto"/>
        <w:ind w:firstLine="0" w:firstLineChars="0"/>
        <w:jc w:val="center"/>
        <w:rPr>
          <w:rFonts w:ascii="黑体" w:hAnsi="宋体" w:eastAsia="黑体"/>
          <w:b/>
          <w:color w:val="auto"/>
          <w:sz w:val="68"/>
          <w:szCs w:val="68"/>
          <w:highlight w:val="none"/>
          <w:shd w:val="clear" w:color="auto" w:fill="auto"/>
        </w:rPr>
      </w:pPr>
      <w:r>
        <w:rPr>
          <w:rFonts w:hint="eastAsia" w:ascii="黑体" w:hAnsi="宋体" w:eastAsia="黑体"/>
          <w:b/>
          <w:color w:val="auto"/>
          <w:sz w:val="68"/>
          <w:szCs w:val="68"/>
          <w:highlight w:val="none"/>
          <w:shd w:val="clear" w:color="auto" w:fill="auto"/>
        </w:rPr>
        <w:t>转 让 文 件</w:t>
      </w:r>
    </w:p>
    <w:p>
      <w:pPr>
        <w:spacing w:line="360" w:lineRule="auto"/>
        <w:ind w:firstLine="643"/>
        <w:jc w:val="center"/>
        <w:rPr>
          <w:rFonts w:ascii="黑体" w:hAnsi="宋体" w:eastAsia="黑体"/>
          <w:b/>
          <w:color w:val="auto"/>
          <w:sz w:val="32"/>
          <w:szCs w:val="32"/>
          <w:highlight w:val="none"/>
          <w:shd w:val="clear" w:color="auto" w:fill="auto"/>
        </w:rPr>
      </w:pPr>
    </w:p>
    <w:p>
      <w:pPr>
        <w:spacing w:line="360" w:lineRule="auto"/>
        <w:ind w:firstLine="0" w:firstLineChars="0"/>
        <w:jc w:val="center"/>
        <w:rPr>
          <w:rFonts w:ascii="黑体" w:hAnsi="宋体" w:eastAsia="黑体"/>
          <w:b/>
          <w:color w:val="auto"/>
          <w:sz w:val="32"/>
          <w:szCs w:val="32"/>
          <w:highlight w:val="none"/>
          <w:shd w:val="clear" w:color="auto" w:fill="auto"/>
        </w:rPr>
      </w:pPr>
      <w:r>
        <w:rPr>
          <w:rFonts w:hint="eastAsia" w:ascii="黑体" w:hAnsi="宋体" w:eastAsia="黑体"/>
          <w:b/>
          <w:color w:val="auto"/>
          <w:sz w:val="32"/>
          <w:szCs w:val="32"/>
          <w:highlight w:val="none"/>
          <w:shd w:val="clear" w:color="auto" w:fill="auto"/>
        </w:rPr>
        <w:t>台交所挂〔20</w:t>
      </w:r>
      <w:r>
        <w:rPr>
          <w:rFonts w:ascii="黑体" w:hAnsi="宋体" w:eastAsia="黑体"/>
          <w:b/>
          <w:color w:val="auto"/>
          <w:sz w:val="32"/>
          <w:szCs w:val="32"/>
          <w:highlight w:val="none"/>
          <w:shd w:val="clear" w:color="auto" w:fill="auto"/>
        </w:rPr>
        <w:t>22</w:t>
      </w:r>
      <w:r>
        <w:rPr>
          <w:rFonts w:hint="eastAsia" w:ascii="黑体" w:hAnsi="宋体" w:eastAsia="黑体"/>
          <w:b/>
          <w:color w:val="auto"/>
          <w:sz w:val="32"/>
          <w:szCs w:val="32"/>
          <w:highlight w:val="none"/>
          <w:shd w:val="clear" w:color="auto" w:fill="auto"/>
        </w:rPr>
        <w:t>〕</w:t>
      </w:r>
      <w:r>
        <w:rPr>
          <w:rFonts w:ascii="黑体" w:hAnsi="宋体" w:eastAsia="黑体"/>
          <w:b/>
          <w:color w:val="auto"/>
          <w:sz w:val="32"/>
          <w:szCs w:val="32"/>
          <w:highlight w:val="none"/>
          <w:shd w:val="clear" w:color="auto" w:fill="auto"/>
        </w:rPr>
        <w:t>12</w:t>
      </w:r>
      <w:r>
        <w:rPr>
          <w:rFonts w:hint="eastAsia" w:ascii="黑体" w:hAnsi="宋体" w:eastAsia="黑体"/>
          <w:b/>
          <w:color w:val="auto"/>
          <w:sz w:val="32"/>
          <w:szCs w:val="32"/>
          <w:highlight w:val="none"/>
          <w:shd w:val="clear" w:color="auto" w:fill="auto"/>
        </w:rPr>
        <w:t>号</w:t>
      </w:r>
    </w:p>
    <w:p>
      <w:pPr>
        <w:spacing w:line="360" w:lineRule="auto"/>
        <w:ind w:firstLine="1365"/>
        <w:jc w:val="center"/>
        <w:rPr>
          <w:rFonts w:ascii="黑体" w:hAnsi="宋体" w:eastAsia="黑体"/>
          <w:b/>
          <w:color w:val="auto"/>
          <w:sz w:val="68"/>
          <w:szCs w:val="68"/>
          <w:highlight w:val="none"/>
          <w:shd w:val="clear" w:color="auto" w:fill="auto"/>
        </w:rPr>
      </w:pPr>
    </w:p>
    <w:p>
      <w:pPr>
        <w:spacing w:line="360" w:lineRule="auto"/>
        <w:ind w:firstLine="560"/>
        <w:rPr>
          <w:rFonts w:ascii="宋体" w:hAnsi="宋体"/>
          <w:color w:val="auto"/>
          <w:sz w:val="28"/>
          <w:szCs w:val="28"/>
          <w:highlight w:val="none"/>
          <w:shd w:val="clear" w:color="auto" w:fill="auto"/>
        </w:rPr>
      </w:pPr>
    </w:p>
    <w:p>
      <w:pPr>
        <w:ind w:firstLine="0" w:firstLineChars="0"/>
        <w:rPr>
          <w:rFonts w:ascii="宋体" w:hAnsi="宋体"/>
          <w:color w:val="auto"/>
          <w:sz w:val="28"/>
          <w:szCs w:val="28"/>
          <w:highlight w:val="none"/>
          <w:shd w:val="clear" w:color="auto" w:fill="auto"/>
        </w:rPr>
      </w:pPr>
    </w:p>
    <w:p>
      <w:pPr>
        <w:ind w:firstLine="560"/>
        <w:rPr>
          <w:rFonts w:ascii="宋体" w:hAnsi="宋体"/>
          <w:color w:val="auto"/>
          <w:sz w:val="28"/>
          <w:szCs w:val="28"/>
          <w:highlight w:val="none"/>
          <w:shd w:val="clear" w:color="auto" w:fill="auto"/>
        </w:rPr>
      </w:pPr>
    </w:p>
    <w:p>
      <w:pPr>
        <w:ind w:left="-540" w:leftChars="-257" w:right="-693" w:rightChars="-330" w:firstLine="560"/>
        <w:rPr>
          <w:rFonts w:ascii="宋体" w:hAnsi="宋体"/>
          <w:color w:val="auto"/>
          <w:sz w:val="28"/>
          <w:szCs w:val="28"/>
          <w:highlight w:val="none"/>
          <w:shd w:val="clear" w:color="auto" w:fill="auto"/>
        </w:rPr>
      </w:pPr>
    </w:p>
    <w:p>
      <w:pPr>
        <w:ind w:firstLine="0" w:firstLineChars="0"/>
        <w:rPr>
          <w:rFonts w:ascii="宋体" w:hAnsi="宋体"/>
          <w:b/>
          <w:color w:val="auto"/>
          <w:sz w:val="18"/>
          <w:szCs w:val="18"/>
          <w:highlight w:val="none"/>
          <w:shd w:val="clear" w:color="auto" w:fill="auto"/>
        </w:rPr>
      </w:pPr>
      <w:r>
        <w:rPr>
          <w:rFonts w:hint="eastAsia" w:ascii="宋体" w:hAnsi="宋体"/>
          <w:b/>
          <w:color w:val="auto"/>
          <w:sz w:val="18"/>
          <w:szCs w:val="18"/>
          <w:highlight w:val="none"/>
          <w:shd w:val="clear" w:color="auto" w:fill="auto"/>
        </w:rPr>
        <w:t>◎台州市产权交易所有限公司◎地址：台州市市府大道777号民泰银行5楼511室◎电话：88685177 88685180◎网址：www.tzpre.com</w:t>
      </w:r>
    </w:p>
    <w:p>
      <w:pPr>
        <w:spacing w:line="720" w:lineRule="auto"/>
        <w:ind w:firstLine="562"/>
        <w:jc w:val="center"/>
        <w:rPr>
          <w:rFonts w:ascii="宋体" w:hAnsi="宋体"/>
          <w:b/>
          <w:bCs/>
          <w:color w:val="auto"/>
          <w:sz w:val="28"/>
          <w:szCs w:val="28"/>
          <w:highlight w:val="none"/>
          <w:shd w:val="clear" w:color="auto" w:fill="auto"/>
        </w:rPr>
        <w:sectPr>
          <w:headerReference r:id="rId5" w:type="first"/>
          <w:footerReference r:id="rId8" w:type="first"/>
          <w:headerReference r:id="rId3" w:type="default"/>
          <w:footerReference r:id="rId6" w:type="default"/>
          <w:headerReference r:id="rId4" w:type="even"/>
          <w:footerReference r:id="rId7" w:type="even"/>
          <w:pgSz w:w="11906" w:h="16838"/>
          <w:pgMar w:top="1440" w:right="1531" w:bottom="1327" w:left="1531" w:header="851" w:footer="992" w:gutter="0"/>
          <w:cols w:space="720" w:num="1"/>
          <w:docGrid w:type="lines" w:linePitch="312" w:charSpace="0"/>
        </w:sectPr>
      </w:pPr>
    </w:p>
    <w:p>
      <w:pPr>
        <w:spacing w:line="720" w:lineRule="auto"/>
        <w:ind w:firstLine="0" w:firstLineChars="0"/>
        <w:jc w:val="center"/>
        <w:rPr>
          <w:rFonts w:ascii="黑体" w:hAnsi="宋体" w:eastAsia="黑体"/>
          <w:b/>
          <w:bCs/>
          <w:color w:val="auto"/>
          <w:sz w:val="84"/>
          <w:highlight w:val="none"/>
          <w:shd w:val="clear" w:color="auto" w:fill="auto"/>
        </w:rPr>
      </w:pPr>
      <w:r>
        <w:rPr>
          <w:rFonts w:hint="eastAsia" w:ascii="黑体" w:hAnsi="宋体" w:eastAsia="黑体"/>
          <w:b/>
          <w:bCs/>
          <w:color w:val="auto"/>
          <w:sz w:val="84"/>
          <w:highlight w:val="none"/>
          <w:shd w:val="clear" w:color="auto" w:fill="auto"/>
        </w:rPr>
        <w:t>目　</w:t>
      </w:r>
      <w:r>
        <w:rPr>
          <w:rFonts w:ascii="黑体" w:hAnsi="宋体" w:eastAsia="黑体"/>
          <w:b/>
          <w:bCs/>
          <w:color w:val="auto"/>
          <w:sz w:val="84"/>
          <w:highlight w:val="none"/>
          <w:shd w:val="clear" w:color="auto" w:fill="auto"/>
        </w:rPr>
        <w:t xml:space="preserve"> 录</w:t>
      </w:r>
    </w:p>
    <w:p>
      <w:pPr>
        <w:spacing w:line="60" w:lineRule="auto"/>
        <w:ind w:firstLine="0" w:firstLineChars="0"/>
        <w:jc w:val="center"/>
        <w:rPr>
          <w:rFonts w:hint="default" w:ascii="宋体" w:hAnsi="宋体" w:eastAsia="宋体"/>
          <w:b/>
          <w:color w:val="auto"/>
          <w:sz w:val="40"/>
          <w:szCs w:val="32"/>
          <w:highlight w:val="none"/>
          <w:shd w:val="clear" w:color="auto" w:fill="auto"/>
          <w:lang w:val="en-US" w:eastAsia="zh-CN"/>
        </w:rPr>
      </w:pPr>
      <w:r>
        <w:rPr>
          <w:rFonts w:hint="eastAsia" w:ascii="宋体" w:hAnsi="宋体"/>
          <w:b/>
          <w:color w:val="auto"/>
          <w:sz w:val="40"/>
          <w:szCs w:val="32"/>
          <w:highlight w:val="none"/>
          <w:shd w:val="clear" w:color="auto" w:fill="auto"/>
        </w:rPr>
        <w:t>浙江海正甦力康生物科技有限公司</w:t>
      </w:r>
      <w:r>
        <w:rPr>
          <w:rFonts w:ascii="宋体" w:hAnsi="宋体"/>
          <w:b/>
          <w:color w:val="auto"/>
          <w:sz w:val="40"/>
          <w:szCs w:val="32"/>
          <w:highlight w:val="none"/>
          <w:shd w:val="clear" w:color="auto" w:fill="auto"/>
        </w:rPr>
        <w:t>17,362,702</w:t>
      </w:r>
      <w:r>
        <w:rPr>
          <w:rFonts w:hint="eastAsia" w:ascii="宋体" w:hAnsi="宋体"/>
          <w:b/>
          <w:color w:val="auto"/>
          <w:sz w:val="40"/>
          <w:szCs w:val="32"/>
          <w:highlight w:val="none"/>
          <w:shd w:val="clear" w:color="auto" w:fill="auto"/>
        </w:rPr>
        <w:t>元注册资本</w:t>
      </w:r>
      <w:r>
        <w:rPr>
          <w:rFonts w:hint="eastAsia" w:ascii="宋体" w:hAnsi="宋体"/>
          <w:b/>
          <w:color w:val="auto"/>
          <w:sz w:val="40"/>
          <w:szCs w:val="32"/>
          <w:highlight w:val="none"/>
          <w:shd w:val="clear" w:color="auto" w:fill="auto"/>
          <w:lang w:val="en-US" w:eastAsia="zh-CN"/>
        </w:rPr>
        <w:t>对应股权</w:t>
      </w:r>
    </w:p>
    <w:p>
      <w:pPr>
        <w:spacing w:line="60" w:lineRule="auto"/>
        <w:ind w:firstLine="0" w:firstLineChars="0"/>
        <w:jc w:val="center"/>
        <w:rPr>
          <w:rFonts w:ascii="黑体" w:hAnsi="宋体" w:eastAsia="黑体"/>
          <w:b/>
          <w:bCs/>
          <w:color w:val="auto"/>
          <w:spacing w:val="140"/>
          <w:sz w:val="44"/>
          <w:highlight w:val="none"/>
          <w:shd w:val="clear" w:color="auto" w:fill="auto"/>
        </w:rPr>
      </w:pPr>
      <w:r>
        <w:rPr>
          <w:rFonts w:hint="eastAsia" w:ascii="黑体" w:hAnsi="宋体" w:eastAsia="黑体"/>
          <w:b/>
          <w:bCs/>
          <w:color w:val="auto"/>
          <w:spacing w:val="140"/>
          <w:sz w:val="44"/>
          <w:highlight w:val="none"/>
          <w:shd w:val="clear" w:color="auto" w:fill="auto"/>
        </w:rPr>
        <w:t>转让文件</w:t>
      </w:r>
    </w:p>
    <w:p>
      <w:pPr>
        <w:ind w:firstLine="560"/>
        <w:rPr>
          <w:rFonts w:ascii="宋体" w:hAnsi="宋体"/>
          <w:color w:val="auto"/>
          <w:sz w:val="28"/>
          <w:szCs w:val="28"/>
          <w:highlight w:val="none"/>
          <w:shd w:val="clear" w:color="auto" w:fill="auto"/>
        </w:rPr>
      </w:pPr>
    </w:p>
    <w:sdt>
      <w:sdtPr>
        <w:rPr>
          <w:color w:val="auto"/>
          <w:highlight w:val="none"/>
          <w:shd w:val="clear" w:color="auto" w:fill="auto"/>
          <w:lang w:val="zh-CN"/>
        </w:rPr>
        <w:id w:val="291027570"/>
        <w:docPartObj>
          <w:docPartGallery w:val="Table of Contents"/>
          <w:docPartUnique/>
        </w:docPartObj>
      </w:sdtPr>
      <w:sdtEndPr>
        <w:rPr>
          <w:color w:val="auto"/>
          <w:highlight w:val="none"/>
          <w:shd w:val="clear" w:color="auto" w:fill="auto"/>
          <w:lang w:val="zh-CN"/>
        </w:rPr>
      </w:sdtEndPr>
      <w:sdtContent>
        <w:p>
          <w:pPr>
            <w:pStyle w:val="13"/>
            <w:tabs>
              <w:tab w:val="right" w:leader="dot" w:pos="8834"/>
            </w:tabs>
            <w:spacing w:line="800" w:lineRule="exact"/>
            <w:ind w:firstLine="420" w:firstLineChars="200"/>
            <w:rPr>
              <w:color w:val="auto"/>
              <w:highlight w:val="none"/>
              <w:shd w:val="clear" w:color="auto" w:fill="auto"/>
            </w:rPr>
          </w:pPr>
        </w:p>
        <w:sdt>
          <w:sdtPr>
            <w:rPr>
              <w:color w:val="auto"/>
              <w:highlight w:val="none"/>
              <w:shd w:val="clear" w:color="auto" w:fill="auto"/>
              <w:lang w:val="zh-CN"/>
            </w:rPr>
            <w:id w:val="-5910908"/>
            <w:docPartObj>
              <w:docPartGallery w:val="Table of Contents"/>
              <w:docPartUnique/>
            </w:docPartObj>
          </w:sdtPr>
          <w:sdtEndPr>
            <w:rPr>
              <w:color w:val="auto"/>
              <w:highlight w:val="none"/>
              <w:shd w:val="clear" w:color="auto" w:fill="auto"/>
              <w:lang w:val="zh-CN"/>
            </w:rPr>
          </w:sdtEndPr>
          <w:sdtContent>
            <w:p>
              <w:pPr>
                <w:ind w:firstLine="420"/>
                <w:rPr>
                  <w:color w:val="auto"/>
                  <w:highlight w:val="none"/>
                  <w:shd w:val="clear" w:color="auto" w:fill="auto"/>
                </w:rPr>
              </w:pPr>
            </w:p>
            <w:p>
              <w:pPr>
                <w:pStyle w:val="13"/>
                <w:tabs>
                  <w:tab w:val="right" w:leader="dot" w:pos="8834"/>
                </w:tabs>
                <w:spacing w:line="800" w:lineRule="exact"/>
                <w:ind w:firstLine="640"/>
                <w:rPr>
                  <w:rFonts w:ascii="黑体" w:hAnsi="黑体" w:eastAsia="黑体" w:cs="黑体"/>
                  <w:color w:val="auto"/>
                  <w:sz w:val="32"/>
                  <w:szCs w:val="32"/>
                  <w:highlight w:val="none"/>
                  <w:shd w:val="clear" w:color="auto" w:fill="auto"/>
                </w:rPr>
              </w:pPr>
              <w:r>
                <w:rPr>
                  <w:color w:val="auto"/>
                  <w:sz w:val="32"/>
                  <w:szCs w:val="32"/>
                  <w:highlight w:val="none"/>
                  <w:shd w:val="clear" w:color="auto" w:fill="auto"/>
                </w:rPr>
                <w:fldChar w:fldCharType="begin"/>
              </w:r>
              <w:r>
                <w:rPr>
                  <w:color w:val="auto"/>
                  <w:sz w:val="32"/>
                  <w:szCs w:val="32"/>
                  <w:highlight w:val="none"/>
                  <w:shd w:val="clear" w:color="auto" w:fill="auto"/>
                </w:rPr>
                <w:instrText xml:space="preserve"> TOC \o "1-3" \h \z \u </w:instrText>
              </w:r>
              <w:r>
                <w:rPr>
                  <w:color w:val="auto"/>
                  <w:sz w:val="32"/>
                  <w:szCs w:val="32"/>
                  <w:highlight w:val="none"/>
                  <w:shd w:val="clear" w:color="auto" w:fill="auto"/>
                </w:rPr>
                <w:fldChar w:fldCharType="separate"/>
              </w:r>
              <w:r>
                <w:rPr>
                  <w:rFonts w:ascii="黑体" w:hAnsi="黑体" w:eastAsia="黑体" w:cs="黑体"/>
                  <w:color w:val="auto"/>
                  <w:sz w:val="32"/>
                  <w:szCs w:val="32"/>
                  <w:highlight w:val="none"/>
                  <w:shd w:val="clear" w:color="auto" w:fill="auto"/>
                </w:rPr>
                <w:fldChar w:fldCharType="begin"/>
              </w:r>
              <w:r>
                <w:rPr>
                  <w:rFonts w:ascii="黑体" w:hAnsi="黑体" w:eastAsia="黑体" w:cs="黑体"/>
                  <w:color w:val="auto"/>
                  <w:sz w:val="32"/>
                  <w:szCs w:val="32"/>
                  <w:highlight w:val="none"/>
                  <w:shd w:val="clear" w:color="auto" w:fill="auto"/>
                </w:rPr>
                <w:instrText xml:space="preserve"> HYPERLINK \l "_Toc99379227" </w:instrText>
              </w:r>
              <w:r>
                <w:rPr>
                  <w:rFonts w:ascii="黑体" w:hAnsi="黑体" w:eastAsia="黑体" w:cs="黑体"/>
                  <w:color w:val="auto"/>
                  <w:sz w:val="32"/>
                  <w:szCs w:val="32"/>
                  <w:highlight w:val="none"/>
                  <w:shd w:val="clear" w:color="auto" w:fill="auto"/>
                </w:rPr>
                <w:fldChar w:fldCharType="separate"/>
              </w:r>
              <w:r>
                <w:rPr>
                  <w:rStyle w:val="23"/>
                  <w:rFonts w:hint="eastAsia" w:ascii="黑体" w:hAnsi="黑体" w:eastAsia="黑体" w:cs="黑体"/>
                  <w:color w:val="auto"/>
                  <w:sz w:val="32"/>
                  <w:szCs w:val="32"/>
                  <w:highlight w:val="none"/>
                  <w:shd w:val="clear" w:color="auto" w:fill="auto"/>
                </w:rPr>
                <w:t>转让公告</w:t>
              </w:r>
              <w:r>
                <w:rPr>
                  <w:rFonts w:ascii="黑体" w:hAnsi="黑体" w:eastAsia="黑体" w:cs="黑体"/>
                  <w:color w:val="auto"/>
                  <w:sz w:val="32"/>
                  <w:szCs w:val="32"/>
                  <w:highlight w:val="none"/>
                  <w:shd w:val="clear" w:color="auto" w:fill="auto"/>
                </w:rPr>
                <w:tab/>
              </w:r>
              <w:r>
                <w:rPr>
                  <w:rFonts w:ascii="黑体" w:hAnsi="黑体" w:eastAsia="黑体" w:cs="黑体"/>
                  <w:color w:val="auto"/>
                  <w:sz w:val="32"/>
                  <w:szCs w:val="32"/>
                  <w:highlight w:val="none"/>
                  <w:shd w:val="clear" w:color="auto" w:fill="auto"/>
                </w:rPr>
                <w:fldChar w:fldCharType="begin"/>
              </w:r>
              <w:r>
                <w:rPr>
                  <w:rFonts w:ascii="黑体" w:hAnsi="黑体" w:eastAsia="黑体" w:cs="黑体"/>
                  <w:color w:val="auto"/>
                  <w:sz w:val="32"/>
                  <w:szCs w:val="32"/>
                  <w:highlight w:val="none"/>
                  <w:shd w:val="clear" w:color="auto" w:fill="auto"/>
                </w:rPr>
                <w:instrText xml:space="preserve"> PAGEREF _Toc99379227 \h </w:instrText>
              </w:r>
              <w:r>
                <w:rPr>
                  <w:rFonts w:ascii="黑体" w:hAnsi="黑体" w:eastAsia="黑体" w:cs="黑体"/>
                  <w:color w:val="auto"/>
                  <w:sz w:val="32"/>
                  <w:szCs w:val="32"/>
                  <w:highlight w:val="none"/>
                  <w:shd w:val="clear" w:color="auto" w:fill="auto"/>
                </w:rPr>
                <w:fldChar w:fldCharType="separate"/>
              </w:r>
              <w:r>
                <w:rPr>
                  <w:rFonts w:ascii="黑体" w:hAnsi="黑体" w:eastAsia="黑体" w:cs="黑体"/>
                  <w:color w:val="auto"/>
                  <w:sz w:val="32"/>
                  <w:szCs w:val="32"/>
                  <w:highlight w:val="none"/>
                  <w:shd w:val="clear" w:color="auto" w:fill="auto"/>
                </w:rPr>
                <w:t>1</w:t>
              </w:r>
              <w:r>
                <w:rPr>
                  <w:rFonts w:ascii="黑体" w:hAnsi="黑体" w:eastAsia="黑体" w:cs="黑体"/>
                  <w:color w:val="auto"/>
                  <w:sz w:val="32"/>
                  <w:szCs w:val="32"/>
                  <w:highlight w:val="none"/>
                  <w:shd w:val="clear" w:color="auto" w:fill="auto"/>
                </w:rPr>
                <w:fldChar w:fldCharType="end"/>
              </w:r>
              <w:r>
                <w:rPr>
                  <w:rFonts w:ascii="黑体" w:hAnsi="黑体" w:eastAsia="黑体" w:cs="黑体"/>
                  <w:color w:val="auto"/>
                  <w:sz w:val="32"/>
                  <w:szCs w:val="32"/>
                  <w:highlight w:val="none"/>
                  <w:shd w:val="clear" w:color="auto" w:fill="auto"/>
                </w:rPr>
                <w:fldChar w:fldCharType="end"/>
              </w:r>
            </w:p>
            <w:p>
              <w:pPr>
                <w:pStyle w:val="13"/>
                <w:tabs>
                  <w:tab w:val="right" w:leader="dot" w:pos="8834"/>
                </w:tabs>
                <w:spacing w:line="800" w:lineRule="exact"/>
                <w:ind w:firstLine="640"/>
                <w:rPr>
                  <w:rFonts w:ascii="黑体" w:hAnsi="黑体" w:eastAsia="黑体" w:cs="黑体"/>
                  <w:color w:val="auto"/>
                  <w:sz w:val="32"/>
                  <w:szCs w:val="32"/>
                  <w:highlight w:val="none"/>
                  <w:shd w:val="clear" w:color="auto" w:fill="auto"/>
                </w:rPr>
              </w:pPr>
              <w:r>
                <w:rPr>
                  <w:rFonts w:ascii="黑体" w:hAnsi="黑体" w:eastAsia="黑体" w:cs="黑体"/>
                  <w:color w:val="auto"/>
                  <w:sz w:val="32"/>
                  <w:szCs w:val="32"/>
                  <w:highlight w:val="none"/>
                  <w:shd w:val="clear" w:color="auto" w:fill="auto"/>
                </w:rPr>
                <w:fldChar w:fldCharType="begin"/>
              </w:r>
              <w:r>
                <w:rPr>
                  <w:rFonts w:ascii="黑体" w:hAnsi="黑体" w:eastAsia="黑体" w:cs="黑体"/>
                  <w:color w:val="auto"/>
                  <w:sz w:val="32"/>
                  <w:szCs w:val="32"/>
                  <w:highlight w:val="none"/>
                  <w:shd w:val="clear" w:color="auto" w:fill="auto"/>
                </w:rPr>
                <w:instrText xml:space="preserve"> HYPERLINK \l "_Toc99379228" </w:instrText>
              </w:r>
              <w:r>
                <w:rPr>
                  <w:rFonts w:ascii="黑体" w:hAnsi="黑体" w:eastAsia="黑体" w:cs="黑体"/>
                  <w:color w:val="auto"/>
                  <w:sz w:val="32"/>
                  <w:szCs w:val="32"/>
                  <w:highlight w:val="none"/>
                  <w:shd w:val="clear" w:color="auto" w:fill="auto"/>
                </w:rPr>
                <w:fldChar w:fldCharType="separate"/>
              </w:r>
              <w:r>
                <w:rPr>
                  <w:rStyle w:val="23"/>
                  <w:rFonts w:hint="eastAsia" w:ascii="黑体" w:hAnsi="黑体" w:eastAsia="黑体" w:cs="黑体"/>
                  <w:color w:val="auto"/>
                  <w:sz w:val="32"/>
                  <w:szCs w:val="32"/>
                  <w:highlight w:val="none"/>
                  <w:shd w:val="clear" w:color="auto" w:fill="auto"/>
                </w:rPr>
                <w:t>转让须知</w:t>
              </w:r>
              <w:r>
                <w:rPr>
                  <w:rFonts w:ascii="黑体" w:hAnsi="黑体" w:eastAsia="黑体" w:cs="黑体"/>
                  <w:color w:val="auto"/>
                  <w:sz w:val="32"/>
                  <w:szCs w:val="32"/>
                  <w:highlight w:val="none"/>
                  <w:shd w:val="clear" w:color="auto" w:fill="auto"/>
                </w:rPr>
                <w:tab/>
              </w:r>
              <w:r>
                <w:rPr>
                  <w:rFonts w:ascii="黑体" w:hAnsi="黑体" w:eastAsia="黑体" w:cs="黑体"/>
                  <w:color w:val="auto"/>
                  <w:sz w:val="32"/>
                  <w:szCs w:val="32"/>
                  <w:highlight w:val="none"/>
                  <w:shd w:val="clear" w:color="auto" w:fill="auto"/>
                </w:rPr>
                <w:fldChar w:fldCharType="begin"/>
              </w:r>
              <w:r>
                <w:rPr>
                  <w:rFonts w:ascii="黑体" w:hAnsi="黑体" w:eastAsia="黑体" w:cs="黑体"/>
                  <w:color w:val="auto"/>
                  <w:sz w:val="32"/>
                  <w:szCs w:val="32"/>
                  <w:highlight w:val="none"/>
                  <w:shd w:val="clear" w:color="auto" w:fill="auto"/>
                </w:rPr>
                <w:instrText xml:space="preserve"> PAGEREF _Toc99379228 \h </w:instrText>
              </w:r>
              <w:r>
                <w:rPr>
                  <w:rFonts w:ascii="黑体" w:hAnsi="黑体" w:eastAsia="黑体" w:cs="黑体"/>
                  <w:color w:val="auto"/>
                  <w:sz w:val="32"/>
                  <w:szCs w:val="32"/>
                  <w:highlight w:val="none"/>
                  <w:shd w:val="clear" w:color="auto" w:fill="auto"/>
                </w:rPr>
                <w:fldChar w:fldCharType="separate"/>
              </w:r>
              <w:r>
                <w:rPr>
                  <w:rFonts w:ascii="黑体" w:hAnsi="黑体" w:eastAsia="黑体" w:cs="黑体"/>
                  <w:color w:val="auto"/>
                  <w:sz w:val="32"/>
                  <w:szCs w:val="32"/>
                  <w:highlight w:val="none"/>
                  <w:shd w:val="clear" w:color="auto" w:fill="auto"/>
                </w:rPr>
                <w:t>3</w:t>
              </w:r>
              <w:r>
                <w:rPr>
                  <w:rFonts w:ascii="黑体" w:hAnsi="黑体" w:eastAsia="黑体" w:cs="黑体"/>
                  <w:color w:val="auto"/>
                  <w:sz w:val="32"/>
                  <w:szCs w:val="32"/>
                  <w:highlight w:val="none"/>
                  <w:shd w:val="clear" w:color="auto" w:fill="auto"/>
                </w:rPr>
                <w:fldChar w:fldCharType="end"/>
              </w:r>
              <w:r>
                <w:rPr>
                  <w:rFonts w:ascii="黑体" w:hAnsi="黑体" w:eastAsia="黑体" w:cs="黑体"/>
                  <w:color w:val="auto"/>
                  <w:sz w:val="32"/>
                  <w:szCs w:val="32"/>
                  <w:highlight w:val="none"/>
                  <w:shd w:val="clear" w:color="auto" w:fill="auto"/>
                </w:rPr>
                <w:fldChar w:fldCharType="end"/>
              </w:r>
            </w:p>
            <w:p>
              <w:pPr>
                <w:pStyle w:val="13"/>
                <w:tabs>
                  <w:tab w:val="right" w:leader="dot" w:pos="8834"/>
                </w:tabs>
                <w:spacing w:line="800" w:lineRule="exact"/>
                <w:ind w:firstLine="640"/>
                <w:rPr>
                  <w:rFonts w:ascii="黑体" w:hAnsi="黑体" w:eastAsia="黑体" w:cs="黑体"/>
                  <w:color w:val="auto"/>
                  <w:sz w:val="32"/>
                  <w:szCs w:val="32"/>
                  <w:highlight w:val="none"/>
                  <w:shd w:val="clear" w:color="auto" w:fill="auto"/>
                </w:rPr>
              </w:pPr>
              <w:r>
                <w:rPr>
                  <w:rFonts w:ascii="黑体" w:hAnsi="黑体" w:eastAsia="黑体" w:cs="黑体"/>
                  <w:color w:val="auto"/>
                  <w:sz w:val="32"/>
                  <w:szCs w:val="32"/>
                  <w:highlight w:val="none"/>
                  <w:shd w:val="clear" w:color="auto" w:fill="auto"/>
                </w:rPr>
                <w:fldChar w:fldCharType="begin"/>
              </w:r>
              <w:r>
                <w:rPr>
                  <w:rFonts w:ascii="黑体" w:hAnsi="黑体" w:eastAsia="黑体" w:cs="黑体"/>
                  <w:color w:val="auto"/>
                  <w:sz w:val="32"/>
                  <w:szCs w:val="32"/>
                  <w:highlight w:val="none"/>
                  <w:shd w:val="clear" w:color="auto" w:fill="auto"/>
                </w:rPr>
                <w:instrText xml:space="preserve"> HYPERLINK \l "_Toc99379229" </w:instrText>
              </w:r>
              <w:r>
                <w:rPr>
                  <w:rFonts w:ascii="黑体" w:hAnsi="黑体" w:eastAsia="黑体" w:cs="黑体"/>
                  <w:color w:val="auto"/>
                  <w:sz w:val="32"/>
                  <w:szCs w:val="32"/>
                  <w:highlight w:val="none"/>
                  <w:shd w:val="clear" w:color="auto" w:fill="auto"/>
                </w:rPr>
                <w:fldChar w:fldCharType="separate"/>
              </w:r>
              <w:r>
                <w:rPr>
                  <w:rStyle w:val="23"/>
                  <w:rFonts w:hint="eastAsia" w:ascii="黑体" w:hAnsi="黑体" w:eastAsia="黑体" w:cs="黑体"/>
                  <w:color w:val="auto"/>
                  <w:sz w:val="32"/>
                  <w:szCs w:val="32"/>
                  <w:highlight w:val="none"/>
                  <w:shd w:val="clear" w:color="auto" w:fill="auto"/>
                </w:rPr>
                <w:t>竞买申请书</w:t>
              </w:r>
              <w:r>
                <w:rPr>
                  <w:rFonts w:ascii="黑体" w:hAnsi="黑体" w:eastAsia="黑体" w:cs="黑体"/>
                  <w:color w:val="auto"/>
                  <w:sz w:val="32"/>
                  <w:szCs w:val="32"/>
                  <w:highlight w:val="none"/>
                  <w:shd w:val="clear" w:color="auto" w:fill="auto"/>
                </w:rPr>
                <w:tab/>
              </w:r>
              <w:r>
                <w:rPr>
                  <w:rFonts w:ascii="黑体" w:hAnsi="黑体" w:eastAsia="黑体" w:cs="黑体"/>
                  <w:color w:val="auto"/>
                  <w:sz w:val="32"/>
                  <w:szCs w:val="32"/>
                  <w:highlight w:val="none"/>
                  <w:shd w:val="clear" w:color="auto" w:fill="auto"/>
                </w:rPr>
                <w:fldChar w:fldCharType="begin"/>
              </w:r>
              <w:r>
                <w:rPr>
                  <w:rFonts w:ascii="黑体" w:hAnsi="黑体" w:eastAsia="黑体" w:cs="黑体"/>
                  <w:color w:val="auto"/>
                  <w:sz w:val="32"/>
                  <w:szCs w:val="32"/>
                  <w:highlight w:val="none"/>
                  <w:shd w:val="clear" w:color="auto" w:fill="auto"/>
                </w:rPr>
                <w:instrText xml:space="preserve"> PAGEREF _Toc99379229 \h </w:instrText>
              </w:r>
              <w:r>
                <w:rPr>
                  <w:rFonts w:ascii="黑体" w:hAnsi="黑体" w:eastAsia="黑体" w:cs="黑体"/>
                  <w:color w:val="auto"/>
                  <w:sz w:val="32"/>
                  <w:szCs w:val="32"/>
                  <w:highlight w:val="none"/>
                  <w:shd w:val="clear" w:color="auto" w:fill="auto"/>
                </w:rPr>
                <w:fldChar w:fldCharType="separate"/>
              </w:r>
              <w:r>
                <w:rPr>
                  <w:rFonts w:ascii="黑体" w:hAnsi="黑体" w:eastAsia="黑体" w:cs="黑体"/>
                  <w:color w:val="auto"/>
                  <w:sz w:val="32"/>
                  <w:szCs w:val="32"/>
                  <w:highlight w:val="none"/>
                  <w:shd w:val="clear" w:color="auto" w:fill="auto"/>
                </w:rPr>
                <w:t>11</w:t>
              </w:r>
              <w:r>
                <w:rPr>
                  <w:rFonts w:ascii="黑体" w:hAnsi="黑体" w:eastAsia="黑体" w:cs="黑体"/>
                  <w:color w:val="auto"/>
                  <w:sz w:val="32"/>
                  <w:szCs w:val="32"/>
                  <w:highlight w:val="none"/>
                  <w:shd w:val="clear" w:color="auto" w:fill="auto"/>
                </w:rPr>
                <w:fldChar w:fldCharType="end"/>
              </w:r>
              <w:r>
                <w:rPr>
                  <w:rFonts w:ascii="黑体" w:hAnsi="黑体" w:eastAsia="黑体" w:cs="黑体"/>
                  <w:color w:val="auto"/>
                  <w:sz w:val="32"/>
                  <w:szCs w:val="32"/>
                  <w:highlight w:val="none"/>
                  <w:shd w:val="clear" w:color="auto" w:fill="auto"/>
                </w:rPr>
                <w:fldChar w:fldCharType="end"/>
              </w:r>
            </w:p>
            <w:p>
              <w:pPr>
                <w:pStyle w:val="13"/>
                <w:tabs>
                  <w:tab w:val="right" w:leader="dot" w:pos="8834"/>
                </w:tabs>
                <w:spacing w:line="800" w:lineRule="exact"/>
                <w:ind w:firstLine="640"/>
                <w:rPr>
                  <w:rFonts w:ascii="黑体" w:hAnsi="黑体" w:eastAsia="黑体" w:cs="黑体"/>
                  <w:color w:val="auto"/>
                  <w:sz w:val="32"/>
                  <w:szCs w:val="32"/>
                  <w:highlight w:val="none"/>
                  <w:shd w:val="clear" w:color="auto" w:fill="auto"/>
                </w:rPr>
              </w:pPr>
              <w:r>
                <w:rPr>
                  <w:rFonts w:ascii="黑体" w:hAnsi="黑体" w:eastAsia="黑体" w:cs="黑体"/>
                  <w:color w:val="auto"/>
                  <w:sz w:val="32"/>
                  <w:szCs w:val="32"/>
                  <w:highlight w:val="none"/>
                  <w:shd w:val="clear" w:color="auto" w:fill="auto"/>
                </w:rPr>
                <w:fldChar w:fldCharType="begin"/>
              </w:r>
              <w:r>
                <w:rPr>
                  <w:rFonts w:ascii="黑体" w:hAnsi="黑体" w:eastAsia="黑体" w:cs="黑体"/>
                  <w:color w:val="auto"/>
                  <w:sz w:val="32"/>
                  <w:szCs w:val="32"/>
                  <w:highlight w:val="none"/>
                  <w:shd w:val="clear" w:color="auto" w:fill="auto"/>
                </w:rPr>
                <w:instrText xml:space="preserve"> HYPERLINK \l "_Toc99379230" </w:instrText>
              </w:r>
              <w:r>
                <w:rPr>
                  <w:rFonts w:ascii="黑体" w:hAnsi="黑体" w:eastAsia="黑体" w:cs="黑体"/>
                  <w:color w:val="auto"/>
                  <w:sz w:val="32"/>
                  <w:szCs w:val="32"/>
                  <w:highlight w:val="none"/>
                  <w:shd w:val="clear" w:color="auto" w:fill="auto"/>
                </w:rPr>
                <w:fldChar w:fldCharType="separate"/>
              </w:r>
              <w:r>
                <w:rPr>
                  <w:rStyle w:val="23"/>
                  <w:rFonts w:hint="eastAsia" w:ascii="黑体" w:hAnsi="黑体" w:eastAsia="黑体" w:cs="黑体"/>
                  <w:color w:val="auto"/>
                  <w:sz w:val="32"/>
                  <w:szCs w:val="32"/>
                  <w:highlight w:val="none"/>
                  <w:shd w:val="clear" w:color="auto" w:fill="auto"/>
                </w:rPr>
                <w:t>竞买人承诺函</w:t>
              </w:r>
              <w:r>
                <w:rPr>
                  <w:rFonts w:ascii="黑体" w:hAnsi="黑体" w:eastAsia="黑体" w:cs="黑体"/>
                  <w:color w:val="auto"/>
                  <w:sz w:val="32"/>
                  <w:szCs w:val="32"/>
                  <w:highlight w:val="none"/>
                  <w:shd w:val="clear" w:color="auto" w:fill="auto"/>
                </w:rPr>
                <w:tab/>
              </w:r>
              <w:r>
                <w:rPr>
                  <w:rFonts w:ascii="黑体" w:hAnsi="黑体" w:eastAsia="黑体" w:cs="黑体"/>
                  <w:color w:val="auto"/>
                  <w:sz w:val="32"/>
                  <w:szCs w:val="32"/>
                  <w:highlight w:val="none"/>
                  <w:shd w:val="clear" w:color="auto" w:fill="auto"/>
                </w:rPr>
                <w:fldChar w:fldCharType="begin"/>
              </w:r>
              <w:r>
                <w:rPr>
                  <w:rFonts w:ascii="黑体" w:hAnsi="黑体" w:eastAsia="黑体" w:cs="黑体"/>
                  <w:color w:val="auto"/>
                  <w:sz w:val="32"/>
                  <w:szCs w:val="32"/>
                  <w:highlight w:val="none"/>
                  <w:shd w:val="clear" w:color="auto" w:fill="auto"/>
                </w:rPr>
                <w:instrText xml:space="preserve"> PAGEREF _Toc99379230 \h </w:instrText>
              </w:r>
              <w:r>
                <w:rPr>
                  <w:rFonts w:ascii="黑体" w:hAnsi="黑体" w:eastAsia="黑体" w:cs="黑体"/>
                  <w:color w:val="auto"/>
                  <w:sz w:val="32"/>
                  <w:szCs w:val="32"/>
                  <w:highlight w:val="none"/>
                  <w:shd w:val="clear" w:color="auto" w:fill="auto"/>
                </w:rPr>
                <w:fldChar w:fldCharType="separate"/>
              </w:r>
              <w:r>
                <w:rPr>
                  <w:rFonts w:ascii="黑体" w:hAnsi="黑体" w:eastAsia="黑体" w:cs="黑体"/>
                  <w:color w:val="auto"/>
                  <w:sz w:val="32"/>
                  <w:szCs w:val="32"/>
                  <w:highlight w:val="none"/>
                  <w:shd w:val="clear" w:color="auto" w:fill="auto"/>
                </w:rPr>
                <w:t>12</w:t>
              </w:r>
              <w:r>
                <w:rPr>
                  <w:rFonts w:ascii="黑体" w:hAnsi="黑体" w:eastAsia="黑体" w:cs="黑体"/>
                  <w:color w:val="auto"/>
                  <w:sz w:val="32"/>
                  <w:szCs w:val="32"/>
                  <w:highlight w:val="none"/>
                  <w:shd w:val="clear" w:color="auto" w:fill="auto"/>
                </w:rPr>
                <w:fldChar w:fldCharType="end"/>
              </w:r>
              <w:r>
                <w:rPr>
                  <w:rFonts w:ascii="黑体" w:hAnsi="黑体" w:eastAsia="黑体" w:cs="黑体"/>
                  <w:color w:val="auto"/>
                  <w:sz w:val="32"/>
                  <w:szCs w:val="32"/>
                  <w:highlight w:val="none"/>
                  <w:shd w:val="clear" w:color="auto" w:fill="auto"/>
                </w:rPr>
                <w:fldChar w:fldCharType="end"/>
              </w:r>
            </w:p>
            <w:p>
              <w:pPr>
                <w:pStyle w:val="13"/>
                <w:tabs>
                  <w:tab w:val="right" w:leader="dot" w:pos="8834"/>
                </w:tabs>
                <w:spacing w:line="800" w:lineRule="exact"/>
                <w:ind w:firstLine="640"/>
                <w:rPr>
                  <w:rFonts w:ascii="黑体" w:hAnsi="黑体" w:eastAsia="黑体" w:cs="黑体"/>
                  <w:color w:val="auto"/>
                  <w:sz w:val="32"/>
                  <w:szCs w:val="32"/>
                  <w:highlight w:val="none"/>
                  <w:shd w:val="clear" w:color="auto" w:fill="auto"/>
                </w:rPr>
              </w:pPr>
              <w:r>
                <w:rPr>
                  <w:rFonts w:ascii="黑体" w:hAnsi="黑体" w:eastAsia="黑体" w:cs="黑体"/>
                  <w:color w:val="auto"/>
                  <w:sz w:val="32"/>
                  <w:szCs w:val="32"/>
                  <w:highlight w:val="none"/>
                  <w:shd w:val="clear" w:color="auto" w:fill="auto"/>
                </w:rPr>
                <w:fldChar w:fldCharType="begin"/>
              </w:r>
              <w:r>
                <w:rPr>
                  <w:rFonts w:ascii="黑体" w:hAnsi="黑体" w:eastAsia="黑体" w:cs="黑体"/>
                  <w:color w:val="auto"/>
                  <w:sz w:val="32"/>
                  <w:szCs w:val="32"/>
                  <w:highlight w:val="none"/>
                  <w:shd w:val="clear" w:color="auto" w:fill="auto"/>
                </w:rPr>
                <w:instrText xml:space="preserve"> HYPERLINK \l "_Toc99379231" </w:instrText>
              </w:r>
              <w:r>
                <w:rPr>
                  <w:rFonts w:ascii="黑体" w:hAnsi="黑体" w:eastAsia="黑体" w:cs="黑体"/>
                  <w:color w:val="auto"/>
                  <w:sz w:val="32"/>
                  <w:szCs w:val="32"/>
                  <w:highlight w:val="none"/>
                  <w:shd w:val="clear" w:color="auto" w:fill="auto"/>
                </w:rPr>
                <w:fldChar w:fldCharType="separate"/>
              </w:r>
              <w:r>
                <w:rPr>
                  <w:rStyle w:val="23"/>
                  <w:rFonts w:hint="eastAsia" w:ascii="黑体" w:hAnsi="黑体" w:eastAsia="黑体" w:cs="黑体"/>
                  <w:color w:val="auto"/>
                  <w:sz w:val="32"/>
                  <w:szCs w:val="32"/>
                  <w:highlight w:val="none"/>
                  <w:shd w:val="clear" w:color="auto" w:fill="auto"/>
                </w:rPr>
                <w:t>转让合同</w:t>
              </w:r>
              <w:r>
                <w:rPr>
                  <w:rFonts w:ascii="黑体" w:hAnsi="黑体" w:eastAsia="黑体" w:cs="黑体"/>
                  <w:color w:val="auto"/>
                  <w:sz w:val="32"/>
                  <w:szCs w:val="32"/>
                  <w:highlight w:val="none"/>
                  <w:shd w:val="clear" w:color="auto" w:fill="auto"/>
                </w:rPr>
                <w:tab/>
              </w:r>
              <w:r>
                <w:rPr>
                  <w:rFonts w:ascii="黑体" w:hAnsi="黑体" w:eastAsia="黑体" w:cs="黑体"/>
                  <w:color w:val="auto"/>
                  <w:sz w:val="32"/>
                  <w:szCs w:val="32"/>
                  <w:highlight w:val="none"/>
                  <w:shd w:val="clear" w:color="auto" w:fill="auto"/>
                </w:rPr>
                <w:fldChar w:fldCharType="begin"/>
              </w:r>
              <w:r>
                <w:rPr>
                  <w:rFonts w:ascii="黑体" w:hAnsi="黑体" w:eastAsia="黑体" w:cs="黑体"/>
                  <w:color w:val="auto"/>
                  <w:sz w:val="32"/>
                  <w:szCs w:val="32"/>
                  <w:highlight w:val="none"/>
                  <w:shd w:val="clear" w:color="auto" w:fill="auto"/>
                </w:rPr>
                <w:instrText xml:space="preserve"> PAGEREF _Toc99379231 \h </w:instrText>
              </w:r>
              <w:r>
                <w:rPr>
                  <w:rFonts w:ascii="黑体" w:hAnsi="黑体" w:eastAsia="黑体" w:cs="黑体"/>
                  <w:color w:val="auto"/>
                  <w:sz w:val="32"/>
                  <w:szCs w:val="32"/>
                  <w:highlight w:val="none"/>
                  <w:shd w:val="clear" w:color="auto" w:fill="auto"/>
                </w:rPr>
                <w:fldChar w:fldCharType="separate"/>
              </w:r>
              <w:r>
                <w:rPr>
                  <w:rFonts w:ascii="黑体" w:hAnsi="黑体" w:eastAsia="黑体" w:cs="黑体"/>
                  <w:color w:val="auto"/>
                  <w:sz w:val="32"/>
                  <w:szCs w:val="32"/>
                  <w:highlight w:val="none"/>
                  <w:shd w:val="clear" w:color="auto" w:fill="auto"/>
                </w:rPr>
                <w:t>14</w:t>
              </w:r>
              <w:r>
                <w:rPr>
                  <w:rFonts w:ascii="黑体" w:hAnsi="黑体" w:eastAsia="黑体" w:cs="黑体"/>
                  <w:color w:val="auto"/>
                  <w:sz w:val="32"/>
                  <w:szCs w:val="32"/>
                  <w:highlight w:val="none"/>
                  <w:shd w:val="clear" w:color="auto" w:fill="auto"/>
                </w:rPr>
                <w:fldChar w:fldCharType="end"/>
              </w:r>
              <w:r>
                <w:rPr>
                  <w:rFonts w:ascii="黑体" w:hAnsi="黑体" w:eastAsia="黑体" w:cs="黑体"/>
                  <w:color w:val="auto"/>
                  <w:sz w:val="32"/>
                  <w:szCs w:val="32"/>
                  <w:highlight w:val="none"/>
                  <w:shd w:val="clear" w:color="auto" w:fill="auto"/>
                </w:rPr>
                <w:fldChar w:fldCharType="end"/>
              </w:r>
            </w:p>
            <w:p>
              <w:pPr>
                <w:pStyle w:val="13"/>
                <w:tabs>
                  <w:tab w:val="right" w:leader="dot" w:pos="8834"/>
                </w:tabs>
                <w:spacing w:line="800" w:lineRule="exact"/>
                <w:ind w:firstLine="640"/>
                <w:rPr>
                  <w:rFonts w:ascii="黑体" w:hAnsi="黑体" w:eastAsia="黑体" w:cs="黑体"/>
                  <w:color w:val="auto"/>
                  <w:sz w:val="32"/>
                  <w:szCs w:val="32"/>
                  <w:highlight w:val="none"/>
                  <w:shd w:val="clear" w:color="auto" w:fill="auto"/>
                </w:rPr>
              </w:pPr>
              <w:r>
                <w:rPr>
                  <w:rFonts w:ascii="黑体" w:hAnsi="黑体" w:eastAsia="黑体" w:cs="黑体"/>
                  <w:color w:val="auto"/>
                  <w:sz w:val="32"/>
                  <w:szCs w:val="32"/>
                  <w:highlight w:val="none"/>
                  <w:shd w:val="clear" w:color="auto" w:fill="auto"/>
                </w:rPr>
                <w:fldChar w:fldCharType="begin"/>
              </w:r>
              <w:r>
                <w:rPr>
                  <w:rFonts w:ascii="黑体" w:hAnsi="黑体" w:eastAsia="黑体" w:cs="黑体"/>
                  <w:color w:val="auto"/>
                  <w:sz w:val="32"/>
                  <w:szCs w:val="32"/>
                  <w:highlight w:val="none"/>
                  <w:shd w:val="clear" w:color="auto" w:fill="auto"/>
                </w:rPr>
                <w:instrText xml:space="preserve"> HYPERLINK \l "_Toc99379232" </w:instrText>
              </w:r>
              <w:r>
                <w:rPr>
                  <w:rFonts w:ascii="黑体" w:hAnsi="黑体" w:eastAsia="黑体" w:cs="黑体"/>
                  <w:color w:val="auto"/>
                  <w:sz w:val="32"/>
                  <w:szCs w:val="32"/>
                  <w:highlight w:val="none"/>
                  <w:shd w:val="clear" w:color="auto" w:fill="auto"/>
                </w:rPr>
                <w:fldChar w:fldCharType="separate"/>
              </w:r>
              <w:r>
                <w:rPr>
                  <w:rStyle w:val="23"/>
                  <w:rFonts w:hint="eastAsia" w:ascii="黑体" w:hAnsi="黑体" w:eastAsia="黑体" w:cs="黑体"/>
                  <w:color w:val="auto"/>
                  <w:sz w:val="32"/>
                  <w:szCs w:val="32"/>
                  <w:highlight w:val="none"/>
                  <w:shd w:val="clear" w:color="auto" w:fill="auto"/>
                </w:rPr>
                <w:t>转让股权相关信息</w:t>
              </w:r>
              <w:r>
                <w:rPr>
                  <w:rFonts w:ascii="黑体" w:hAnsi="黑体" w:eastAsia="黑体" w:cs="黑体"/>
                  <w:color w:val="auto"/>
                  <w:sz w:val="32"/>
                  <w:szCs w:val="32"/>
                  <w:highlight w:val="none"/>
                  <w:shd w:val="clear" w:color="auto" w:fill="auto"/>
                </w:rPr>
                <w:tab/>
              </w:r>
              <w:r>
                <w:rPr>
                  <w:rFonts w:ascii="黑体" w:hAnsi="黑体" w:eastAsia="黑体" w:cs="黑体"/>
                  <w:color w:val="auto"/>
                  <w:sz w:val="32"/>
                  <w:szCs w:val="32"/>
                  <w:highlight w:val="none"/>
                  <w:shd w:val="clear" w:color="auto" w:fill="auto"/>
                </w:rPr>
                <w:fldChar w:fldCharType="begin"/>
              </w:r>
              <w:r>
                <w:rPr>
                  <w:rFonts w:ascii="黑体" w:hAnsi="黑体" w:eastAsia="黑体" w:cs="黑体"/>
                  <w:color w:val="auto"/>
                  <w:sz w:val="32"/>
                  <w:szCs w:val="32"/>
                  <w:highlight w:val="none"/>
                  <w:shd w:val="clear" w:color="auto" w:fill="auto"/>
                </w:rPr>
                <w:instrText xml:space="preserve"> PAGEREF _Toc99379232 \h </w:instrText>
              </w:r>
              <w:r>
                <w:rPr>
                  <w:rFonts w:ascii="黑体" w:hAnsi="黑体" w:eastAsia="黑体" w:cs="黑体"/>
                  <w:color w:val="auto"/>
                  <w:sz w:val="32"/>
                  <w:szCs w:val="32"/>
                  <w:highlight w:val="none"/>
                  <w:shd w:val="clear" w:color="auto" w:fill="auto"/>
                </w:rPr>
                <w:fldChar w:fldCharType="separate"/>
              </w:r>
              <w:r>
                <w:rPr>
                  <w:rFonts w:ascii="黑体" w:hAnsi="黑体" w:eastAsia="黑体" w:cs="黑体"/>
                  <w:color w:val="auto"/>
                  <w:sz w:val="32"/>
                  <w:szCs w:val="32"/>
                  <w:highlight w:val="none"/>
                  <w:shd w:val="clear" w:color="auto" w:fill="auto"/>
                </w:rPr>
                <w:t>24</w:t>
              </w:r>
              <w:r>
                <w:rPr>
                  <w:rFonts w:ascii="黑体" w:hAnsi="黑体" w:eastAsia="黑体" w:cs="黑体"/>
                  <w:color w:val="auto"/>
                  <w:sz w:val="32"/>
                  <w:szCs w:val="32"/>
                  <w:highlight w:val="none"/>
                  <w:shd w:val="clear" w:color="auto" w:fill="auto"/>
                </w:rPr>
                <w:fldChar w:fldCharType="end"/>
              </w:r>
              <w:r>
                <w:rPr>
                  <w:rFonts w:ascii="黑体" w:hAnsi="黑体" w:eastAsia="黑体" w:cs="黑体"/>
                  <w:color w:val="auto"/>
                  <w:sz w:val="32"/>
                  <w:szCs w:val="32"/>
                  <w:highlight w:val="none"/>
                  <w:shd w:val="clear" w:color="auto" w:fill="auto"/>
                </w:rPr>
                <w:fldChar w:fldCharType="end"/>
              </w:r>
            </w:p>
            <w:p>
              <w:pPr>
                <w:pStyle w:val="13"/>
                <w:tabs>
                  <w:tab w:val="right" w:leader="dot" w:pos="8834"/>
                </w:tabs>
                <w:spacing w:line="800" w:lineRule="exact"/>
                <w:ind w:firstLine="640"/>
                <w:rPr>
                  <w:rFonts w:asciiTheme="minorHAnsi" w:hAnsiTheme="minorHAnsi" w:eastAsiaTheme="minorEastAsia" w:cstheme="minorBidi"/>
                  <w:color w:val="auto"/>
                  <w:szCs w:val="22"/>
                  <w:highlight w:val="none"/>
                  <w:shd w:val="clear" w:color="auto" w:fill="auto"/>
                </w:rPr>
              </w:pPr>
              <w:r>
                <w:rPr>
                  <w:rFonts w:ascii="黑体" w:hAnsi="黑体" w:eastAsia="黑体" w:cs="黑体"/>
                  <w:color w:val="auto"/>
                  <w:sz w:val="32"/>
                  <w:szCs w:val="32"/>
                  <w:highlight w:val="none"/>
                  <w:shd w:val="clear" w:color="auto" w:fill="auto"/>
                </w:rPr>
                <w:fldChar w:fldCharType="begin"/>
              </w:r>
              <w:r>
                <w:rPr>
                  <w:rFonts w:ascii="黑体" w:hAnsi="黑体" w:eastAsia="黑体" w:cs="黑体"/>
                  <w:color w:val="auto"/>
                  <w:sz w:val="32"/>
                  <w:szCs w:val="32"/>
                  <w:highlight w:val="none"/>
                  <w:shd w:val="clear" w:color="auto" w:fill="auto"/>
                </w:rPr>
                <w:instrText xml:space="preserve"> HYPERLINK \l "_Toc99379233" </w:instrText>
              </w:r>
              <w:r>
                <w:rPr>
                  <w:rFonts w:ascii="黑体" w:hAnsi="黑体" w:eastAsia="黑体" w:cs="黑体"/>
                  <w:color w:val="auto"/>
                  <w:sz w:val="32"/>
                  <w:szCs w:val="32"/>
                  <w:highlight w:val="none"/>
                  <w:shd w:val="clear" w:color="auto" w:fill="auto"/>
                </w:rPr>
                <w:fldChar w:fldCharType="separate"/>
              </w:r>
              <w:r>
                <w:rPr>
                  <w:rStyle w:val="23"/>
                  <w:rFonts w:hint="eastAsia" w:ascii="黑体" w:hAnsi="黑体" w:eastAsia="黑体" w:cs="黑体"/>
                  <w:color w:val="auto"/>
                  <w:sz w:val="32"/>
                  <w:szCs w:val="32"/>
                  <w:highlight w:val="none"/>
                  <w:shd w:val="clear" w:color="auto" w:fill="auto"/>
                </w:rPr>
                <w:t>台州市产权交易所有限公司简介</w:t>
              </w:r>
              <w:r>
                <w:rPr>
                  <w:rFonts w:ascii="黑体" w:hAnsi="黑体" w:eastAsia="黑体" w:cs="黑体"/>
                  <w:color w:val="auto"/>
                  <w:sz w:val="32"/>
                  <w:szCs w:val="32"/>
                  <w:highlight w:val="none"/>
                  <w:shd w:val="clear" w:color="auto" w:fill="auto"/>
                </w:rPr>
                <w:tab/>
              </w:r>
              <w:r>
                <w:rPr>
                  <w:rFonts w:ascii="黑体" w:hAnsi="黑体" w:eastAsia="黑体" w:cs="黑体"/>
                  <w:color w:val="auto"/>
                  <w:sz w:val="32"/>
                  <w:szCs w:val="32"/>
                  <w:highlight w:val="none"/>
                  <w:shd w:val="clear" w:color="auto" w:fill="auto"/>
                </w:rPr>
                <w:fldChar w:fldCharType="begin"/>
              </w:r>
              <w:r>
                <w:rPr>
                  <w:rFonts w:ascii="黑体" w:hAnsi="黑体" w:eastAsia="黑体" w:cs="黑体"/>
                  <w:color w:val="auto"/>
                  <w:sz w:val="32"/>
                  <w:szCs w:val="32"/>
                  <w:highlight w:val="none"/>
                  <w:shd w:val="clear" w:color="auto" w:fill="auto"/>
                </w:rPr>
                <w:instrText xml:space="preserve"> PAGEREF _Toc99379233 \h </w:instrText>
              </w:r>
              <w:r>
                <w:rPr>
                  <w:rFonts w:ascii="黑体" w:hAnsi="黑体" w:eastAsia="黑体" w:cs="黑体"/>
                  <w:color w:val="auto"/>
                  <w:sz w:val="32"/>
                  <w:szCs w:val="32"/>
                  <w:highlight w:val="none"/>
                  <w:shd w:val="clear" w:color="auto" w:fill="auto"/>
                </w:rPr>
                <w:fldChar w:fldCharType="separate"/>
              </w:r>
              <w:r>
                <w:rPr>
                  <w:rFonts w:ascii="黑体" w:hAnsi="黑体" w:eastAsia="黑体" w:cs="黑体"/>
                  <w:color w:val="auto"/>
                  <w:sz w:val="32"/>
                  <w:szCs w:val="32"/>
                  <w:highlight w:val="none"/>
                  <w:shd w:val="clear" w:color="auto" w:fill="auto"/>
                </w:rPr>
                <w:t>27</w:t>
              </w:r>
              <w:r>
                <w:rPr>
                  <w:rFonts w:ascii="黑体" w:hAnsi="黑体" w:eastAsia="黑体" w:cs="黑体"/>
                  <w:color w:val="auto"/>
                  <w:sz w:val="32"/>
                  <w:szCs w:val="32"/>
                  <w:highlight w:val="none"/>
                  <w:shd w:val="clear" w:color="auto" w:fill="auto"/>
                </w:rPr>
                <w:fldChar w:fldCharType="end"/>
              </w:r>
              <w:r>
                <w:rPr>
                  <w:rFonts w:ascii="黑体" w:hAnsi="黑体" w:eastAsia="黑体" w:cs="黑体"/>
                  <w:color w:val="auto"/>
                  <w:sz w:val="32"/>
                  <w:szCs w:val="32"/>
                  <w:highlight w:val="none"/>
                  <w:shd w:val="clear" w:color="auto" w:fill="auto"/>
                </w:rPr>
                <w:fldChar w:fldCharType="end"/>
              </w:r>
            </w:p>
            <w:p>
              <w:pPr>
                <w:pStyle w:val="13"/>
                <w:tabs>
                  <w:tab w:val="right" w:leader="dot" w:pos="8834"/>
                </w:tabs>
                <w:spacing w:line="800" w:lineRule="exact"/>
                <w:ind w:firstLine="640" w:firstLineChars="200"/>
                <w:rPr>
                  <w:color w:val="auto"/>
                  <w:highlight w:val="none"/>
                  <w:shd w:val="clear" w:color="auto" w:fill="auto"/>
                </w:rPr>
              </w:pPr>
              <w:r>
                <w:rPr>
                  <w:color w:val="auto"/>
                  <w:sz w:val="32"/>
                  <w:szCs w:val="32"/>
                  <w:highlight w:val="none"/>
                  <w:shd w:val="clear" w:color="auto" w:fill="auto"/>
                  <w:lang w:val="zh-CN"/>
                </w:rPr>
                <w:fldChar w:fldCharType="end"/>
              </w:r>
            </w:p>
          </w:sdtContent>
        </w:sdt>
        <w:p>
          <w:pPr>
            <w:pStyle w:val="13"/>
            <w:tabs>
              <w:tab w:val="right" w:leader="dot" w:pos="8834"/>
            </w:tabs>
            <w:spacing w:line="800" w:lineRule="exact"/>
            <w:ind w:firstLine="420" w:firstLineChars="200"/>
            <w:rPr>
              <w:color w:val="auto"/>
              <w:sz w:val="32"/>
              <w:szCs w:val="32"/>
              <w:highlight w:val="none"/>
              <w:shd w:val="clear" w:color="auto" w:fill="auto"/>
            </w:rPr>
          </w:pPr>
        </w:p>
      </w:sdtContent>
    </w:sdt>
    <w:p>
      <w:pPr>
        <w:ind w:firstLine="562"/>
        <w:rPr>
          <w:rFonts w:ascii="宋体" w:hAnsi="宋体"/>
          <w:b/>
          <w:bCs/>
          <w:color w:val="auto"/>
          <w:sz w:val="28"/>
          <w:szCs w:val="28"/>
          <w:highlight w:val="none"/>
          <w:shd w:val="clear" w:color="auto" w:fill="auto"/>
        </w:rPr>
      </w:pPr>
    </w:p>
    <w:p>
      <w:pPr>
        <w:ind w:firstLine="562"/>
        <w:jc w:val="center"/>
        <w:rPr>
          <w:rFonts w:ascii="宋体" w:hAnsi="宋体"/>
          <w:b/>
          <w:color w:val="auto"/>
          <w:sz w:val="28"/>
          <w:szCs w:val="28"/>
          <w:highlight w:val="none"/>
          <w:shd w:val="clear" w:color="auto" w:fill="auto"/>
        </w:rPr>
        <w:sectPr>
          <w:footerReference r:id="rId9" w:type="default"/>
          <w:pgSz w:w="11906" w:h="16838"/>
          <w:pgMar w:top="1440" w:right="1531" w:bottom="1327" w:left="1531" w:header="851" w:footer="992" w:gutter="0"/>
          <w:cols w:space="720" w:num="1"/>
          <w:docGrid w:type="lines" w:linePitch="312" w:charSpace="0"/>
        </w:sectPr>
      </w:pPr>
    </w:p>
    <w:p>
      <w:pPr>
        <w:pStyle w:val="15"/>
        <w:adjustRightInd w:val="0"/>
        <w:snapToGrid w:val="0"/>
        <w:spacing w:before="0" w:beforeAutospacing="1" w:after="0" w:afterAutospacing="1" w:line="600" w:lineRule="exact"/>
        <w:ind w:firstLine="883"/>
        <w:jc w:val="center"/>
        <w:rPr>
          <w:rFonts w:ascii="黑体" w:hAnsi="黑体" w:eastAsia="黑体"/>
          <w:color w:val="auto"/>
          <w:sz w:val="44"/>
          <w:highlight w:val="none"/>
          <w:shd w:val="clear" w:color="auto" w:fill="auto"/>
        </w:rPr>
      </w:pPr>
      <w:bookmarkStart w:id="0" w:name="_Toc13047"/>
      <w:bookmarkStart w:id="1" w:name="_Toc99379227"/>
      <w:bookmarkStart w:id="2" w:name="_Toc5385"/>
      <w:r>
        <w:rPr>
          <w:rFonts w:hint="eastAsia" w:ascii="黑体" w:hAnsi="黑体" w:eastAsia="黑体"/>
          <w:color w:val="auto"/>
          <w:sz w:val="44"/>
          <w:szCs w:val="44"/>
          <w:highlight w:val="none"/>
          <w:shd w:val="clear" w:color="auto" w:fill="auto"/>
        </w:rPr>
        <w:t>转让公告</w:t>
      </w:r>
      <w:bookmarkEnd w:id="0"/>
      <w:bookmarkEnd w:id="1"/>
      <w:bookmarkEnd w:id="2"/>
    </w:p>
    <w:p>
      <w:pPr>
        <w:pStyle w:val="15"/>
        <w:adjustRightInd w:val="0"/>
        <w:snapToGrid w:val="0"/>
        <w:spacing w:line="600" w:lineRule="exact"/>
        <w:ind w:firstLine="0" w:firstLineChars="0"/>
        <w:jc w:val="center"/>
        <w:rPr>
          <w:rFonts w:ascii="黑体" w:hAnsi="黑体" w:eastAsia="黑体"/>
          <w:bCs w:val="0"/>
          <w:color w:val="auto"/>
          <w:sz w:val="28"/>
          <w:szCs w:val="28"/>
          <w:highlight w:val="none"/>
          <w:shd w:val="clear" w:color="auto" w:fill="auto"/>
        </w:rPr>
      </w:pPr>
      <w:r>
        <w:rPr>
          <w:rFonts w:hint="eastAsia" w:ascii="黑体" w:hAnsi="黑体" w:eastAsia="黑体"/>
          <w:bCs/>
          <w:color w:val="auto"/>
          <w:sz w:val="28"/>
          <w:szCs w:val="28"/>
          <w:highlight w:val="none"/>
          <w:shd w:val="clear" w:color="auto" w:fill="auto"/>
        </w:rPr>
        <w:t>台交所挂〔</w:t>
      </w:r>
      <w:r>
        <w:rPr>
          <w:rFonts w:ascii="黑体" w:hAnsi="黑体" w:eastAsia="黑体"/>
          <w:bCs/>
          <w:color w:val="auto"/>
          <w:sz w:val="28"/>
          <w:szCs w:val="28"/>
          <w:highlight w:val="none"/>
          <w:shd w:val="clear" w:color="auto" w:fill="auto"/>
        </w:rPr>
        <w:t>2022</w:t>
      </w:r>
      <w:r>
        <w:rPr>
          <w:rFonts w:hint="eastAsia" w:ascii="黑体" w:hAnsi="黑体" w:eastAsia="黑体"/>
          <w:bCs/>
          <w:color w:val="auto"/>
          <w:sz w:val="28"/>
          <w:szCs w:val="28"/>
          <w:highlight w:val="none"/>
          <w:shd w:val="clear" w:color="auto" w:fill="auto"/>
        </w:rPr>
        <w:t>〕</w:t>
      </w:r>
      <w:r>
        <w:rPr>
          <w:rFonts w:ascii="黑体" w:hAnsi="黑体" w:eastAsia="黑体"/>
          <w:bCs/>
          <w:color w:val="auto"/>
          <w:sz w:val="28"/>
          <w:szCs w:val="28"/>
          <w:highlight w:val="none"/>
          <w:shd w:val="clear" w:color="auto" w:fill="auto"/>
        </w:rPr>
        <w:t>12</w:t>
      </w:r>
      <w:r>
        <w:rPr>
          <w:rFonts w:hint="eastAsia" w:ascii="黑体" w:hAnsi="黑体" w:eastAsia="黑体"/>
          <w:bCs/>
          <w:color w:val="auto"/>
          <w:sz w:val="28"/>
          <w:szCs w:val="28"/>
          <w:highlight w:val="none"/>
          <w:shd w:val="clear" w:color="auto" w:fill="auto"/>
        </w:rPr>
        <w:t>号</w:t>
      </w:r>
    </w:p>
    <w:p>
      <w:pPr>
        <w:spacing w:line="600" w:lineRule="exact"/>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受有关单位委托，台州市产权交易所有限公司（以下简称产交所）对</w:t>
      </w:r>
      <w:bookmarkStart w:id="3" w:name="_Hlk526956940"/>
      <w:bookmarkStart w:id="4" w:name="_Hlk527011094"/>
      <w:r>
        <w:rPr>
          <w:rFonts w:hint="eastAsia" w:ascii="宋体" w:hAnsi="宋体"/>
          <w:color w:val="auto"/>
          <w:sz w:val="28"/>
          <w:szCs w:val="28"/>
          <w:highlight w:val="none"/>
          <w:shd w:val="clear" w:color="auto" w:fill="auto"/>
        </w:rPr>
        <w:t>浙江海正药业股份有限公司持有的浙江海正甦力康生物科技有限公司</w:t>
      </w:r>
      <w:bookmarkEnd w:id="3"/>
      <w:bookmarkEnd w:id="4"/>
      <w:r>
        <w:rPr>
          <w:rFonts w:ascii="宋体" w:hAnsi="宋体"/>
          <w:color w:val="auto"/>
          <w:sz w:val="28"/>
          <w:szCs w:val="28"/>
          <w:highlight w:val="none"/>
          <w:shd w:val="clear" w:color="auto" w:fill="auto"/>
        </w:rPr>
        <w:t>17,362,702</w:t>
      </w:r>
      <w:r>
        <w:rPr>
          <w:rFonts w:hint="eastAsia" w:ascii="宋体" w:hAnsi="宋体"/>
          <w:color w:val="auto"/>
          <w:sz w:val="28"/>
          <w:szCs w:val="28"/>
          <w:highlight w:val="none"/>
          <w:shd w:val="clear" w:color="auto" w:fill="auto"/>
        </w:rPr>
        <w:t>元注册资本</w:t>
      </w:r>
      <w:r>
        <w:rPr>
          <w:rFonts w:hint="eastAsia" w:ascii="宋体" w:hAnsi="宋体"/>
          <w:color w:val="auto"/>
          <w:sz w:val="28"/>
          <w:szCs w:val="28"/>
          <w:highlight w:val="none"/>
          <w:shd w:val="clear" w:color="auto" w:fill="auto"/>
          <w:lang w:val="en-US" w:eastAsia="zh-CN"/>
        </w:rPr>
        <w:t>对应股权</w:t>
      </w:r>
      <w:r>
        <w:rPr>
          <w:rFonts w:hint="eastAsia" w:ascii="宋体" w:hAnsi="宋体"/>
          <w:color w:val="auto"/>
          <w:sz w:val="28"/>
          <w:szCs w:val="28"/>
          <w:highlight w:val="none"/>
          <w:shd w:val="clear" w:color="auto" w:fill="auto"/>
        </w:rPr>
        <w:t>进行公开转让，具体事宜公告如下：</w:t>
      </w:r>
    </w:p>
    <w:p>
      <w:pPr>
        <w:numPr>
          <w:ilvl w:val="0"/>
          <w:numId w:val="1"/>
        </w:numPr>
        <w:ind w:left="0" w:firstLine="562"/>
        <w:jc w:val="left"/>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转让标的、底价及保证金</w:t>
      </w:r>
    </w:p>
    <w:p>
      <w:pPr>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本次转让标的为</w:t>
      </w:r>
      <w:bookmarkStart w:id="5" w:name="_Hlk525637256"/>
      <w:r>
        <w:rPr>
          <w:rFonts w:ascii="宋体" w:hAnsi="宋体"/>
          <w:color w:val="auto"/>
          <w:sz w:val="28"/>
          <w:szCs w:val="28"/>
          <w:highlight w:val="none"/>
          <w:shd w:val="clear" w:color="auto" w:fill="auto"/>
        </w:rPr>
        <w:t>浙江海正药业股份有限公司</w:t>
      </w:r>
      <w:r>
        <w:rPr>
          <w:rFonts w:hint="eastAsia" w:ascii="宋体" w:hAnsi="宋体"/>
          <w:color w:val="auto"/>
          <w:sz w:val="28"/>
          <w:szCs w:val="28"/>
          <w:highlight w:val="none"/>
          <w:shd w:val="clear" w:color="auto" w:fill="auto"/>
        </w:rPr>
        <w:t>持有的浙江海正甦力康生物科技有限公司</w:t>
      </w:r>
      <w:bookmarkEnd w:id="5"/>
      <w:r>
        <w:rPr>
          <w:rFonts w:hint="eastAsia" w:ascii="宋体" w:hAnsi="宋体"/>
          <w:color w:val="auto"/>
          <w:sz w:val="28"/>
          <w:szCs w:val="28"/>
          <w:highlight w:val="none"/>
          <w:shd w:val="clear" w:color="auto" w:fill="auto"/>
        </w:rPr>
        <w:t>17,362,702元注册资本（代表浙江海正甦力康生物科技有限公司34.72%股权）</w:t>
      </w:r>
      <w:r>
        <w:rPr>
          <w:rFonts w:hint="eastAsia" w:ascii="宋体" w:hAnsi="宋体"/>
          <w:color w:val="auto"/>
          <w:sz w:val="28"/>
          <w:highlight w:val="none"/>
          <w:shd w:val="clear" w:color="auto" w:fill="auto"/>
        </w:rPr>
        <w:t>，转让底价</w:t>
      </w:r>
      <w:r>
        <w:rPr>
          <w:rFonts w:ascii="宋体" w:hAnsi="宋体"/>
          <w:color w:val="auto"/>
          <w:sz w:val="28"/>
          <w:szCs w:val="28"/>
          <w:highlight w:val="none"/>
          <w:shd w:val="clear" w:color="auto" w:fill="auto"/>
        </w:rPr>
        <w:t>4765</w:t>
      </w:r>
      <w:r>
        <w:rPr>
          <w:rFonts w:hint="eastAsia" w:ascii="宋体" w:hAnsi="宋体"/>
          <w:color w:val="auto"/>
          <w:sz w:val="28"/>
          <w:szCs w:val="28"/>
          <w:highlight w:val="none"/>
          <w:shd w:val="clear" w:color="auto" w:fill="auto"/>
        </w:rPr>
        <w:t>.</w:t>
      </w:r>
      <w:r>
        <w:rPr>
          <w:rFonts w:ascii="宋体" w:hAnsi="宋体"/>
          <w:color w:val="auto"/>
          <w:sz w:val="28"/>
          <w:szCs w:val="28"/>
          <w:highlight w:val="none"/>
          <w:shd w:val="clear" w:color="auto" w:fill="auto"/>
        </w:rPr>
        <w:t>02</w:t>
      </w:r>
      <w:r>
        <w:rPr>
          <w:rFonts w:hint="eastAsia" w:ascii="宋体" w:hAnsi="宋体"/>
          <w:color w:val="auto"/>
          <w:sz w:val="28"/>
          <w:szCs w:val="28"/>
          <w:highlight w:val="none"/>
          <w:shd w:val="clear" w:color="auto" w:fill="auto"/>
        </w:rPr>
        <w:t>万</w:t>
      </w:r>
      <w:r>
        <w:rPr>
          <w:rFonts w:hint="eastAsia" w:ascii="宋体" w:hAnsi="宋体"/>
          <w:color w:val="auto"/>
          <w:sz w:val="28"/>
          <w:highlight w:val="none"/>
          <w:shd w:val="clear" w:color="auto" w:fill="auto"/>
        </w:rPr>
        <w:t>元或等值其他货币，竞</w:t>
      </w:r>
      <w:r>
        <w:rPr>
          <w:rFonts w:hint="eastAsia" w:ascii="宋体" w:hAnsi="宋体"/>
          <w:color w:val="auto"/>
          <w:sz w:val="28"/>
          <w:szCs w:val="28"/>
          <w:highlight w:val="none"/>
          <w:shd w:val="clear" w:color="auto" w:fill="auto"/>
        </w:rPr>
        <w:t>买保证金</w:t>
      </w:r>
      <w:r>
        <w:rPr>
          <w:rFonts w:ascii="宋体" w:hAnsi="宋体"/>
          <w:color w:val="auto"/>
          <w:sz w:val="28"/>
          <w:szCs w:val="28"/>
          <w:highlight w:val="none"/>
          <w:shd w:val="clear" w:color="auto" w:fill="auto"/>
        </w:rPr>
        <w:t>500</w:t>
      </w:r>
      <w:r>
        <w:rPr>
          <w:rFonts w:hint="eastAsia" w:ascii="宋体" w:hAnsi="宋体"/>
          <w:color w:val="auto"/>
          <w:sz w:val="28"/>
          <w:szCs w:val="28"/>
          <w:highlight w:val="none"/>
          <w:shd w:val="clear" w:color="auto" w:fill="auto"/>
        </w:rPr>
        <w:t>万元人民币。</w:t>
      </w:r>
    </w:p>
    <w:p>
      <w:pPr>
        <w:numPr>
          <w:ilvl w:val="0"/>
          <w:numId w:val="1"/>
        </w:numPr>
        <w:ind w:left="0" w:firstLine="562"/>
        <w:jc w:val="left"/>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转让方式、竞买人条件</w:t>
      </w:r>
    </w:p>
    <w:p>
      <w:pPr>
        <w:ind w:firstLine="560" w:firstLineChars="0"/>
        <w:rPr>
          <w:rFonts w:ascii="宋体" w:hAnsi="宋体"/>
          <w:color w:val="auto"/>
          <w:sz w:val="28"/>
          <w:szCs w:val="28"/>
          <w:highlight w:val="none"/>
          <w:shd w:val="clear" w:color="auto" w:fill="auto"/>
        </w:rPr>
      </w:pPr>
      <w:bookmarkStart w:id="6" w:name="待定01"/>
      <w:r>
        <w:rPr>
          <w:rFonts w:hint="eastAsia" w:ascii="宋体" w:hAnsi="宋体"/>
          <w:color w:val="auto"/>
          <w:sz w:val="28"/>
          <w:szCs w:val="28"/>
          <w:highlight w:val="none"/>
          <w:shd w:val="clear" w:color="auto" w:fill="auto"/>
        </w:rPr>
        <w:t>本次股权转让公告发布的同时，标的公司浙江海正甦力康生物科技有限公司同步发布增资项目公告（台交所挂〔20</w:t>
      </w:r>
      <w:r>
        <w:rPr>
          <w:rFonts w:ascii="宋体" w:hAnsi="宋体"/>
          <w:color w:val="auto"/>
          <w:sz w:val="28"/>
          <w:szCs w:val="28"/>
          <w:highlight w:val="none"/>
          <w:shd w:val="clear" w:color="auto" w:fill="auto"/>
        </w:rPr>
        <w:t>22</w:t>
      </w:r>
      <w:r>
        <w:rPr>
          <w:rFonts w:hint="eastAsia" w:ascii="宋体" w:hAnsi="宋体"/>
          <w:color w:val="auto"/>
          <w:sz w:val="28"/>
          <w:szCs w:val="28"/>
          <w:highlight w:val="none"/>
          <w:shd w:val="clear" w:color="auto" w:fill="auto"/>
        </w:rPr>
        <w:t>〕</w:t>
      </w:r>
      <w:r>
        <w:rPr>
          <w:rFonts w:ascii="宋体" w:hAnsi="宋体"/>
          <w:color w:val="auto"/>
          <w:sz w:val="28"/>
          <w:szCs w:val="28"/>
          <w:highlight w:val="none"/>
          <w:shd w:val="clear" w:color="auto" w:fill="auto"/>
        </w:rPr>
        <w:t>11</w:t>
      </w:r>
      <w:r>
        <w:rPr>
          <w:rFonts w:hint="eastAsia" w:ascii="宋体" w:hAnsi="宋体"/>
          <w:color w:val="auto"/>
          <w:sz w:val="28"/>
          <w:szCs w:val="28"/>
          <w:highlight w:val="none"/>
          <w:shd w:val="clear" w:color="auto" w:fill="auto"/>
        </w:rPr>
        <w:t>号）,竞买人资格条件、交易条件、与转让相关的其他条件以增资公告为准，本转让项目不单独接受竞买人办理受让意向登记手续，竞买人须满足</w:t>
      </w:r>
      <w:bookmarkStart w:id="7" w:name="_Hlk97403741"/>
      <w:r>
        <w:rPr>
          <w:rFonts w:hint="eastAsia" w:ascii="宋体" w:hAnsi="宋体"/>
          <w:color w:val="auto"/>
          <w:sz w:val="28"/>
          <w:szCs w:val="28"/>
          <w:highlight w:val="none"/>
          <w:shd w:val="clear" w:color="auto" w:fill="auto"/>
        </w:rPr>
        <w:t>“浙江海正甦力康生物科技有限公司增资项目”</w:t>
      </w:r>
      <w:bookmarkEnd w:id="7"/>
      <w:r>
        <w:rPr>
          <w:rFonts w:hint="eastAsia" w:ascii="宋体" w:hAnsi="宋体"/>
          <w:color w:val="auto"/>
          <w:sz w:val="28"/>
          <w:szCs w:val="28"/>
          <w:highlight w:val="none"/>
          <w:shd w:val="clear" w:color="auto" w:fill="auto"/>
        </w:rPr>
        <w:t>（台交所挂〔20</w:t>
      </w:r>
      <w:r>
        <w:rPr>
          <w:rFonts w:ascii="宋体" w:hAnsi="宋体"/>
          <w:color w:val="auto"/>
          <w:sz w:val="28"/>
          <w:szCs w:val="28"/>
          <w:highlight w:val="none"/>
          <w:shd w:val="clear" w:color="auto" w:fill="auto"/>
        </w:rPr>
        <w:t>22</w:t>
      </w:r>
      <w:r>
        <w:rPr>
          <w:rFonts w:hint="eastAsia" w:ascii="宋体" w:hAnsi="宋体"/>
          <w:color w:val="auto"/>
          <w:sz w:val="28"/>
          <w:szCs w:val="28"/>
          <w:highlight w:val="none"/>
          <w:shd w:val="clear" w:color="auto" w:fill="auto"/>
        </w:rPr>
        <w:t>〕</w:t>
      </w:r>
      <w:r>
        <w:rPr>
          <w:rFonts w:ascii="宋体" w:hAnsi="宋体"/>
          <w:color w:val="auto"/>
          <w:sz w:val="28"/>
          <w:szCs w:val="28"/>
          <w:highlight w:val="none"/>
          <w:shd w:val="clear" w:color="auto" w:fill="auto"/>
        </w:rPr>
        <w:t>11</w:t>
      </w:r>
      <w:r>
        <w:rPr>
          <w:rFonts w:hint="eastAsia" w:ascii="宋体" w:hAnsi="宋体"/>
          <w:color w:val="auto"/>
          <w:sz w:val="28"/>
          <w:szCs w:val="28"/>
          <w:highlight w:val="none"/>
          <w:shd w:val="clear" w:color="auto" w:fill="auto"/>
        </w:rPr>
        <w:t>号）的资格条件，并承诺接受所有增资条件，成为增资项目的意向投资方。</w:t>
      </w:r>
    </w:p>
    <w:p>
      <w:pPr>
        <w:numPr>
          <w:ilvl w:val="0"/>
          <w:numId w:val="1"/>
        </w:numPr>
        <w:ind w:left="0" w:firstLine="562"/>
        <w:jc w:val="left"/>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付款方式</w:t>
      </w:r>
    </w:p>
    <w:p>
      <w:pPr>
        <w:numPr>
          <w:ilvl w:val="255"/>
          <w:numId w:val="0"/>
        </w:numPr>
        <w:tabs>
          <w:tab w:val="left" w:pos="6960"/>
        </w:tabs>
        <w:ind w:firstLine="561"/>
        <w:rPr>
          <w:rFonts w:hint="eastAsia" w:ascii="宋体" w:hAnsi="宋体"/>
          <w:color w:val="auto"/>
          <w:sz w:val="28"/>
          <w:szCs w:val="28"/>
          <w:highlight w:val="none"/>
          <w:shd w:val="clear" w:color="auto" w:fill="auto"/>
        </w:rPr>
      </w:pPr>
      <w:bookmarkStart w:id="8" w:name="_Hlk98918935"/>
      <w:r>
        <w:rPr>
          <w:rFonts w:hint="eastAsia" w:ascii="宋体" w:hAnsi="宋体"/>
          <w:color w:val="auto"/>
          <w:sz w:val="28"/>
          <w:szCs w:val="28"/>
          <w:highlight w:val="none"/>
          <w:shd w:val="clear" w:color="auto" w:fill="auto"/>
        </w:rPr>
        <w:t>受让方应在《股权转让合同》签署且本次股权转让完成工商变更登记及其他政府审批、登记、备案手续（包括但不限于在投资方为外资情况下的外商投资主管部门审批、外汇登记手续）之日后十个工作日内一次性支付至转让方指定账户。</w:t>
      </w:r>
    </w:p>
    <w:p>
      <w:pPr>
        <w:widowControl/>
        <w:shd w:val="clear" w:color="auto" w:fill="FFFFFF"/>
        <w:spacing w:line="580" w:lineRule="exact"/>
        <w:ind w:firstLine="562" w:firstLineChars="200"/>
        <w:rPr>
          <w:rFonts w:hint="eastAsia" w:eastAsia="宋体"/>
          <w:color w:val="auto"/>
          <w:lang w:val="en-US" w:eastAsia="zh-CN"/>
        </w:rPr>
      </w:pPr>
      <w:r>
        <w:rPr>
          <w:rFonts w:hint="eastAsia" w:ascii="宋体" w:hAnsi="宋体"/>
          <w:b/>
          <w:bCs/>
          <w:color w:val="auto"/>
          <w:sz w:val="28"/>
          <w:szCs w:val="28"/>
          <w:highlight w:val="none"/>
          <w:shd w:val="clear" w:color="auto" w:fill="auto"/>
          <w:lang w:val="en-US" w:eastAsia="zh-CN"/>
        </w:rPr>
        <w:t>四、</w:t>
      </w:r>
      <w:r>
        <w:rPr>
          <w:rFonts w:hint="eastAsia" w:asciiTheme="minorEastAsia" w:hAnsiTheme="minorEastAsia" w:eastAsiaTheme="minorEastAsia" w:cstheme="minorEastAsia"/>
          <w:b/>
          <w:bCs/>
          <w:color w:val="auto"/>
          <w:kern w:val="0"/>
          <w:sz w:val="28"/>
          <w:szCs w:val="28"/>
        </w:rPr>
        <w:t>报名时间和资格确认时间</w:t>
      </w:r>
      <w:r>
        <w:rPr>
          <w:rFonts w:hint="eastAsia" w:asciiTheme="minorEastAsia" w:hAnsiTheme="minorEastAsia" w:eastAsiaTheme="minorEastAsia" w:cstheme="minorEastAsia"/>
          <w:bCs/>
          <w:color w:val="auto"/>
          <w:kern w:val="0"/>
          <w:sz w:val="28"/>
          <w:szCs w:val="28"/>
        </w:rPr>
        <w:t>：</w:t>
      </w:r>
      <w:r>
        <w:rPr>
          <w:rFonts w:asciiTheme="minorEastAsia" w:hAnsiTheme="minorEastAsia" w:eastAsiaTheme="minorEastAsia" w:cstheme="minorEastAsia"/>
          <w:bCs/>
          <w:color w:val="auto"/>
          <w:kern w:val="0"/>
          <w:sz w:val="28"/>
          <w:szCs w:val="28"/>
        </w:rPr>
        <w:t>2022年</w:t>
      </w:r>
      <w:r>
        <w:rPr>
          <w:rFonts w:hint="eastAsia" w:asciiTheme="minorEastAsia" w:hAnsiTheme="minorEastAsia" w:eastAsiaTheme="minorEastAsia" w:cstheme="minorEastAsia"/>
          <w:bCs/>
          <w:color w:val="auto"/>
          <w:kern w:val="0"/>
          <w:sz w:val="28"/>
          <w:szCs w:val="28"/>
          <w:lang w:val="en-US" w:eastAsia="zh-CN"/>
        </w:rPr>
        <w:t>4</w:t>
      </w:r>
      <w:r>
        <w:rPr>
          <w:rFonts w:asciiTheme="minorEastAsia" w:hAnsiTheme="minorEastAsia" w:eastAsiaTheme="minorEastAsia" w:cstheme="minorEastAsia"/>
          <w:bCs/>
          <w:color w:val="auto"/>
          <w:kern w:val="0"/>
          <w:sz w:val="28"/>
          <w:szCs w:val="28"/>
        </w:rPr>
        <w:t>月</w:t>
      </w:r>
      <w:r>
        <w:rPr>
          <w:rFonts w:hint="eastAsia" w:asciiTheme="minorEastAsia" w:hAnsiTheme="minorEastAsia" w:eastAsiaTheme="minorEastAsia" w:cstheme="minorEastAsia"/>
          <w:bCs/>
          <w:color w:val="auto"/>
          <w:kern w:val="0"/>
          <w:sz w:val="28"/>
          <w:szCs w:val="28"/>
        </w:rPr>
        <w:t>2</w:t>
      </w:r>
      <w:r>
        <w:rPr>
          <w:rFonts w:hint="eastAsia" w:asciiTheme="minorEastAsia" w:hAnsiTheme="minorEastAsia" w:eastAsiaTheme="minorEastAsia" w:cstheme="minorEastAsia"/>
          <w:bCs/>
          <w:color w:val="auto"/>
          <w:kern w:val="0"/>
          <w:sz w:val="28"/>
          <w:szCs w:val="28"/>
          <w:lang w:val="en-US" w:eastAsia="zh-CN"/>
        </w:rPr>
        <w:t>2</w:t>
      </w:r>
      <w:r>
        <w:rPr>
          <w:rFonts w:asciiTheme="minorEastAsia" w:hAnsiTheme="minorEastAsia" w:eastAsiaTheme="minorEastAsia" w:cstheme="minorEastAsia"/>
          <w:bCs/>
          <w:color w:val="auto"/>
          <w:kern w:val="0"/>
          <w:sz w:val="28"/>
          <w:szCs w:val="28"/>
        </w:rPr>
        <w:t>日至2022年</w:t>
      </w:r>
      <w:r>
        <w:rPr>
          <w:rFonts w:hint="eastAsia" w:asciiTheme="minorEastAsia" w:hAnsiTheme="minorEastAsia" w:eastAsiaTheme="minorEastAsia" w:cstheme="minorEastAsia"/>
          <w:bCs/>
          <w:color w:val="auto"/>
          <w:kern w:val="0"/>
          <w:sz w:val="28"/>
          <w:szCs w:val="28"/>
        </w:rPr>
        <w:t>5</w:t>
      </w:r>
      <w:r>
        <w:rPr>
          <w:rFonts w:asciiTheme="minorEastAsia" w:hAnsiTheme="minorEastAsia" w:eastAsiaTheme="minorEastAsia" w:cstheme="minorEastAsia"/>
          <w:bCs/>
          <w:color w:val="auto"/>
          <w:kern w:val="0"/>
          <w:sz w:val="28"/>
          <w:szCs w:val="28"/>
        </w:rPr>
        <w:t>月</w:t>
      </w:r>
      <w:r>
        <w:rPr>
          <w:rFonts w:hint="eastAsia" w:asciiTheme="minorEastAsia" w:hAnsiTheme="minorEastAsia" w:eastAsiaTheme="minorEastAsia" w:cstheme="minorEastAsia"/>
          <w:bCs/>
          <w:color w:val="auto"/>
          <w:kern w:val="0"/>
          <w:sz w:val="28"/>
          <w:szCs w:val="28"/>
        </w:rPr>
        <w:t>20</w:t>
      </w:r>
      <w:r>
        <w:rPr>
          <w:rFonts w:asciiTheme="minorEastAsia" w:hAnsiTheme="minorEastAsia" w:eastAsiaTheme="minorEastAsia" w:cstheme="minorEastAsia"/>
          <w:bCs/>
          <w:color w:val="auto"/>
          <w:kern w:val="0"/>
          <w:sz w:val="28"/>
          <w:szCs w:val="28"/>
        </w:rPr>
        <w:t>日下午4：00前（上午8：30－11：30，下午14：00－16：00时，节假日除外）。</w:t>
      </w:r>
    </w:p>
    <w:bookmarkEnd w:id="6"/>
    <w:bookmarkEnd w:id="8"/>
    <w:p>
      <w:pPr>
        <w:numPr>
          <w:ilvl w:val="0"/>
          <w:numId w:val="0"/>
        </w:numPr>
        <w:ind w:firstLine="562" w:firstLineChars="200"/>
        <w:jc w:val="left"/>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lang w:val="en-US" w:eastAsia="zh-CN"/>
        </w:rPr>
        <w:t>五、</w:t>
      </w:r>
      <w:r>
        <w:rPr>
          <w:rFonts w:hint="eastAsia" w:ascii="宋体" w:hAnsi="宋体"/>
          <w:b/>
          <w:color w:val="auto"/>
          <w:sz w:val="28"/>
          <w:szCs w:val="28"/>
          <w:highlight w:val="none"/>
          <w:shd w:val="clear" w:color="auto" w:fill="auto"/>
        </w:rPr>
        <w:t>报名须知</w:t>
      </w:r>
    </w:p>
    <w:p>
      <w:pPr>
        <w:ind w:firstLine="560"/>
        <w:jc w:val="left"/>
        <w:rPr>
          <w:rFonts w:ascii="宋体" w:hAnsi="宋体"/>
          <w:color w:val="auto"/>
          <w:sz w:val="28"/>
          <w:szCs w:val="28"/>
          <w:highlight w:val="none"/>
          <w:shd w:val="clear" w:color="auto" w:fill="auto"/>
        </w:rPr>
      </w:pPr>
      <w:bookmarkStart w:id="9" w:name="待定02"/>
      <w:r>
        <w:rPr>
          <w:rFonts w:hint="eastAsia" w:ascii="宋体" w:hAnsi="宋体"/>
          <w:bCs/>
          <w:color w:val="auto"/>
          <w:sz w:val="28"/>
          <w:szCs w:val="28"/>
          <w:highlight w:val="none"/>
          <w:shd w:val="clear" w:color="auto" w:fill="auto"/>
        </w:rPr>
        <w:t>竞买人应在报名参加增资项目时，同时以银行转账方式缴纳股权竞买保证金500万元人民币</w:t>
      </w:r>
      <w:r>
        <w:rPr>
          <w:rFonts w:hint="eastAsia" w:ascii="宋体" w:hAnsi="宋体"/>
          <w:color w:val="auto"/>
          <w:sz w:val="28"/>
          <w:szCs w:val="28"/>
          <w:highlight w:val="none"/>
          <w:shd w:val="clear" w:color="auto" w:fill="auto"/>
        </w:rPr>
        <w:t>。</w:t>
      </w:r>
    </w:p>
    <w:bookmarkEnd w:id="9"/>
    <w:p>
      <w:pPr>
        <w:ind w:firstLine="560"/>
        <w:rPr>
          <w:rFonts w:ascii="宋体" w:hAnsi="宋体"/>
          <w:bCs/>
          <w:color w:val="auto"/>
          <w:sz w:val="28"/>
          <w:szCs w:val="28"/>
          <w:highlight w:val="none"/>
          <w:shd w:val="clear" w:color="auto" w:fill="auto"/>
        </w:rPr>
      </w:pPr>
      <w:r>
        <w:rPr>
          <w:rFonts w:hint="eastAsia" w:ascii="宋体" w:hAnsi="宋体"/>
          <w:color w:val="auto"/>
          <w:sz w:val="28"/>
          <w:szCs w:val="28"/>
          <w:highlight w:val="none"/>
          <w:shd w:val="clear" w:color="auto" w:fill="auto"/>
          <w:lang w:val="ms-MY"/>
        </w:rPr>
        <w:t>开户单位：</w:t>
      </w:r>
      <w:r>
        <w:rPr>
          <w:rFonts w:hint="eastAsia" w:ascii="宋体" w:hAnsi="宋体"/>
          <w:bCs/>
          <w:color w:val="auto"/>
          <w:sz w:val="28"/>
          <w:szCs w:val="28"/>
          <w:highlight w:val="none"/>
          <w:shd w:val="clear" w:color="auto" w:fill="auto"/>
        </w:rPr>
        <w:t>台州市产权交易所有限公司：</w:t>
      </w:r>
    </w:p>
    <w:p>
      <w:pPr>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开户行：</w:t>
      </w:r>
      <w:r>
        <w:rPr>
          <w:rFonts w:hint="eastAsia" w:ascii="宋体" w:hAnsi="宋体"/>
          <w:bCs/>
          <w:color w:val="auto"/>
          <w:sz w:val="28"/>
          <w:szCs w:val="28"/>
          <w:highlight w:val="none"/>
          <w:shd w:val="clear" w:color="auto" w:fill="auto"/>
          <w:lang w:val="ms-MY"/>
        </w:rPr>
        <w:t>浙江民泰商业银行股份有限公司椒江市府大道支行</w:t>
      </w:r>
    </w:p>
    <w:p>
      <w:pPr>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帐号：583016260800015</w:t>
      </w:r>
    </w:p>
    <w:p>
      <w:pPr>
        <w:widowControl/>
        <w:numPr>
          <w:ilvl w:val="0"/>
          <w:numId w:val="0"/>
        </w:numPr>
        <w:shd w:val="clear" w:color="auto" w:fill="FFFFFF"/>
        <w:ind w:leftChars="200"/>
        <w:jc w:val="left"/>
        <w:rPr>
          <w:rFonts w:ascii="宋体" w:hAnsi="宋体"/>
          <w:color w:val="auto"/>
          <w:sz w:val="28"/>
          <w:highlight w:val="none"/>
          <w:shd w:val="clear" w:color="auto" w:fill="auto"/>
        </w:rPr>
      </w:pPr>
      <w:r>
        <w:rPr>
          <w:rFonts w:hint="eastAsia" w:ascii="宋体" w:hAnsi="宋体"/>
          <w:color w:val="auto"/>
          <w:kern w:val="0"/>
          <w:sz w:val="28"/>
          <w:highlight w:val="none"/>
          <w:shd w:val="clear" w:color="auto" w:fill="auto"/>
          <w:lang w:val="en-US" w:eastAsia="zh-CN"/>
        </w:rPr>
        <w:t>六、</w:t>
      </w:r>
      <w:r>
        <w:rPr>
          <w:rFonts w:hint="eastAsia" w:ascii="宋体" w:hAnsi="宋体"/>
          <w:color w:val="auto"/>
          <w:kern w:val="0"/>
          <w:sz w:val="28"/>
          <w:highlight w:val="none"/>
          <w:shd w:val="clear" w:color="auto" w:fill="auto"/>
        </w:rPr>
        <w:t>本次股转</w:t>
      </w:r>
      <w:r>
        <w:rPr>
          <w:rFonts w:hint="eastAsia" w:ascii="宋体" w:hAnsi="宋体"/>
          <w:color w:val="auto"/>
          <w:sz w:val="28"/>
          <w:highlight w:val="none"/>
          <w:shd w:val="clear" w:color="auto" w:fill="auto"/>
        </w:rPr>
        <w:t>不单独接受竞买人办理受让意向登记手续，参照“浙江海正甦力康生物科技有限公司增资项目”（台交所挂〔2022〕11号）办理。</w:t>
      </w:r>
    </w:p>
    <w:p>
      <w:pPr>
        <w:ind w:firstLine="560"/>
        <w:jc w:val="left"/>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lang w:val="en-US" w:eastAsia="zh-CN"/>
        </w:rPr>
        <w:t>七、</w:t>
      </w:r>
      <w:r>
        <w:rPr>
          <w:rFonts w:hint="eastAsia" w:ascii="宋体" w:hAnsi="宋体"/>
          <w:color w:val="auto"/>
          <w:sz w:val="28"/>
          <w:szCs w:val="28"/>
          <w:highlight w:val="none"/>
          <w:shd w:val="clear" w:color="auto" w:fill="auto"/>
        </w:rPr>
        <w:t xml:space="preserve"> 联系人：潘女士    电话（传真）：0576-88685180</w:t>
      </w:r>
    </w:p>
    <w:p>
      <w:pPr>
        <w:ind w:firstLine="560"/>
        <w:jc w:val="left"/>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lang w:val="en-US" w:eastAsia="zh-CN"/>
        </w:rPr>
        <w:t>八、</w:t>
      </w:r>
      <w:r>
        <w:rPr>
          <w:rFonts w:hint="eastAsia" w:ascii="宋体" w:hAnsi="宋体"/>
          <w:color w:val="auto"/>
          <w:sz w:val="28"/>
          <w:szCs w:val="28"/>
          <w:highlight w:val="none"/>
          <w:shd w:val="clear" w:color="auto" w:fill="auto"/>
        </w:rPr>
        <w:t>具体情况详见转让须知。</w:t>
      </w:r>
    </w:p>
    <w:p>
      <w:pPr>
        <w:spacing w:line="580" w:lineRule="exact"/>
        <w:ind w:right="105" w:rightChars="50" w:firstLine="560"/>
        <w:rPr>
          <w:rFonts w:asciiTheme="minorEastAsia" w:hAnsiTheme="minorEastAsia" w:eastAsiaTheme="minorEastAsia" w:cstheme="minorEastAsia"/>
          <w:color w:val="auto"/>
          <w:sz w:val="28"/>
          <w:szCs w:val="28"/>
          <w:highlight w:val="none"/>
          <w:shd w:val="clear" w:color="auto" w:fill="auto"/>
        </w:rPr>
      </w:pPr>
      <w:r>
        <w:rPr>
          <w:rFonts w:hint="eastAsia" w:ascii="宋体" w:hAnsi="宋体"/>
          <w:color w:val="auto"/>
          <w:sz w:val="28"/>
          <w:szCs w:val="28"/>
          <w:highlight w:val="none"/>
          <w:shd w:val="clear" w:color="auto" w:fill="auto"/>
        </w:rPr>
        <w:t>详情登陆</w:t>
      </w:r>
      <w:r>
        <w:rPr>
          <w:rStyle w:val="23"/>
          <w:rFonts w:hint="eastAsia" w:asciiTheme="minorEastAsia" w:hAnsiTheme="minorEastAsia" w:eastAsiaTheme="minorEastAsia" w:cstheme="minorEastAsia"/>
          <w:color w:val="auto"/>
          <w:sz w:val="28"/>
          <w:szCs w:val="28"/>
          <w:highlight w:val="none"/>
          <w:shd w:val="clear" w:color="auto" w:fill="auto"/>
        </w:rPr>
        <w:t>http://www.tzpre.com/</w:t>
      </w:r>
    </w:p>
    <w:p>
      <w:pPr>
        <w:spacing w:line="580" w:lineRule="exact"/>
        <w:ind w:right="105" w:rightChars="50" w:firstLine="1680" w:firstLineChars="800"/>
        <w:rPr>
          <w:rFonts w:asciiTheme="minorEastAsia" w:hAnsiTheme="minorEastAsia" w:eastAsiaTheme="minorEastAsia" w:cstheme="minorEastAsia"/>
          <w:bCs/>
          <w:color w:val="auto"/>
          <w:kern w:val="0"/>
          <w:sz w:val="28"/>
          <w:szCs w:val="28"/>
          <w:highlight w:val="none"/>
          <w:shd w:val="clear" w:color="auto" w:fill="auto"/>
        </w:rPr>
      </w:pPr>
      <w:r>
        <w:rPr>
          <w:color w:val="auto"/>
          <w:highlight w:val="none"/>
          <w:shd w:val="clear" w:color="auto" w:fill="auto"/>
        </w:rPr>
        <w:fldChar w:fldCharType="begin"/>
      </w:r>
      <w:r>
        <w:rPr>
          <w:color w:val="auto"/>
          <w:highlight w:val="none"/>
          <w:shd w:val="clear" w:color="auto" w:fill="auto"/>
        </w:rPr>
        <w:instrText xml:space="preserve"> HYPERLINK "https://tzztb.zjtz.gov.cn/tzcms/" </w:instrText>
      </w:r>
      <w:r>
        <w:rPr>
          <w:color w:val="auto"/>
          <w:highlight w:val="none"/>
          <w:shd w:val="clear" w:color="auto" w:fill="auto"/>
        </w:rPr>
        <w:fldChar w:fldCharType="separate"/>
      </w:r>
      <w:r>
        <w:rPr>
          <w:rStyle w:val="23"/>
          <w:rFonts w:asciiTheme="minorEastAsia" w:hAnsiTheme="minorEastAsia" w:eastAsiaTheme="minorEastAsia" w:cstheme="minorEastAsia"/>
          <w:bCs/>
          <w:color w:val="auto"/>
          <w:sz w:val="28"/>
          <w:szCs w:val="28"/>
          <w:highlight w:val="none"/>
          <w:shd w:val="clear" w:color="auto" w:fill="auto"/>
        </w:rPr>
        <w:t>https://tzztb.zjtz.gov.cn/tzcms/</w:t>
      </w:r>
      <w:r>
        <w:rPr>
          <w:rStyle w:val="23"/>
          <w:rFonts w:asciiTheme="minorEastAsia" w:hAnsiTheme="minorEastAsia" w:eastAsiaTheme="minorEastAsia" w:cstheme="minorEastAsia"/>
          <w:bCs/>
          <w:color w:val="auto"/>
          <w:sz w:val="28"/>
          <w:szCs w:val="28"/>
          <w:highlight w:val="none"/>
          <w:shd w:val="clear" w:color="auto" w:fill="auto"/>
        </w:rPr>
        <w:fldChar w:fldCharType="end"/>
      </w:r>
    </w:p>
    <w:p>
      <w:pPr>
        <w:spacing w:line="580" w:lineRule="exact"/>
        <w:ind w:right="105" w:rightChars="50" w:firstLine="560"/>
        <w:rPr>
          <w:rFonts w:asciiTheme="minorEastAsia" w:hAnsiTheme="minorEastAsia" w:eastAsiaTheme="minorEastAsia" w:cstheme="minorEastAsia"/>
          <w:color w:val="auto"/>
          <w:sz w:val="28"/>
          <w:szCs w:val="28"/>
          <w:highlight w:val="none"/>
          <w:shd w:val="clear" w:color="auto" w:fill="auto"/>
        </w:rPr>
      </w:pPr>
    </w:p>
    <w:p>
      <w:pPr>
        <w:ind w:firstLine="0" w:firstLineChars="0"/>
        <w:rPr>
          <w:rFonts w:ascii="宋体" w:hAnsi="宋体"/>
          <w:color w:val="auto"/>
          <w:sz w:val="28"/>
          <w:szCs w:val="28"/>
          <w:highlight w:val="none"/>
          <w:shd w:val="clear" w:color="auto" w:fill="auto"/>
        </w:rPr>
      </w:pPr>
    </w:p>
    <w:p>
      <w:pPr>
        <w:ind w:firstLineChars="0"/>
        <w:jc w:val="right"/>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台州市产权交易所有限公司</w:t>
      </w:r>
    </w:p>
    <w:p>
      <w:pPr>
        <w:ind w:firstLineChars="0"/>
        <w:jc w:val="right"/>
        <w:rPr>
          <w:rFonts w:ascii="宋体" w:hAnsi="宋体"/>
          <w:color w:val="auto"/>
          <w:sz w:val="28"/>
          <w:szCs w:val="28"/>
          <w:highlight w:val="none"/>
          <w:shd w:val="clear" w:color="auto" w:fill="auto"/>
        </w:rPr>
      </w:pPr>
      <w:r>
        <w:rPr>
          <w:rFonts w:ascii="宋体" w:hAnsi="宋体"/>
          <w:color w:val="auto"/>
          <w:sz w:val="28"/>
          <w:szCs w:val="28"/>
          <w:highlight w:val="none"/>
          <w:shd w:val="clear" w:color="auto" w:fill="auto"/>
        </w:rPr>
        <w:t>2022</w:t>
      </w:r>
      <w:r>
        <w:rPr>
          <w:rFonts w:hint="eastAsia" w:ascii="宋体" w:hAnsi="宋体"/>
          <w:color w:val="auto"/>
          <w:sz w:val="28"/>
          <w:szCs w:val="28"/>
          <w:highlight w:val="none"/>
          <w:shd w:val="clear" w:color="auto" w:fill="auto"/>
        </w:rPr>
        <w:t>年</w:t>
      </w:r>
      <w:r>
        <w:rPr>
          <w:rFonts w:ascii="宋体" w:hAnsi="宋体"/>
          <w:color w:val="auto"/>
          <w:sz w:val="28"/>
          <w:szCs w:val="28"/>
          <w:highlight w:val="none"/>
          <w:shd w:val="clear" w:color="auto" w:fill="auto"/>
        </w:rPr>
        <w:t>4</w:t>
      </w:r>
      <w:r>
        <w:rPr>
          <w:rFonts w:hint="eastAsia" w:ascii="宋体" w:hAnsi="宋体"/>
          <w:color w:val="auto"/>
          <w:sz w:val="28"/>
          <w:szCs w:val="28"/>
          <w:highlight w:val="none"/>
          <w:shd w:val="clear" w:color="auto" w:fill="auto"/>
        </w:rPr>
        <w:t>月</w:t>
      </w:r>
      <w:r>
        <w:rPr>
          <w:rFonts w:ascii="宋体" w:hAnsi="宋体"/>
          <w:color w:val="auto"/>
          <w:sz w:val="28"/>
          <w:szCs w:val="28"/>
          <w:highlight w:val="none"/>
          <w:shd w:val="clear" w:color="auto" w:fill="auto"/>
        </w:rPr>
        <w:t>22</w:t>
      </w:r>
      <w:r>
        <w:rPr>
          <w:rFonts w:hint="eastAsia" w:ascii="宋体" w:hAnsi="宋体"/>
          <w:color w:val="auto"/>
          <w:sz w:val="28"/>
          <w:szCs w:val="28"/>
          <w:highlight w:val="none"/>
          <w:shd w:val="clear" w:color="auto" w:fill="auto"/>
        </w:rPr>
        <w:t>日</w:t>
      </w:r>
    </w:p>
    <w:p>
      <w:pPr>
        <w:spacing w:line="430" w:lineRule="exact"/>
        <w:ind w:firstLine="0" w:firstLineChars="0"/>
        <w:jc w:val="center"/>
        <w:rPr>
          <w:rFonts w:ascii="黑体" w:hAnsi="黑体" w:eastAsia="黑体" w:cs="黑体"/>
          <w:b/>
          <w:color w:val="auto"/>
          <w:sz w:val="36"/>
          <w:szCs w:val="36"/>
          <w:highlight w:val="none"/>
          <w:shd w:val="clear" w:color="auto" w:fill="auto"/>
        </w:rPr>
      </w:pPr>
      <w:r>
        <w:rPr>
          <w:rFonts w:hint="eastAsia" w:ascii="宋体" w:hAnsi="宋体"/>
          <w:color w:val="auto"/>
          <w:sz w:val="28"/>
          <w:szCs w:val="28"/>
          <w:highlight w:val="none"/>
          <w:shd w:val="clear" w:color="auto" w:fill="auto"/>
        </w:rPr>
        <w:br w:type="page"/>
      </w:r>
      <w:bookmarkStart w:id="10" w:name="_Hlk527013137"/>
      <w:r>
        <w:rPr>
          <w:rFonts w:hint="eastAsia" w:ascii="黑体" w:hAnsi="黑体" w:eastAsia="黑体" w:cs="黑体"/>
          <w:b/>
          <w:color w:val="auto"/>
          <w:sz w:val="36"/>
          <w:szCs w:val="36"/>
          <w:highlight w:val="none"/>
          <w:shd w:val="clear" w:color="auto" w:fill="auto"/>
          <w:lang w:val="ms-MY"/>
        </w:rPr>
        <w:t>浙江海正甦力康生物科技有限公司股权</w:t>
      </w:r>
      <w:bookmarkEnd w:id="10"/>
    </w:p>
    <w:p>
      <w:pPr>
        <w:pStyle w:val="4"/>
        <w:spacing w:before="100" w:beforeAutospacing="1" w:after="100" w:afterAutospacing="1" w:line="360" w:lineRule="auto"/>
        <w:jc w:val="center"/>
        <w:rPr>
          <w:rFonts w:ascii="黑体" w:hAnsi="黑体" w:eastAsia="黑体" w:cs="黑体"/>
          <w:color w:val="auto"/>
          <w:sz w:val="36"/>
          <w:szCs w:val="36"/>
          <w:highlight w:val="none"/>
          <w:shd w:val="clear" w:color="auto" w:fill="auto"/>
        </w:rPr>
      </w:pPr>
      <w:bookmarkStart w:id="11" w:name="_Toc99379228"/>
      <w:bookmarkStart w:id="12" w:name="_Toc7400"/>
      <w:bookmarkStart w:id="13" w:name="_Toc5069"/>
      <w:r>
        <w:rPr>
          <w:rFonts w:hint="eastAsia" w:ascii="黑体" w:hAnsi="黑体" w:eastAsia="黑体" w:cs="黑体"/>
          <w:color w:val="auto"/>
          <w:sz w:val="36"/>
          <w:szCs w:val="36"/>
          <w:highlight w:val="none"/>
          <w:shd w:val="clear" w:color="auto" w:fill="auto"/>
        </w:rPr>
        <w:t>转让须知</w:t>
      </w:r>
      <w:bookmarkEnd w:id="11"/>
      <w:bookmarkEnd w:id="12"/>
      <w:bookmarkEnd w:id="13"/>
    </w:p>
    <w:p>
      <w:pPr>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受浙江海正药业股份有限公司委托，公开转让其所持有的</w:t>
      </w:r>
      <w:bookmarkStart w:id="14" w:name="_Hlk527011228"/>
      <w:r>
        <w:rPr>
          <w:rFonts w:hint="eastAsia" w:ascii="宋体" w:hAnsi="宋体"/>
          <w:color w:val="auto"/>
          <w:sz w:val="28"/>
          <w:szCs w:val="28"/>
          <w:highlight w:val="none"/>
          <w:shd w:val="clear" w:color="auto" w:fill="auto"/>
        </w:rPr>
        <w:t>浙江海正甦力康生物科技有限公司的</w:t>
      </w:r>
      <w:bookmarkEnd w:id="14"/>
      <w:r>
        <w:rPr>
          <w:rFonts w:hint="eastAsia" w:ascii="宋体" w:hAnsi="宋体"/>
          <w:color w:val="auto"/>
          <w:sz w:val="28"/>
          <w:szCs w:val="28"/>
          <w:highlight w:val="none"/>
          <w:shd w:val="clear" w:color="auto" w:fill="auto"/>
        </w:rPr>
        <w:t>17,362,702元注册资本（</w:t>
      </w:r>
      <w:r>
        <w:rPr>
          <w:rFonts w:ascii="宋体" w:hAnsi="宋体"/>
          <w:color w:val="auto"/>
          <w:sz w:val="28"/>
          <w:szCs w:val="28"/>
          <w:highlight w:val="none"/>
          <w:shd w:val="clear" w:color="auto" w:fill="auto"/>
        </w:rPr>
        <w:t>代表</w:t>
      </w:r>
      <w:r>
        <w:rPr>
          <w:rFonts w:hint="eastAsia" w:ascii="宋体" w:hAnsi="宋体"/>
          <w:color w:val="auto"/>
          <w:sz w:val="28"/>
          <w:szCs w:val="28"/>
          <w:highlight w:val="none"/>
          <w:shd w:val="clear" w:color="auto" w:fill="auto"/>
        </w:rPr>
        <w:t>浙江海正甦力康生物科技有限公司</w:t>
      </w:r>
      <w:r>
        <w:rPr>
          <w:rFonts w:ascii="宋体" w:hAnsi="宋体"/>
          <w:color w:val="auto"/>
          <w:sz w:val="28"/>
          <w:szCs w:val="28"/>
          <w:highlight w:val="none"/>
          <w:shd w:val="clear" w:color="auto" w:fill="auto"/>
        </w:rPr>
        <w:t>34.72%</w:t>
      </w:r>
      <w:r>
        <w:rPr>
          <w:rFonts w:hint="eastAsia" w:ascii="宋体" w:hAnsi="宋体"/>
          <w:color w:val="auto"/>
          <w:sz w:val="28"/>
          <w:szCs w:val="28"/>
          <w:highlight w:val="none"/>
          <w:shd w:val="clear" w:color="auto" w:fill="auto"/>
        </w:rPr>
        <w:t>股权）。现将有关事项告知意向受让人，请认真阅读与遵守。</w:t>
      </w:r>
    </w:p>
    <w:p>
      <w:pPr>
        <w:ind w:firstLine="560"/>
        <w:jc w:val="left"/>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一、转让标的底价及保证金</w:t>
      </w:r>
    </w:p>
    <w:p>
      <w:pPr>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本次转让标的为</w:t>
      </w:r>
      <w:r>
        <w:rPr>
          <w:rFonts w:ascii="宋体" w:hAnsi="宋体"/>
          <w:color w:val="auto"/>
          <w:sz w:val="28"/>
          <w:szCs w:val="28"/>
          <w:highlight w:val="none"/>
          <w:shd w:val="clear" w:color="auto" w:fill="auto"/>
        </w:rPr>
        <w:t>浙江海正药业股份有限公司</w:t>
      </w:r>
      <w:r>
        <w:rPr>
          <w:rFonts w:hint="eastAsia" w:ascii="宋体" w:hAnsi="宋体"/>
          <w:color w:val="auto"/>
          <w:sz w:val="28"/>
          <w:szCs w:val="28"/>
          <w:highlight w:val="none"/>
          <w:shd w:val="clear" w:color="auto" w:fill="auto"/>
        </w:rPr>
        <w:t>持有的浙江海正甦力康生物科技有限公司17,362,702元注册资本（代表浙江海正甦力康生物科技有限公司34.72%股权）</w:t>
      </w:r>
      <w:r>
        <w:rPr>
          <w:rFonts w:hint="eastAsia" w:ascii="宋体" w:hAnsi="宋体"/>
          <w:color w:val="auto"/>
          <w:sz w:val="28"/>
          <w:highlight w:val="none"/>
          <w:shd w:val="clear" w:color="auto" w:fill="auto"/>
        </w:rPr>
        <w:t>，转让底价</w:t>
      </w:r>
      <w:r>
        <w:rPr>
          <w:rFonts w:ascii="宋体" w:hAnsi="宋体"/>
          <w:color w:val="auto"/>
          <w:sz w:val="28"/>
          <w:szCs w:val="28"/>
          <w:highlight w:val="none"/>
          <w:shd w:val="clear" w:color="auto" w:fill="auto"/>
        </w:rPr>
        <w:t>4765</w:t>
      </w:r>
      <w:r>
        <w:rPr>
          <w:rFonts w:hint="eastAsia" w:ascii="宋体" w:hAnsi="宋体"/>
          <w:color w:val="auto"/>
          <w:sz w:val="28"/>
          <w:szCs w:val="28"/>
          <w:highlight w:val="none"/>
          <w:shd w:val="clear" w:color="auto" w:fill="auto"/>
        </w:rPr>
        <w:t>.</w:t>
      </w:r>
      <w:r>
        <w:rPr>
          <w:rFonts w:ascii="宋体" w:hAnsi="宋体"/>
          <w:color w:val="auto"/>
          <w:sz w:val="28"/>
          <w:szCs w:val="28"/>
          <w:highlight w:val="none"/>
          <w:shd w:val="clear" w:color="auto" w:fill="auto"/>
        </w:rPr>
        <w:t>02</w:t>
      </w:r>
      <w:r>
        <w:rPr>
          <w:rFonts w:hint="eastAsia" w:ascii="宋体" w:hAnsi="宋体"/>
          <w:color w:val="auto"/>
          <w:sz w:val="28"/>
          <w:szCs w:val="28"/>
          <w:highlight w:val="none"/>
          <w:shd w:val="clear" w:color="auto" w:fill="auto"/>
        </w:rPr>
        <w:t>万</w:t>
      </w:r>
      <w:r>
        <w:rPr>
          <w:rFonts w:hint="eastAsia" w:ascii="宋体" w:hAnsi="宋体"/>
          <w:color w:val="auto"/>
          <w:sz w:val="28"/>
          <w:highlight w:val="none"/>
          <w:shd w:val="clear" w:color="auto" w:fill="auto"/>
        </w:rPr>
        <w:t>元或等值其他货币，竞</w:t>
      </w:r>
      <w:r>
        <w:rPr>
          <w:rFonts w:hint="eastAsia" w:ascii="宋体" w:hAnsi="宋体"/>
          <w:color w:val="auto"/>
          <w:sz w:val="28"/>
          <w:szCs w:val="28"/>
          <w:highlight w:val="none"/>
          <w:shd w:val="clear" w:color="auto" w:fill="auto"/>
        </w:rPr>
        <w:t>买保证金</w:t>
      </w:r>
      <w:r>
        <w:rPr>
          <w:rFonts w:ascii="宋体" w:hAnsi="宋体"/>
          <w:color w:val="auto"/>
          <w:sz w:val="28"/>
          <w:szCs w:val="28"/>
          <w:highlight w:val="none"/>
          <w:shd w:val="clear" w:color="auto" w:fill="auto"/>
        </w:rPr>
        <w:t>500</w:t>
      </w:r>
      <w:r>
        <w:rPr>
          <w:rFonts w:hint="eastAsia" w:ascii="宋体" w:hAnsi="宋体"/>
          <w:color w:val="auto"/>
          <w:sz w:val="28"/>
          <w:szCs w:val="28"/>
          <w:highlight w:val="none"/>
          <w:shd w:val="clear" w:color="auto" w:fill="auto"/>
        </w:rPr>
        <w:t>万元人民币。</w:t>
      </w:r>
    </w:p>
    <w:p>
      <w:pPr>
        <w:ind w:firstLine="560"/>
        <w:rPr>
          <w:rFonts w:ascii="宋体" w:hAnsi="宋体"/>
          <w:b/>
          <w:color w:val="auto"/>
          <w:sz w:val="28"/>
          <w:highlight w:val="none"/>
          <w:shd w:val="clear" w:color="auto" w:fill="auto"/>
        </w:rPr>
      </w:pPr>
      <w:r>
        <w:rPr>
          <w:rFonts w:hint="eastAsia" w:ascii="宋体" w:hAnsi="宋体"/>
          <w:color w:val="auto"/>
          <w:sz w:val="28"/>
          <w:szCs w:val="28"/>
          <w:highlight w:val="none"/>
          <w:shd w:val="clear" w:color="auto" w:fill="auto"/>
        </w:rPr>
        <w:t>二、本次股权转让行为已经必要的内部决策和批准程序，</w:t>
      </w:r>
      <w:r>
        <w:rPr>
          <w:rFonts w:hint="eastAsia" w:ascii="宋体" w:hAnsi="宋体"/>
          <w:color w:val="auto"/>
          <w:sz w:val="28"/>
          <w:highlight w:val="none"/>
          <w:shd w:val="clear" w:color="auto" w:fill="auto"/>
        </w:rPr>
        <w:t>资产评估项</w:t>
      </w:r>
      <w:bookmarkStart w:id="15" w:name="待定03"/>
      <w:r>
        <w:rPr>
          <w:rFonts w:hint="eastAsia" w:ascii="宋体" w:hAnsi="宋体"/>
          <w:color w:val="auto"/>
          <w:sz w:val="28"/>
          <w:highlight w:val="none"/>
          <w:shd w:val="clear" w:color="auto" w:fill="auto"/>
        </w:rPr>
        <w:t>目已经椒江区国资办备案，本次转让行为已经海正药业第八届董事会第三十九次会议审议通过</w:t>
      </w:r>
      <w:r>
        <w:rPr>
          <w:rFonts w:ascii="宋体" w:hAnsi="宋体"/>
          <w:color w:val="auto"/>
          <w:sz w:val="28"/>
          <w:highlight w:val="none"/>
          <w:shd w:val="clear" w:color="auto" w:fill="auto"/>
        </w:rPr>
        <w:t>，并</w:t>
      </w:r>
      <w:r>
        <w:rPr>
          <w:rFonts w:hint="eastAsia" w:ascii="宋体" w:hAnsi="宋体"/>
          <w:color w:val="auto"/>
          <w:sz w:val="28"/>
          <w:highlight w:val="none"/>
          <w:shd w:val="clear" w:color="auto" w:fill="auto"/>
        </w:rPr>
        <w:t>取</w:t>
      </w:r>
      <w:r>
        <w:rPr>
          <w:rFonts w:ascii="宋体" w:hAnsi="宋体"/>
          <w:color w:val="auto"/>
          <w:sz w:val="28"/>
          <w:highlight w:val="none"/>
          <w:shd w:val="clear" w:color="auto" w:fill="auto"/>
        </w:rPr>
        <w:t>得</w:t>
      </w:r>
      <w:r>
        <w:rPr>
          <w:rFonts w:hint="eastAsia" w:ascii="宋体" w:hAnsi="宋体"/>
          <w:color w:val="auto"/>
          <w:sz w:val="28"/>
          <w:highlight w:val="none"/>
          <w:shd w:val="clear" w:color="auto" w:fill="auto"/>
        </w:rPr>
        <w:t>台州市椒江区人民政府国有资产监督管理办公室批复（椒国资办[2022]13号）同意。</w:t>
      </w:r>
    </w:p>
    <w:bookmarkEnd w:id="15"/>
    <w:p>
      <w:pPr>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三、企业基本情况</w:t>
      </w:r>
    </w:p>
    <w:p>
      <w:pPr>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1、公司注册情况</w:t>
      </w:r>
    </w:p>
    <w:p>
      <w:pPr>
        <w:ind w:firstLine="560"/>
        <w:rPr>
          <w:rFonts w:ascii="宋体" w:hAnsi="宋体" w:cs="宋体"/>
          <w:color w:val="auto"/>
          <w:sz w:val="28"/>
          <w:szCs w:val="28"/>
          <w:highlight w:val="none"/>
          <w:shd w:val="clear" w:color="auto" w:fill="auto"/>
        </w:rPr>
      </w:pPr>
      <w:r>
        <w:rPr>
          <w:rFonts w:hint="eastAsia" w:ascii="宋体" w:hAnsi="宋体"/>
          <w:color w:val="auto"/>
          <w:sz w:val="28"/>
          <w:szCs w:val="28"/>
          <w:highlight w:val="none"/>
          <w:shd w:val="clear" w:color="auto" w:fill="auto"/>
        </w:rPr>
        <w:t>浙江海正甦力康生物科技有限公司（下称“甦力康”）甦力康主要从事特殊医学用途配方食品及健康食品等的研发、生产与销售。组建于2015年10月，注册资本5000万元，统一社会信用代码为91331002MA28G0D16T，法定代表人李岳。经营范围：生物技术开发、技术服务、技术咨询、技术转让，企业管理咨询，货物进出口，化妆品、日用品、文具用品、第二类医疗器械、工艺品销售，食品生产，预包装食品（不含冷藏冷冻食品）、保健食品、婴幼儿配方乳粉、其他婴幼儿配方食品销售（凭有效许可证经营）。（分支机构经营场所设在台州市椒江区外沙路46号）（法律、行政法规禁止经营的项目除外，法律、行政法规规定限制经营的项目取得许可证后方可经营）（依法须经批准的项目，经相关部门批准后方可开展经营活动）</w:t>
      </w:r>
    </w:p>
    <w:p>
      <w:pPr>
        <w:ind w:firstLine="638" w:firstLineChars="228"/>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2、公司经营情况</w:t>
      </w:r>
    </w:p>
    <w:p>
      <w:pPr>
        <w:pStyle w:val="3"/>
        <w:spacing w:line="360" w:lineRule="auto"/>
        <w:ind w:firstLine="560" w:firstLineChars="200"/>
        <w:rPr>
          <w:rFonts w:ascii="宋体" w:hAnsi="宋体" w:cs="宋体"/>
          <w:color w:val="auto"/>
          <w:sz w:val="28"/>
          <w:szCs w:val="28"/>
          <w:highlight w:val="none"/>
          <w:shd w:val="clear" w:color="auto" w:fill="auto"/>
        </w:rPr>
      </w:pPr>
      <w:r>
        <w:rPr>
          <w:rFonts w:hint="eastAsia" w:ascii="宋体" w:hAnsi="宋体" w:cs="宋体"/>
          <w:color w:val="auto"/>
          <w:sz w:val="28"/>
          <w:szCs w:val="28"/>
          <w:highlight w:val="none"/>
          <w:shd w:val="clear" w:color="auto" w:fill="auto"/>
        </w:rPr>
        <w:t>浙江海正甦力康生物科技有限公司自成立至今，一直处于营业状态。</w:t>
      </w:r>
    </w:p>
    <w:p>
      <w:pPr>
        <w:ind w:firstLine="638" w:firstLineChars="228"/>
        <w:rPr>
          <w:rFonts w:ascii="宋体" w:hAnsi="宋体"/>
          <w:color w:val="auto"/>
          <w:sz w:val="28"/>
          <w:szCs w:val="28"/>
          <w:highlight w:val="none"/>
          <w:shd w:val="clear" w:color="auto" w:fill="auto"/>
        </w:rPr>
      </w:pPr>
      <w:r>
        <w:rPr>
          <w:rFonts w:ascii="宋体" w:hAnsi="宋体"/>
          <w:color w:val="auto"/>
          <w:sz w:val="28"/>
          <w:szCs w:val="28"/>
          <w:highlight w:val="none"/>
          <w:shd w:val="clear" w:color="auto" w:fill="auto"/>
        </w:rPr>
        <w:t>3</w:t>
      </w:r>
      <w:r>
        <w:rPr>
          <w:rFonts w:hint="eastAsia" w:ascii="宋体" w:hAnsi="宋体"/>
          <w:color w:val="auto"/>
          <w:sz w:val="28"/>
          <w:szCs w:val="28"/>
          <w:highlight w:val="none"/>
          <w:shd w:val="clear" w:color="auto" w:fill="auto"/>
        </w:rPr>
        <w:t>、公司股权结构</w:t>
      </w:r>
    </w:p>
    <w:p>
      <w:pPr>
        <w:autoSpaceDE w:val="0"/>
        <w:autoSpaceDN w:val="0"/>
        <w:adjustRightInd w:val="0"/>
        <w:spacing w:before="156" w:beforeLines="50" w:line="360" w:lineRule="auto"/>
        <w:ind w:firstLine="560"/>
        <w:rPr>
          <w:rFonts w:ascii="宋体" w:hAnsi="宋体" w:cs="宋体"/>
          <w:color w:val="auto"/>
          <w:sz w:val="28"/>
          <w:szCs w:val="28"/>
          <w:highlight w:val="none"/>
          <w:shd w:val="clear" w:color="auto" w:fill="auto"/>
        </w:rPr>
      </w:pPr>
      <w:r>
        <w:rPr>
          <w:rFonts w:hint="eastAsia" w:ascii="宋体" w:hAnsi="宋体" w:cs="宋体"/>
          <w:color w:val="auto"/>
          <w:sz w:val="28"/>
          <w:szCs w:val="28"/>
          <w:highlight w:val="none"/>
          <w:shd w:val="clear" w:color="auto" w:fill="auto"/>
        </w:rPr>
        <w:t>甦力康现有股权结构如下：</w:t>
      </w:r>
    </w:p>
    <w:tbl>
      <w:tblPr>
        <w:tblStyle w:val="17"/>
        <w:tblW w:w="87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8"/>
        <w:gridCol w:w="2551"/>
        <w:gridCol w:w="1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shd w:val="clear" w:color="auto" w:fill="auto"/>
            <w:vAlign w:val="center"/>
          </w:tcPr>
          <w:p>
            <w:pPr>
              <w:widowControl/>
              <w:ind w:firstLine="482"/>
              <w:jc w:val="center"/>
              <w:rPr>
                <w:rFonts w:ascii="宋体" w:hAnsi="宋体"/>
                <w:b/>
                <w:bCs/>
                <w:color w:val="auto"/>
                <w:kern w:val="0"/>
                <w:sz w:val="24"/>
                <w:highlight w:val="none"/>
                <w:shd w:val="clear" w:color="auto" w:fill="auto"/>
              </w:rPr>
            </w:pPr>
            <w:r>
              <w:rPr>
                <w:rFonts w:hint="eastAsia" w:ascii="宋体" w:hAnsi="宋体"/>
                <w:b/>
                <w:bCs/>
                <w:color w:val="auto"/>
                <w:kern w:val="0"/>
                <w:sz w:val="24"/>
                <w:highlight w:val="none"/>
                <w:shd w:val="clear" w:color="auto" w:fill="auto"/>
              </w:rPr>
              <w:t>股东名称</w:t>
            </w:r>
          </w:p>
        </w:tc>
        <w:tc>
          <w:tcPr>
            <w:tcW w:w="2551" w:type="dxa"/>
            <w:shd w:val="clear" w:color="auto" w:fill="auto"/>
            <w:vAlign w:val="center"/>
          </w:tcPr>
          <w:p>
            <w:pPr>
              <w:widowControl/>
              <w:ind w:firstLine="482"/>
              <w:jc w:val="center"/>
              <w:rPr>
                <w:rFonts w:ascii="宋体" w:hAnsi="宋体"/>
                <w:b/>
                <w:bCs/>
                <w:color w:val="auto"/>
                <w:kern w:val="0"/>
                <w:sz w:val="24"/>
                <w:highlight w:val="none"/>
                <w:shd w:val="clear" w:color="auto" w:fill="auto"/>
              </w:rPr>
            </w:pPr>
            <w:r>
              <w:rPr>
                <w:rFonts w:hint="eastAsia" w:ascii="宋体" w:hAnsi="宋体"/>
                <w:b/>
                <w:bCs/>
                <w:color w:val="auto"/>
                <w:kern w:val="0"/>
                <w:sz w:val="24"/>
                <w:highlight w:val="none"/>
                <w:shd w:val="clear" w:color="auto" w:fill="auto"/>
              </w:rPr>
              <w:t>出资额（元）</w:t>
            </w:r>
          </w:p>
        </w:tc>
        <w:tc>
          <w:tcPr>
            <w:tcW w:w="1966" w:type="dxa"/>
            <w:shd w:val="clear" w:color="auto" w:fill="auto"/>
            <w:vAlign w:val="center"/>
          </w:tcPr>
          <w:p>
            <w:pPr>
              <w:widowControl/>
              <w:ind w:firstLine="482"/>
              <w:jc w:val="center"/>
              <w:rPr>
                <w:rFonts w:ascii="宋体" w:hAnsi="宋体"/>
                <w:b/>
                <w:bCs/>
                <w:color w:val="auto"/>
                <w:kern w:val="0"/>
                <w:sz w:val="24"/>
                <w:highlight w:val="none"/>
                <w:shd w:val="clear" w:color="auto" w:fill="auto"/>
              </w:rPr>
            </w:pPr>
            <w:r>
              <w:rPr>
                <w:rFonts w:hint="eastAsia" w:ascii="宋体" w:hAnsi="宋体"/>
                <w:b/>
                <w:bCs/>
                <w:color w:val="auto"/>
                <w:kern w:val="0"/>
                <w:sz w:val="24"/>
                <w:highlight w:val="none"/>
                <w:shd w:val="clear" w:color="auto" w:fill="auto"/>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浙江海正药业股份有限公司</w:t>
            </w:r>
          </w:p>
        </w:tc>
        <w:tc>
          <w:tcPr>
            <w:tcW w:w="2551"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45,500,000</w:t>
            </w:r>
          </w:p>
        </w:tc>
        <w:tc>
          <w:tcPr>
            <w:tcW w:w="1966"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91.000%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王玲萍</w:t>
            </w:r>
          </w:p>
        </w:tc>
        <w:tc>
          <w:tcPr>
            <w:tcW w:w="2551"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1,147,500</w:t>
            </w:r>
          </w:p>
        </w:tc>
        <w:tc>
          <w:tcPr>
            <w:tcW w:w="1966"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2.295%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张鑫</w:t>
            </w:r>
          </w:p>
        </w:tc>
        <w:tc>
          <w:tcPr>
            <w:tcW w:w="2551"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1,057,500</w:t>
            </w:r>
          </w:p>
        </w:tc>
        <w:tc>
          <w:tcPr>
            <w:tcW w:w="1966"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2.115%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阮文龙</w:t>
            </w:r>
          </w:p>
        </w:tc>
        <w:tc>
          <w:tcPr>
            <w:tcW w:w="2551"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1,170,000</w:t>
            </w:r>
          </w:p>
        </w:tc>
        <w:tc>
          <w:tcPr>
            <w:tcW w:w="1966"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2.340%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邵宜</w:t>
            </w:r>
          </w:p>
        </w:tc>
        <w:tc>
          <w:tcPr>
            <w:tcW w:w="2551"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1,125,000</w:t>
            </w:r>
          </w:p>
        </w:tc>
        <w:tc>
          <w:tcPr>
            <w:tcW w:w="1966"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2.250%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238" w:type="dxa"/>
            <w:vAlign w:val="center"/>
          </w:tcPr>
          <w:p>
            <w:pPr>
              <w:ind w:firstLine="480"/>
              <w:jc w:val="center"/>
              <w:rPr>
                <w:rFonts w:ascii="宋体" w:hAnsi="宋体"/>
                <w:color w:val="auto"/>
                <w:sz w:val="24"/>
                <w:highlight w:val="none"/>
                <w:shd w:val="clear" w:color="auto" w:fill="auto"/>
              </w:rPr>
            </w:pPr>
            <w:r>
              <w:rPr>
                <w:rFonts w:hint="eastAsia" w:ascii="宋体" w:hAnsi="宋体"/>
                <w:color w:val="auto"/>
                <w:sz w:val="24"/>
                <w:highlight w:val="none"/>
                <w:shd w:val="clear" w:color="auto" w:fill="auto"/>
              </w:rPr>
              <w:t>合计</w:t>
            </w:r>
          </w:p>
        </w:tc>
        <w:tc>
          <w:tcPr>
            <w:tcW w:w="2551" w:type="dxa"/>
            <w:vAlign w:val="center"/>
          </w:tcPr>
          <w:p>
            <w:pPr>
              <w:ind w:firstLine="480"/>
              <w:jc w:val="center"/>
              <w:rPr>
                <w:rFonts w:ascii="仿宋_GB2312" w:eastAsia="仿宋_GB2312"/>
                <w:color w:val="auto"/>
                <w:sz w:val="24"/>
                <w:szCs w:val="21"/>
                <w:highlight w:val="none"/>
                <w:shd w:val="clear" w:color="auto" w:fill="auto"/>
              </w:rPr>
            </w:pPr>
            <w:r>
              <w:rPr>
                <w:rFonts w:ascii="宋体" w:hAnsi="宋体"/>
                <w:color w:val="auto"/>
                <w:sz w:val="24"/>
                <w:highlight w:val="none"/>
                <w:shd w:val="clear" w:color="auto" w:fill="auto"/>
              </w:rPr>
              <w:t>50,000,000</w:t>
            </w:r>
          </w:p>
        </w:tc>
        <w:tc>
          <w:tcPr>
            <w:tcW w:w="1966" w:type="dxa"/>
            <w:vAlign w:val="center"/>
          </w:tcPr>
          <w:p>
            <w:pPr>
              <w:ind w:firstLine="480"/>
              <w:jc w:val="center"/>
              <w:rPr>
                <w:rFonts w:ascii="宋体" w:hAnsi="宋体"/>
                <w:color w:val="auto"/>
                <w:sz w:val="24"/>
                <w:highlight w:val="none"/>
                <w:shd w:val="clear" w:color="auto" w:fill="auto"/>
              </w:rPr>
            </w:pPr>
            <w:r>
              <w:rPr>
                <w:rFonts w:ascii="宋体" w:hAnsi="宋体"/>
                <w:color w:val="auto"/>
                <w:kern w:val="0"/>
                <w:sz w:val="24"/>
                <w:highlight w:val="none"/>
                <w:shd w:val="clear" w:color="auto" w:fill="auto"/>
              </w:rPr>
              <w:t>100.00%</w:t>
            </w:r>
          </w:p>
        </w:tc>
      </w:tr>
    </w:tbl>
    <w:p>
      <w:pPr>
        <w:autoSpaceDE w:val="0"/>
        <w:autoSpaceDN w:val="0"/>
        <w:adjustRightInd w:val="0"/>
        <w:spacing w:before="156" w:beforeLines="50" w:line="360" w:lineRule="auto"/>
        <w:ind w:firstLine="0" w:firstLineChars="0"/>
        <w:rPr>
          <w:rFonts w:ascii="宋体" w:hAnsi="宋体" w:cs="宋体"/>
          <w:color w:val="auto"/>
          <w:sz w:val="28"/>
          <w:szCs w:val="28"/>
          <w:highlight w:val="none"/>
          <w:shd w:val="clear" w:color="auto" w:fill="auto"/>
        </w:rPr>
      </w:pPr>
    </w:p>
    <w:p>
      <w:pPr>
        <w:numPr>
          <w:ilvl w:val="0"/>
          <w:numId w:val="2"/>
        </w:numPr>
        <w:ind w:firstLine="560" w:firstLineChars="0"/>
        <w:rPr>
          <w:rFonts w:ascii="宋体" w:hAnsi="宋体" w:cs="宋体"/>
          <w:color w:val="auto"/>
          <w:sz w:val="28"/>
          <w:szCs w:val="28"/>
          <w:highlight w:val="none"/>
          <w:shd w:val="clear" w:color="auto" w:fill="auto"/>
        </w:rPr>
      </w:pPr>
      <w:r>
        <w:rPr>
          <w:rFonts w:hint="eastAsia" w:ascii="宋体" w:hAnsi="宋体" w:cs="宋体"/>
          <w:color w:val="auto"/>
          <w:sz w:val="28"/>
          <w:szCs w:val="28"/>
          <w:highlight w:val="none"/>
          <w:shd w:val="clear" w:color="auto" w:fill="auto"/>
        </w:rPr>
        <w:t>公司资产、负债情况</w:t>
      </w:r>
    </w:p>
    <w:p>
      <w:pPr>
        <w:ind w:firstLine="0" w:firstLineChars="0"/>
        <w:rPr>
          <w:rFonts w:ascii="仿宋_GB2312" w:eastAsia="仿宋_GB2312"/>
          <w:b/>
          <w:color w:val="auto"/>
          <w:szCs w:val="21"/>
          <w:highlight w:val="none"/>
          <w:shd w:val="clear" w:color="auto" w:fill="auto"/>
        </w:rPr>
      </w:pPr>
    </w:p>
    <w:tbl>
      <w:tblPr>
        <w:tblStyle w:val="17"/>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1606"/>
        <w:gridCol w:w="1838"/>
        <w:gridCol w:w="1679"/>
        <w:gridCol w:w="1651"/>
        <w:gridCol w:w="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cantSplit/>
          <w:trHeight w:val="857" w:hRule="exact"/>
          <w:jc w:val="center"/>
        </w:trPr>
        <w:tc>
          <w:tcPr>
            <w:tcW w:w="2405" w:type="dxa"/>
            <w:vMerge w:val="restart"/>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主要财务指标</w:t>
            </w:r>
          </w:p>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（单位：人民币元）</w:t>
            </w:r>
          </w:p>
        </w:tc>
        <w:tc>
          <w:tcPr>
            <w:tcW w:w="6774" w:type="dxa"/>
            <w:gridSpan w:val="4"/>
            <w:vAlign w:val="center"/>
          </w:tcPr>
          <w:p>
            <w:pPr>
              <w:ind w:firstLine="480" w:firstLineChars="0"/>
              <w:jc w:val="center"/>
              <w:rPr>
                <w:rFonts w:ascii="宋体" w:hAnsi="宋体"/>
                <w:color w:val="auto"/>
                <w:sz w:val="24"/>
                <w:szCs w:val="22"/>
                <w:highlight w:val="none"/>
                <w:shd w:val="clear" w:color="auto" w:fill="auto"/>
              </w:rPr>
            </w:pPr>
            <w:r>
              <w:rPr>
                <w:rFonts w:hint="eastAsia" w:ascii="宋体" w:hAnsi="宋体"/>
                <w:color w:val="auto"/>
                <w:sz w:val="24"/>
                <w:szCs w:val="22"/>
                <w:highlight w:val="none"/>
                <w:shd w:val="clear" w:color="auto" w:fill="auto"/>
              </w:rPr>
              <w:t>以下数据出自企业20</w:t>
            </w:r>
            <w:r>
              <w:rPr>
                <w:rFonts w:ascii="宋体" w:hAnsi="宋体"/>
                <w:color w:val="auto"/>
                <w:sz w:val="24"/>
                <w:szCs w:val="22"/>
                <w:highlight w:val="none"/>
                <w:shd w:val="clear" w:color="auto" w:fill="auto"/>
              </w:rPr>
              <w:t>21</w:t>
            </w:r>
            <w:r>
              <w:rPr>
                <w:rFonts w:hint="eastAsia" w:ascii="宋体" w:hAnsi="宋体"/>
                <w:color w:val="auto"/>
                <w:sz w:val="24"/>
                <w:szCs w:val="22"/>
                <w:highlight w:val="none"/>
                <w:shd w:val="clear" w:color="auto" w:fill="auto"/>
              </w:rPr>
              <w:t>年1-</w:t>
            </w:r>
            <w:r>
              <w:rPr>
                <w:rFonts w:ascii="宋体" w:hAnsi="宋体"/>
                <w:color w:val="auto"/>
                <w:sz w:val="24"/>
                <w:szCs w:val="22"/>
                <w:highlight w:val="none"/>
                <w:shd w:val="clear" w:color="auto" w:fill="auto"/>
              </w:rPr>
              <w:t>9</w:t>
            </w:r>
            <w:r>
              <w:rPr>
                <w:rFonts w:hint="eastAsia" w:ascii="宋体" w:hAnsi="宋体"/>
                <w:color w:val="auto"/>
                <w:sz w:val="24"/>
                <w:szCs w:val="22"/>
                <w:highlight w:val="none"/>
                <w:shd w:val="clear" w:color="auto" w:fill="auto"/>
              </w:rPr>
              <w:t>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405" w:type="dxa"/>
            <w:vMerge w:val="continue"/>
            <w:vAlign w:val="center"/>
          </w:tcPr>
          <w:p>
            <w:pPr>
              <w:ind w:firstLine="482" w:firstLineChars="0"/>
              <w:jc w:val="center"/>
              <w:rPr>
                <w:rFonts w:ascii="宋体" w:hAnsi="宋体"/>
                <w:b/>
                <w:color w:val="auto"/>
                <w:sz w:val="24"/>
                <w:szCs w:val="22"/>
                <w:highlight w:val="none"/>
                <w:shd w:val="clear" w:color="auto" w:fill="auto"/>
              </w:rPr>
            </w:pPr>
          </w:p>
        </w:tc>
        <w:tc>
          <w:tcPr>
            <w:tcW w:w="1606" w:type="dxa"/>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年度日期</w:t>
            </w:r>
          </w:p>
        </w:tc>
        <w:tc>
          <w:tcPr>
            <w:tcW w:w="1838" w:type="dxa"/>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资产总计</w:t>
            </w:r>
          </w:p>
        </w:tc>
        <w:tc>
          <w:tcPr>
            <w:tcW w:w="1679" w:type="dxa"/>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负债总计</w:t>
            </w:r>
          </w:p>
        </w:tc>
        <w:tc>
          <w:tcPr>
            <w:tcW w:w="1670" w:type="dxa"/>
            <w:gridSpan w:val="2"/>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405" w:type="dxa"/>
            <w:vMerge w:val="continue"/>
            <w:vAlign w:val="center"/>
          </w:tcPr>
          <w:p>
            <w:pPr>
              <w:ind w:firstLine="482" w:firstLineChars="0"/>
              <w:jc w:val="center"/>
              <w:rPr>
                <w:rFonts w:ascii="宋体" w:hAnsi="宋体"/>
                <w:b/>
                <w:color w:val="auto"/>
                <w:sz w:val="24"/>
                <w:szCs w:val="22"/>
                <w:highlight w:val="none"/>
                <w:shd w:val="clear" w:color="auto" w:fill="auto"/>
              </w:rPr>
            </w:pPr>
          </w:p>
        </w:tc>
        <w:tc>
          <w:tcPr>
            <w:tcW w:w="1606" w:type="dxa"/>
            <w:vMerge w:val="restart"/>
            <w:vAlign w:val="center"/>
          </w:tcPr>
          <w:p>
            <w:pPr>
              <w:ind w:firstLine="0" w:firstLineChars="0"/>
              <w:jc w:val="center"/>
              <w:rPr>
                <w:rFonts w:ascii="宋体" w:hAnsi="宋体"/>
                <w:color w:val="auto"/>
                <w:sz w:val="24"/>
                <w:szCs w:val="22"/>
                <w:highlight w:val="none"/>
                <w:u w:val="single"/>
                <w:shd w:val="clear" w:color="auto" w:fill="auto"/>
              </w:rPr>
            </w:pPr>
            <w:r>
              <w:rPr>
                <w:rFonts w:hint="eastAsia" w:ascii="宋体" w:hAnsi="宋体"/>
                <w:color w:val="auto"/>
                <w:szCs w:val="22"/>
                <w:highlight w:val="none"/>
                <w:shd w:val="clear" w:color="auto" w:fill="auto"/>
              </w:rPr>
              <w:t>20</w:t>
            </w:r>
            <w:r>
              <w:rPr>
                <w:rFonts w:ascii="宋体" w:hAnsi="宋体"/>
                <w:color w:val="auto"/>
                <w:szCs w:val="22"/>
                <w:highlight w:val="none"/>
                <w:shd w:val="clear" w:color="auto" w:fill="auto"/>
              </w:rPr>
              <w:t>21</w:t>
            </w:r>
            <w:r>
              <w:rPr>
                <w:rFonts w:hint="eastAsia" w:ascii="宋体" w:hAnsi="宋体"/>
                <w:color w:val="auto"/>
                <w:szCs w:val="22"/>
                <w:highlight w:val="none"/>
                <w:shd w:val="clear" w:color="auto" w:fill="auto"/>
              </w:rPr>
              <w:t>年</w:t>
            </w:r>
            <w:r>
              <w:rPr>
                <w:rFonts w:ascii="宋体" w:hAnsi="宋体"/>
                <w:color w:val="auto"/>
                <w:szCs w:val="22"/>
                <w:highlight w:val="none"/>
                <w:shd w:val="clear" w:color="auto" w:fill="auto"/>
              </w:rPr>
              <w:t>9</w:t>
            </w:r>
            <w:r>
              <w:rPr>
                <w:rFonts w:hint="eastAsia" w:ascii="宋体" w:hAnsi="宋体"/>
                <w:color w:val="auto"/>
                <w:szCs w:val="22"/>
                <w:highlight w:val="none"/>
                <w:shd w:val="clear" w:color="auto" w:fill="auto"/>
              </w:rPr>
              <w:t>月3</w:t>
            </w:r>
            <w:r>
              <w:rPr>
                <w:rFonts w:ascii="宋体" w:hAnsi="宋体"/>
                <w:color w:val="auto"/>
                <w:szCs w:val="22"/>
                <w:highlight w:val="none"/>
                <w:shd w:val="clear" w:color="auto" w:fill="auto"/>
              </w:rPr>
              <w:t>0</w:t>
            </w:r>
            <w:r>
              <w:rPr>
                <w:rFonts w:hint="eastAsia" w:ascii="宋体" w:hAnsi="宋体"/>
                <w:color w:val="auto"/>
                <w:szCs w:val="22"/>
                <w:highlight w:val="none"/>
                <w:shd w:val="clear" w:color="auto" w:fill="auto"/>
              </w:rPr>
              <w:t>日</w:t>
            </w:r>
          </w:p>
        </w:tc>
        <w:tc>
          <w:tcPr>
            <w:tcW w:w="1838" w:type="dxa"/>
            <w:vAlign w:val="center"/>
          </w:tcPr>
          <w:p>
            <w:pPr>
              <w:ind w:firstLine="0" w:firstLineChars="0"/>
              <w:jc w:val="center"/>
              <w:rPr>
                <w:rFonts w:ascii="宋体" w:hAnsi="宋体" w:cs="宋体"/>
                <w:color w:val="auto"/>
                <w:sz w:val="20"/>
                <w:szCs w:val="18"/>
                <w:highlight w:val="none"/>
                <w:shd w:val="clear" w:color="auto" w:fill="auto"/>
              </w:rPr>
            </w:pPr>
            <w:r>
              <w:rPr>
                <w:rFonts w:ascii="宋体" w:hAnsi="宋体" w:cs="宋体"/>
                <w:color w:val="auto"/>
                <w:sz w:val="20"/>
                <w:szCs w:val="18"/>
                <w:highlight w:val="none"/>
                <w:shd w:val="clear" w:color="auto" w:fill="auto"/>
              </w:rPr>
              <w:t>80,547,397.58</w:t>
            </w:r>
          </w:p>
        </w:tc>
        <w:tc>
          <w:tcPr>
            <w:tcW w:w="1679" w:type="dxa"/>
            <w:vAlign w:val="center"/>
          </w:tcPr>
          <w:p>
            <w:pPr>
              <w:ind w:firstLine="0" w:firstLineChars="0"/>
              <w:jc w:val="center"/>
              <w:rPr>
                <w:rFonts w:ascii="宋体" w:hAnsi="宋体" w:cs="宋体"/>
                <w:color w:val="auto"/>
                <w:sz w:val="20"/>
                <w:szCs w:val="18"/>
                <w:highlight w:val="none"/>
                <w:shd w:val="clear" w:color="auto" w:fill="auto"/>
              </w:rPr>
            </w:pPr>
            <w:r>
              <w:rPr>
                <w:rFonts w:ascii="宋体" w:hAnsi="宋体" w:cs="宋体"/>
                <w:color w:val="auto"/>
                <w:sz w:val="20"/>
                <w:szCs w:val="18"/>
                <w:highlight w:val="none"/>
                <w:shd w:val="clear" w:color="auto" w:fill="auto"/>
              </w:rPr>
              <w:t>23,967,802.61</w:t>
            </w:r>
          </w:p>
        </w:tc>
        <w:tc>
          <w:tcPr>
            <w:tcW w:w="1670" w:type="dxa"/>
            <w:gridSpan w:val="2"/>
            <w:vAlign w:val="center"/>
          </w:tcPr>
          <w:p>
            <w:pPr>
              <w:ind w:firstLine="0" w:firstLineChars="0"/>
              <w:jc w:val="center"/>
              <w:rPr>
                <w:rFonts w:ascii="宋体" w:hAnsi="宋体" w:cs="宋体"/>
                <w:color w:val="auto"/>
                <w:sz w:val="20"/>
                <w:szCs w:val="18"/>
                <w:highlight w:val="none"/>
                <w:shd w:val="clear" w:color="auto" w:fill="auto"/>
              </w:rPr>
            </w:pPr>
            <w:r>
              <w:rPr>
                <w:rFonts w:ascii="宋体" w:hAnsi="宋体" w:cs="宋体"/>
                <w:color w:val="auto"/>
                <w:sz w:val="20"/>
                <w:szCs w:val="18"/>
                <w:highlight w:val="none"/>
                <w:shd w:val="clear" w:color="auto" w:fill="auto"/>
              </w:rPr>
              <w:t>56,579,594.97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405" w:type="dxa"/>
            <w:vMerge w:val="continue"/>
            <w:shd w:val="clear" w:color="auto" w:fill="auto"/>
            <w:vAlign w:val="center"/>
          </w:tcPr>
          <w:p>
            <w:pPr>
              <w:ind w:firstLine="482" w:firstLineChars="0"/>
              <w:jc w:val="center"/>
              <w:rPr>
                <w:rFonts w:ascii="宋体" w:hAnsi="宋体"/>
                <w:b/>
                <w:color w:val="auto"/>
                <w:sz w:val="24"/>
                <w:szCs w:val="22"/>
                <w:highlight w:val="none"/>
                <w:shd w:val="clear" w:color="auto" w:fill="auto"/>
              </w:rPr>
            </w:pPr>
          </w:p>
        </w:tc>
        <w:tc>
          <w:tcPr>
            <w:tcW w:w="1606" w:type="dxa"/>
            <w:vMerge w:val="continue"/>
            <w:shd w:val="clear" w:color="auto" w:fill="auto"/>
            <w:vAlign w:val="center"/>
          </w:tcPr>
          <w:p>
            <w:pPr>
              <w:ind w:firstLine="0" w:firstLineChars="0"/>
              <w:jc w:val="center"/>
              <w:rPr>
                <w:rFonts w:ascii="宋体" w:hAnsi="宋体"/>
                <w:color w:val="auto"/>
                <w:sz w:val="24"/>
                <w:szCs w:val="22"/>
                <w:highlight w:val="none"/>
                <w:u w:val="single"/>
                <w:shd w:val="clear" w:color="auto" w:fill="auto"/>
              </w:rPr>
            </w:pPr>
          </w:p>
        </w:tc>
        <w:tc>
          <w:tcPr>
            <w:tcW w:w="1838" w:type="dxa"/>
            <w:shd w:val="clear" w:color="auto" w:fill="auto"/>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营业收入</w:t>
            </w:r>
          </w:p>
        </w:tc>
        <w:tc>
          <w:tcPr>
            <w:tcW w:w="1679" w:type="dxa"/>
            <w:shd w:val="clear" w:color="auto" w:fill="FFFFFF"/>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利润总额</w:t>
            </w:r>
          </w:p>
        </w:tc>
        <w:tc>
          <w:tcPr>
            <w:tcW w:w="1670" w:type="dxa"/>
            <w:gridSpan w:val="2"/>
            <w:shd w:val="clear" w:color="auto" w:fill="FFFFFF"/>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405" w:type="dxa"/>
            <w:vMerge w:val="continue"/>
            <w:shd w:val="clear" w:color="auto" w:fill="auto"/>
            <w:vAlign w:val="center"/>
          </w:tcPr>
          <w:p>
            <w:pPr>
              <w:ind w:firstLine="482" w:firstLineChars="0"/>
              <w:jc w:val="center"/>
              <w:rPr>
                <w:rFonts w:ascii="宋体" w:hAnsi="宋体"/>
                <w:b/>
                <w:color w:val="auto"/>
                <w:sz w:val="24"/>
                <w:szCs w:val="22"/>
                <w:highlight w:val="none"/>
                <w:shd w:val="clear" w:color="auto" w:fill="auto"/>
              </w:rPr>
            </w:pPr>
          </w:p>
        </w:tc>
        <w:tc>
          <w:tcPr>
            <w:tcW w:w="1606" w:type="dxa"/>
            <w:vMerge w:val="continue"/>
            <w:shd w:val="clear" w:color="auto" w:fill="auto"/>
            <w:vAlign w:val="center"/>
          </w:tcPr>
          <w:p>
            <w:pPr>
              <w:ind w:firstLine="0" w:firstLineChars="0"/>
              <w:jc w:val="center"/>
              <w:rPr>
                <w:rFonts w:ascii="宋体" w:hAnsi="宋体"/>
                <w:color w:val="auto"/>
                <w:sz w:val="24"/>
                <w:szCs w:val="22"/>
                <w:highlight w:val="none"/>
                <w:u w:val="single"/>
                <w:shd w:val="clear" w:color="auto" w:fill="auto"/>
              </w:rPr>
            </w:pPr>
          </w:p>
        </w:tc>
        <w:tc>
          <w:tcPr>
            <w:tcW w:w="1838" w:type="dxa"/>
            <w:shd w:val="clear" w:color="auto" w:fill="auto"/>
            <w:vAlign w:val="center"/>
          </w:tcPr>
          <w:p>
            <w:pPr>
              <w:ind w:firstLine="0" w:firstLineChars="0"/>
              <w:jc w:val="center"/>
              <w:rPr>
                <w:rFonts w:ascii="宋体" w:hAnsi="宋体" w:cs="宋体"/>
                <w:color w:val="auto"/>
                <w:sz w:val="20"/>
                <w:szCs w:val="18"/>
                <w:highlight w:val="none"/>
                <w:shd w:val="clear" w:color="auto" w:fill="auto"/>
              </w:rPr>
            </w:pPr>
            <w:r>
              <w:rPr>
                <w:rFonts w:ascii="宋体" w:hAnsi="宋体" w:cs="宋体"/>
                <w:color w:val="auto"/>
                <w:sz w:val="20"/>
                <w:szCs w:val="18"/>
                <w:highlight w:val="none"/>
                <w:shd w:val="clear" w:color="auto" w:fill="auto"/>
              </w:rPr>
              <w:t>1,327,981.95</w:t>
            </w:r>
          </w:p>
        </w:tc>
        <w:tc>
          <w:tcPr>
            <w:tcW w:w="1679" w:type="dxa"/>
            <w:shd w:val="clear" w:color="auto" w:fill="FFFFFF"/>
          </w:tcPr>
          <w:p>
            <w:pPr>
              <w:ind w:firstLine="0" w:firstLineChars="0"/>
              <w:jc w:val="center"/>
              <w:rPr>
                <w:rFonts w:ascii="宋体" w:hAnsi="宋体" w:cs="宋体"/>
                <w:color w:val="auto"/>
                <w:sz w:val="20"/>
                <w:szCs w:val="18"/>
                <w:highlight w:val="none"/>
                <w:shd w:val="clear" w:color="auto" w:fill="auto"/>
              </w:rPr>
            </w:pPr>
            <w:r>
              <w:rPr>
                <w:rFonts w:ascii="宋体" w:hAnsi="宋体" w:cs="宋体"/>
                <w:color w:val="auto"/>
                <w:sz w:val="20"/>
                <w:szCs w:val="18"/>
                <w:highlight w:val="none"/>
                <w:shd w:val="clear" w:color="auto" w:fill="auto"/>
              </w:rPr>
              <w:t>-14,146,048.39</w:t>
            </w:r>
          </w:p>
        </w:tc>
        <w:tc>
          <w:tcPr>
            <w:tcW w:w="1670" w:type="dxa"/>
            <w:gridSpan w:val="2"/>
            <w:shd w:val="clear" w:color="auto" w:fill="FFFFFF"/>
          </w:tcPr>
          <w:p>
            <w:pPr>
              <w:ind w:firstLine="0" w:firstLineChars="0"/>
              <w:jc w:val="center"/>
              <w:rPr>
                <w:rFonts w:ascii="宋体" w:hAnsi="宋体" w:cs="宋体"/>
                <w:color w:val="auto"/>
                <w:sz w:val="20"/>
                <w:szCs w:val="18"/>
                <w:highlight w:val="none"/>
                <w:shd w:val="clear" w:color="auto" w:fill="auto"/>
              </w:rPr>
            </w:pPr>
            <w:r>
              <w:rPr>
                <w:rFonts w:ascii="宋体" w:hAnsi="宋体" w:cs="宋体"/>
                <w:color w:val="auto"/>
                <w:sz w:val="20"/>
                <w:szCs w:val="18"/>
                <w:highlight w:val="none"/>
                <w:shd w:val="clear" w:color="auto" w:fill="auto"/>
              </w:rPr>
              <w:t>-14,146,048.39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cantSplit/>
          <w:trHeight w:val="429" w:hRule="exact"/>
          <w:jc w:val="center"/>
        </w:trPr>
        <w:tc>
          <w:tcPr>
            <w:tcW w:w="2405" w:type="dxa"/>
            <w:vMerge w:val="continue"/>
            <w:shd w:val="clear" w:color="auto" w:fill="auto"/>
            <w:vAlign w:val="center"/>
          </w:tcPr>
          <w:p>
            <w:pPr>
              <w:ind w:firstLine="482" w:firstLineChars="0"/>
              <w:jc w:val="center"/>
              <w:rPr>
                <w:rFonts w:ascii="宋体" w:hAnsi="宋体"/>
                <w:b/>
                <w:color w:val="auto"/>
                <w:sz w:val="24"/>
                <w:szCs w:val="22"/>
                <w:highlight w:val="none"/>
                <w:shd w:val="clear" w:color="auto" w:fill="auto"/>
              </w:rPr>
            </w:pPr>
          </w:p>
        </w:tc>
        <w:tc>
          <w:tcPr>
            <w:tcW w:w="1606" w:type="dxa"/>
            <w:shd w:val="clear" w:color="auto" w:fill="auto"/>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审计机构</w:t>
            </w:r>
          </w:p>
        </w:tc>
        <w:tc>
          <w:tcPr>
            <w:tcW w:w="5168" w:type="dxa"/>
            <w:gridSpan w:val="3"/>
            <w:shd w:val="clear" w:color="auto" w:fill="FFFFFF"/>
            <w:vAlign w:val="center"/>
          </w:tcPr>
          <w:p>
            <w:pPr>
              <w:ind w:firstLine="0" w:firstLineChars="0"/>
              <w:jc w:val="center"/>
              <w:rPr>
                <w:rFonts w:ascii="宋体" w:hAnsi="宋体"/>
                <w:color w:val="auto"/>
                <w:sz w:val="24"/>
                <w:szCs w:val="22"/>
                <w:highlight w:val="none"/>
                <w:shd w:val="clear" w:color="auto" w:fill="auto"/>
              </w:rPr>
            </w:pPr>
            <w:r>
              <w:rPr>
                <w:rFonts w:hint="eastAsia" w:ascii="宋体" w:hAnsi="宋体"/>
                <w:color w:val="auto"/>
                <w:sz w:val="24"/>
                <w:szCs w:val="22"/>
                <w:highlight w:val="none"/>
                <w:shd w:val="clear" w:color="auto" w:fill="auto"/>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cantSplit/>
          <w:trHeight w:val="429" w:hRule="exact"/>
          <w:jc w:val="center"/>
        </w:trPr>
        <w:tc>
          <w:tcPr>
            <w:tcW w:w="2405" w:type="dxa"/>
            <w:vMerge w:val="continue"/>
            <w:shd w:val="clear" w:color="auto" w:fill="auto"/>
            <w:vAlign w:val="center"/>
          </w:tcPr>
          <w:p>
            <w:pPr>
              <w:ind w:firstLine="482" w:firstLineChars="0"/>
              <w:jc w:val="center"/>
              <w:rPr>
                <w:rFonts w:ascii="宋体" w:hAnsi="宋体"/>
                <w:b/>
                <w:color w:val="auto"/>
                <w:sz w:val="24"/>
                <w:szCs w:val="22"/>
                <w:highlight w:val="none"/>
                <w:shd w:val="clear" w:color="auto" w:fill="auto"/>
              </w:rPr>
            </w:pPr>
          </w:p>
        </w:tc>
        <w:tc>
          <w:tcPr>
            <w:tcW w:w="6774" w:type="dxa"/>
            <w:gridSpan w:val="4"/>
            <w:shd w:val="clear" w:color="auto" w:fill="FFFFFF"/>
            <w:vAlign w:val="center"/>
          </w:tcPr>
          <w:p>
            <w:pPr>
              <w:ind w:firstLine="0" w:firstLineChars="0"/>
              <w:jc w:val="center"/>
              <w:rPr>
                <w:rFonts w:ascii="宋体" w:hAnsi="宋体"/>
                <w:color w:val="auto"/>
                <w:sz w:val="24"/>
                <w:szCs w:val="22"/>
                <w:highlight w:val="none"/>
                <w:shd w:val="clear" w:color="auto" w:fill="auto"/>
              </w:rPr>
            </w:pPr>
            <w:r>
              <w:rPr>
                <w:rFonts w:hint="eastAsia" w:ascii="宋体" w:hAnsi="宋体"/>
                <w:color w:val="auto"/>
                <w:sz w:val="24"/>
                <w:szCs w:val="22"/>
                <w:highlight w:val="none"/>
                <w:shd w:val="clear" w:color="auto" w:fill="auto"/>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405" w:type="dxa"/>
            <w:vMerge w:val="continue"/>
            <w:shd w:val="clear" w:color="auto" w:fill="auto"/>
            <w:vAlign w:val="center"/>
          </w:tcPr>
          <w:p>
            <w:pPr>
              <w:ind w:firstLine="480" w:firstLineChars="0"/>
              <w:jc w:val="center"/>
              <w:rPr>
                <w:rFonts w:ascii="宋体" w:hAnsi="宋体"/>
                <w:color w:val="auto"/>
                <w:sz w:val="24"/>
                <w:szCs w:val="22"/>
                <w:highlight w:val="none"/>
                <w:shd w:val="clear" w:color="auto" w:fill="auto"/>
              </w:rPr>
            </w:pPr>
          </w:p>
        </w:tc>
        <w:tc>
          <w:tcPr>
            <w:tcW w:w="1606" w:type="dxa"/>
            <w:shd w:val="clear" w:color="auto" w:fill="auto"/>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报表日期</w:t>
            </w:r>
          </w:p>
        </w:tc>
        <w:tc>
          <w:tcPr>
            <w:tcW w:w="1838" w:type="dxa"/>
            <w:shd w:val="clear" w:color="auto" w:fill="auto"/>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资产总计</w:t>
            </w:r>
          </w:p>
        </w:tc>
        <w:tc>
          <w:tcPr>
            <w:tcW w:w="1679" w:type="dxa"/>
            <w:shd w:val="clear" w:color="auto" w:fill="FFFFFF"/>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负债总计</w:t>
            </w:r>
          </w:p>
        </w:tc>
        <w:tc>
          <w:tcPr>
            <w:tcW w:w="1670" w:type="dxa"/>
            <w:gridSpan w:val="2"/>
            <w:shd w:val="clear" w:color="auto" w:fill="FFFFFF"/>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exact"/>
          <w:jc w:val="center"/>
        </w:trPr>
        <w:tc>
          <w:tcPr>
            <w:tcW w:w="2405" w:type="dxa"/>
            <w:vMerge w:val="continue"/>
            <w:shd w:val="clear" w:color="auto" w:fill="auto"/>
            <w:vAlign w:val="center"/>
          </w:tcPr>
          <w:p>
            <w:pPr>
              <w:ind w:firstLine="480" w:firstLineChars="0"/>
              <w:rPr>
                <w:rFonts w:ascii="宋体" w:hAnsi="宋体"/>
                <w:color w:val="auto"/>
                <w:sz w:val="24"/>
                <w:szCs w:val="22"/>
                <w:highlight w:val="none"/>
                <w:shd w:val="clear" w:color="auto" w:fill="auto"/>
              </w:rPr>
            </w:pPr>
          </w:p>
        </w:tc>
        <w:tc>
          <w:tcPr>
            <w:tcW w:w="1606" w:type="dxa"/>
            <w:shd w:val="clear" w:color="auto" w:fill="auto"/>
            <w:vAlign w:val="center"/>
          </w:tcPr>
          <w:p>
            <w:pPr>
              <w:ind w:firstLine="0" w:firstLineChars="0"/>
              <w:jc w:val="center"/>
              <w:rPr>
                <w:rFonts w:ascii="宋体" w:hAnsi="宋体"/>
                <w:color w:val="auto"/>
                <w:sz w:val="24"/>
                <w:szCs w:val="22"/>
                <w:highlight w:val="none"/>
                <w:shd w:val="clear" w:color="auto" w:fill="auto"/>
              </w:rPr>
            </w:pPr>
            <w:r>
              <w:rPr>
                <w:rFonts w:hint="eastAsia" w:ascii="宋体" w:hAnsi="宋体"/>
                <w:color w:val="auto"/>
                <w:szCs w:val="22"/>
                <w:highlight w:val="none"/>
                <w:shd w:val="clear" w:color="auto" w:fill="auto"/>
              </w:rPr>
              <w:t>20</w:t>
            </w:r>
            <w:r>
              <w:rPr>
                <w:rFonts w:ascii="宋体" w:hAnsi="宋体"/>
                <w:color w:val="auto"/>
                <w:szCs w:val="22"/>
                <w:highlight w:val="none"/>
                <w:shd w:val="clear" w:color="auto" w:fill="auto"/>
              </w:rPr>
              <w:t>21</w:t>
            </w:r>
            <w:r>
              <w:rPr>
                <w:rFonts w:hint="eastAsia" w:ascii="宋体" w:hAnsi="宋体"/>
                <w:color w:val="auto"/>
                <w:szCs w:val="22"/>
                <w:highlight w:val="none"/>
                <w:shd w:val="clear" w:color="auto" w:fill="auto"/>
              </w:rPr>
              <w:t>年</w:t>
            </w:r>
            <w:r>
              <w:rPr>
                <w:rFonts w:ascii="宋体" w:hAnsi="宋体"/>
                <w:color w:val="auto"/>
                <w:szCs w:val="22"/>
                <w:highlight w:val="none"/>
                <w:shd w:val="clear" w:color="auto" w:fill="auto"/>
              </w:rPr>
              <w:t>9</w:t>
            </w:r>
            <w:r>
              <w:rPr>
                <w:rFonts w:hint="eastAsia" w:ascii="宋体" w:hAnsi="宋体"/>
                <w:color w:val="auto"/>
                <w:szCs w:val="22"/>
                <w:highlight w:val="none"/>
                <w:shd w:val="clear" w:color="auto" w:fill="auto"/>
              </w:rPr>
              <w:t>月30日</w:t>
            </w:r>
          </w:p>
        </w:tc>
        <w:tc>
          <w:tcPr>
            <w:tcW w:w="1838" w:type="dxa"/>
            <w:shd w:val="clear" w:color="auto" w:fill="auto"/>
            <w:vAlign w:val="center"/>
          </w:tcPr>
          <w:p>
            <w:pPr>
              <w:ind w:firstLine="0" w:firstLineChars="0"/>
              <w:jc w:val="center"/>
              <w:rPr>
                <w:rFonts w:ascii="宋体" w:hAnsi="宋体"/>
                <w:color w:val="auto"/>
                <w:sz w:val="24"/>
                <w:szCs w:val="22"/>
                <w:highlight w:val="none"/>
                <w:shd w:val="clear" w:color="auto" w:fill="auto"/>
              </w:rPr>
            </w:pPr>
            <w:r>
              <w:rPr>
                <w:rFonts w:ascii="宋体" w:hAnsi="宋体" w:cs="宋体"/>
                <w:color w:val="auto"/>
                <w:sz w:val="20"/>
                <w:szCs w:val="18"/>
                <w:highlight w:val="none"/>
                <w:shd w:val="clear" w:color="auto" w:fill="auto"/>
              </w:rPr>
              <w:t>80,547,397.58</w:t>
            </w:r>
          </w:p>
        </w:tc>
        <w:tc>
          <w:tcPr>
            <w:tcW w:w="1679" w:type="dxa"/>
            <w:shd w:val="clear" w:color="auto" w:fill="FFFFFF"/>
            <w:vAlign w:val="center"/>
          </w:tcPr>
          <w:p>
            <w:pPr>
              <w:ind w:firstLine="0" w:firstLineChars="0"/>
              <w:jc w:val="center"/>
              <w:rPr>
                <w:rFonts w:ascii="宋体" w:hAnsi="宋体"/>
                <w:color w:val="auto"/>
                <w:sz w:val="24"/>
                <w:szCs w:val="22"/>
                <w:highlight w:val="none"/>
                <w:shd w:val="clear" w:color="auto" w:fill="auto"/>
              </w:rPr>
            </w:pPr>
            <w:r>
              <w:rPr>
                <w:rFonts w:ascii="宋体" w:hAnsi="宋体" w:cs="宋体"/>
                <w:color w:val="auto"/>
                <w:sz w:val="20"/>
                <w:szCs w:val="18"/>
                <w:highlight w:val="none"/>
                <w:shd w:val="clear" w:color="auto" w:fill="auto"/>
              </w:rPr>
              <w:t>23,967,802.61</w:t>
            </w:r>
          </w:p>
        </w:tc>
        <w:tc>
          <w:tcPr>
            <w:tcW w:w="1670" w:type="dxa"/>
            <w:gridSpan w:val="2"/>
            <w:shd w:val="clear" w:color="auto" w:fill="FFFFFF"/>
            <w:vAlign w:val="center"/>
          </w:tcPr>
          <w:p>
            <w:pPr>
              <w:ind w:firstLine="0" w:firstLineChars="0"/>
              <w:jc w:val="center"/>
              <w:rPr>
                <w:rFonts w:ascii="宋体" w:hAnsi="宋体"/>
                <w:color w:val="auto"/>
                <w:sz w:val="24"/>
                <w:szCs w:val="22"/>
                <w:highlight w:val="none"/>
                <w:shd w:val="clear" w:color="auto" w:fill="auto"/>
              </w:rPr>
            </w:pPr>
            <w:r>
              <w:rPr>
                <w:rFonts w:ascii="宋体" w:hAnsi="宋体" w:cs="宋体"/>
                <w:color w:val="auto"/>
                <w:sz w:val="20"/>
                <w:szCs w:val="18"/>
                <w:highlight w:val="none"/>
                <w:shd w:val="clear" w:color="auto" w:fill="auto"/>
              </w:rPr>
              <w:t>56,579,594.97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405" w:type="dxa"/>
            <w:vMerge w:val="continue"/>
            <w:shd w:val="clear" w:color="auto" w:fill="auto"/>
            <w:vAlign w:val="center"/>
          </w:tcPr>
          <w:p>
            <w:pPr>
              <w:ind w:firstLine="480" w:firstLineChars="0"/>
              <w:rPr>
                <w:rFonts w:ascii="宋体" w:hAnsi="宋体"/>
                <w:color w:val="auto"/>
                <w:sz w:val="24"/>
                <w:szCs w:val="22"/>
                <w:highlight w:val="none"/>
                <w:shd w:val="clear" w:color="auto" w:fill="auto"/>
              </w:rPr>
            </w:pPr>
          </w:p>
        </w:tc>
        <w:tc>
          <w:tcPr>
            <w:tcW w:w="1606" w:type="dxa"/>
            <w:shd w:val="clear" w:color="auto" w:fill="auto"/>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报表类型</w:t>
            </w:r>
          </w:p>
        </w:tc>
        <w:tc>
          <w:tcPr>
            <w:tcW w:w="1838" w:type="dxa"/>
            <w:shd w:val="clear" w:color="auto" w:fill="auto"/>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营业收入</w:t>
            </w:r>
          </w:p>
        </w:tc>
        <w:tc>
          <w:tcPr>
            <w:tcW w:w="1679" w:type="dxa"/>
            <w:shd w:val="clear" w:color="auto" w:fill="FFFFFF"/>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利润总额</w:t>
            </w:r>
          </w:p>
        </w:tc>
        <w:tc>
          <w:tcPr>
            <w:tcW w:w="1670" w:type="dxa"/>
            <w:gridSpan w:val="2"/>
            <w:shd w:val="clear" w:color="auto" w:fill="FFFFFF"/>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405" w:type="dxa"/>
            <w:vMerge w:val="continue"/>
            <w:shd w:val="clear" w:color="auto" w:fill="auto"/>
            <w:vAlign w:val="center"/>
          </w:tcPr>
          <w:p>
            <w:pPr>
              <w:ind w:firstLine="480" w:firstLineChars="0"/>
              <w:rPr>
                <w:rFonts w:ascii="宋体" w:hAnsi="宋体"/>
                <w:color w:val="auto"/>
                <w:sz w:val="24"/>
                <w:szCs w:val="22"/>
                <w:highlight w:val="none"/>
                <w:shd w:val="clear" w:color="auto" w:fill="auto"/>
              </w:rPr>
            </w:pPr>
          </w:p>
        </w:tc>
        <w:tc>
          <w:tcPr>
            <w:tcW w:w="1606" w:type="dxa"/>
            <w:shd w:val="clear" w:color="auto" w:fill="auto"/>
            <w:vAlign w:val="center"/>
          </w:tcPr>
          <w:p>
            <w:pPr>
              <w:ind w:firstLine="0" w:firstLineChars="0"/>
              <w:jc w:val="center"/>
              <w:rPr>
                <w:rFonts w:ascii="宋体" w:hAnsi="宋体"/>
                <w:color w:val="auto"/>
                <w:sz w:val="24"/>
                <w:szCs w:val="22"/>
                <w:highlight w:val="none"/>
                <w:shd w:val="clear" w:color="auto" w:fill="auto"/>
              </w:rPr>
            </w:pPr>
          </w:p>
        </w:tc>
        <w:tc>
          <w:tcPr>
            <w:tcW w:w="1838" w:type="dxa"/>
            <w:shd w:val="clear" w:color="auto" w:fill="auto"/>
            <w:vAlign w:val="center"/>
          </w:tcPr>
          <w:p>
            <w:pPr>
              <w:ind w:firstLine="0" w:firstLineChars="0"/>
              <w:jc w:val="center"/>
              <w:rPr>
                <w:rFonts w:ascii="宋体" w:hAnsi="宋体"/>
                <w:color w:val="auto"/>
                <w:sz w:val="24"/>
                <w:szCs w:val="22"/>
                <w:highlight w:val="none"/>
                <w:shd w:val="clear" w:color="auto" w:fill="auto"/>
              </w:rPr>
            </w:pPr>
            <w:r>
              <w:rPr>
                <w:rFonts w:ascii="宋体" w:hAnsi="宋体" w:cs="宋体"/>
                <w:color w:val="auto"/>
                <w:sz w:val="20"/>
                <w:szCs w:val="18"/>
                <w:highlight w:val="none"/>
                <w:shd w:val="clear" w:color="auto" w:fill="auto"/>
              </w:rPr>
              <w:t>1,327,981.95</w:t>
            </w:r>
          </w:p>
        </w:tc>
        <w:tc>
          <w:tcPr>
            <w:tcW w:w="1679" w:type="dxa"/>
            <w:shd w:val="clear" w:color="auto" w:fill="FFFFFF"/>
          </w:tcPr>
          <w:p>
            <w:pPr>
              <w:ind w:firstLine="0" w:firstLineChars="0"/>
              <w:jc w:val="center"/>
              <w:rPr>
                <w:rFonts w:ascii="宋体" w:hAnsi="宋体"/>
                <w:color w:val="auto"/>
                <w:sz w:val="24"/>
                <w:szCs w:val="22"/>
                <w:highlight w:val="none"/>
                <w:shd w:val="clear" w:color="auto" w:fill="auto"/>
              </w:rPr>
            </w:pPr>
            <w:r>
              <w:rPr>
                <w:rFonts w:ascii="宋体" w:hAnsi="宋体" w:cs="宋体"/>
                <w:color w:val="auto"/>
                <w:sz w:val="20"/>
                <w:szCs w:val="18"/>
                <w:highlight w:val="none"/>
                <w:shd w:val="clear" w:color="auto" w:fill="auto"/>
              </w:rPr>
              <w:t>-14,146,048.39</w:t>
            </w:r>
          </w:p>
        </w:tc>
        <w:tc>
          <w:tcPr>
            <w:tcW w:w="1670" w:type="dxa"/>
            <w:gridSpan w:val="2"/>
            <w:shd w:val="clear" w:color="auto" w:fill="FFFFFF"/>
          </w:tcPr>
          <w:p>
            <w:pPr>
              <w:ind w:firstLine="0" w:firstLineChars="0"/>
              <w:jc w:val="center"/>
              <w:rPr>
                <w:rFonts w:ascii="宋体" w:hAnsi="宋体"/>
                <w:color w:val="auto"/>
                <w:sz w:val="24"/>
                <w:szCs w:val="22"/>
                <w:highlight w:val="none"/>
                <w:shd w:val="clear" w:color="auto" w:fill="auto"/>
              </w:rPr>
            </w:pPr>
            <w:r>
              <w:rPr>
                <w:rFonts w:ascii="宋体" w:hAnsi="宋体" w:cs="宋体"/>
                <w:color w:val="auto"/>
                <w:sz w:val="20"/>
                <w:szCs w:val="18"/>
                <w:highlight w:val="none"/>
                <w:shd w:val="clear" w:color="auto" w:fill="auto"/>
              </w:rPr>
              <w:t>-14,146,048.39</w:t>
            </w:r>
          </w:p>
        </w:tc>
      </w:tr>
    </w:tbl>
    <w:p>
      <w:pPr>
        <w:ind w:left="0" w:leftChars="0" w:firstLine="0" w:firstLineChars="0"/>
        <w:rPr>
          <w:rFonts w:ascii="仿宋_GB2312" w:eastAsia="仿宋_GB2312"/>
          <w:b/>
          <w:color w:val="auto"/>
          <w:szCs w:val="21"/>
          <w:highlight w:val="none"/>
          <w:shd w:val="clear" w:color="auto" w:fill="auto"/>
        </w:rPr>
      </w:pPr>
    </w:p>
    <w:tbl>
      <w:tblPr>
        <w:tblStyle w:val="17"/>
        <w:tblW w:w="8835" w:type="dxa"/>
        <w:tblInd w:w="114"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740"/>
        <w:gridCol w:w="2820"/>
        <w:gridCol w:w="427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57" w:hRule="atLeast"/>
        </w:trPr>
        <w:tc>
          <w:tcPr>
            <w:tcW w:w="1740" w:type="dxa"/>
            <w:vMerge w:val="restart"/>
            <w:vAlign w:val="center"/>
          </w:tcPr>
          <w:p>
            <w:pPr>
              <w:ind w:firstLine="0" w:firstLineChars="0"/>
              <w:jc w:val="center"/>
              <w:rPr>
                <w:rFonts w:ascii="仿宋_GB2312" w:eastAsia="仿宋_GB2312"/>
                <w:b/>
                <w:color w:val="auto"/>
                <w:szCs w:val="21"/>
                <w:highlight w:val="none"/>
                <w:shd w:val="clear" w:color="auto" w:fill="auto"/>
              </w:rPr>
            </w:pPr>
            <w:r>
              <w:rPr>
                <w:rFonts w:hint="eastAsia" w:ascii="宋体" w:hAnsi="宋体" w:cs="宋体"/>
                <w:b/>
                <w:color w:val="auto"/>
                <w:sz w:val="24"/>
                <w:highlight w:val="none"/>
                <w:shd w:val="clear" w:color="auto" w:fill="auto"/>
              </w:rPr>
              <w:t>中介机构</w:t>
            </w:r>
          </w:p>
        </w:tc>
        <w:tc>
          <w:tcPr>
            <w:tcW w:w="2820" w:type="dxa"/>
            <w:vAlign w:val="center"/>
          </w:tcPr>
          <w:p>
            <w:pPr>
              <w:ind w:firstLine="0" w:firstLineChars="0"/>
              <w:jc w:val="center"/>
              <w:rPr>
                <w:rFonts w:ascii="仿宋_GB2312" w:eastAsia="仿宋_GB2312"/>
                <w:b/>
                <w:color w:val="auto"/>
                <w:szCs w:val="21"/>
                <w:highlight w:val="none"/>
                <w:shd w:val="clear" w:color="auto" w:fill="auto"/>
              </w:rPr>
            </w:pPr>
            <w:r>
              <w:rPr>
                <w:rFonts w:hint="eastAsia" w:ascii="宋体" w:hAnsi="宋体" w:cs="宋体"/>
                <w:b/>
                <w:color w:val="auto"/>
                <w:sz w:val="24"/>
                <w:highlight w:val="none"/>
                <w:shd w:val="clear" w:color="auto" w:fill="auto"/>
              </w:rPr>
              <w:t>律 师 事 务 所</w:t>
            </w:r>
          </w:p>
        </w:tc>
        <w:tc>
          <w:tcPr>
            <w:tcW w:w="4275" w:type="dxa"/>
            <w:vAlign w:val="center"/>
          </w:tcPr>
          <w:p>
            <w:pPr>
              <w:ind w:firstLine="0" w:firstLineChars="0"/>
              <w:jc w:val="center"/>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北京德恒（杭州）律师事务所</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29" w:hRule="atLeast"/>
        </w:trPr>
        <w:tc>
          <w:tcPr>
            <w:tcW w:w="1740" w:type="dxa"/>
            <w:vMerge w:val="continue"/>
            <w:vAlign w:val="center"/>
          </w:tcPr>
          <w:p>
            <w:pPr>
              <w:ind w:firstLine="0" w:firstLineChars="0"/>
              <w:jc w:val="center"/>
              <w:rPr>
                <w:rFonts w:ascii="仿宋_GB2312" w:eastAsia="仿宋_GB2312"/>
                <w:b/>
                <w:color w:val="auto"/>
                <w:szCs w:val="21"/>
                <w:highlight w:val="none"/>
                <w:shd w:val="clear" w:color="auto" w:fill="auto"/>
              </w:rPr>
            </w:pPr>
          </w:p>
        </w:tc>
        <w:tc>
          <w:tcPr>
            <w:tcW w:w="2820" w:type="dxa"/>
            <w:vAlign w:val="center"/>
          </w:tcPr>
          <w:p>
            <w:pPr>
              <w:ind w:firstLine="0" w:firstLineChars="0"/>
              <w:jc w:val="center"/>
              <w:rPr>
                <w:rFonts w:ascii="仿宋_GB2312" w:eastAsia="仿宋_GB2312"/>
                <w:b/>
                <w:color w:val="auto"/>
                <w:szCs w:val="21"/>
                <w:highlight w:val="none"/>
                <w:shd w:val="clear" w:color="auto" w:fill="auto"/>
              </w:rPr>
            </w:pPr>
            <w:r>
              <w:rPr>
                <w:rFonts w:hint="eastAsia" w:ascii="宋体" w:hAnsi="宋体" w:cs="宋体"/>
                <w:b/>
                <w:color w:val="auto"/>
                <w:sz w:val="24"/>
                <w:highlight w:val="none"/>
                <w:shd w:val="clear" w:color="auto" w:fill="auto"/>
              </w:rPr>
              <w:t>会 计 师 事 务 所</w:t>
            </w:r>
          </w:p>
        </w:tc>
        <w:tc>
          <w:tcPr>
            <w:tcW w:w="4275" w:type="dxa"/>
            <w:vAlign w:val="center"/>
          </w:tcPr>
          <w:p>
            <w:pPr>
              <w:ind w:firstLine="0" w:firstLineChars="0"/>
              <w:jc w:val="center"/>
              <w:rPr>
                <w:rFonts w:ascii="仿宋_GB2312" w:eastAsia="仿宋_GB2312"/>
                <w:b/>
                <w:color w:val="auto"/>
                <w:szCs w:val="21"/>
                <w:highlight w:val="none"/>
                <w:shd w:val="clear" w:color="auto" w:fill="auto"/>
              </w:rPr>
            </w:pPr>
            <w:r>
              <w:rPr>
                <w:rFonts w:hint="eastAsia" w:ascii="宋体" w:hAnsi="宋体" w:cs="宋体"/>
                <w:color w:val="auto"/>
                <w:sz w:val="24"/>
                <w:highlight w:val="none"/>
                <w:shd w:val="clear" w:color="auto" w:fill="auto"/>
              </w:rPr>
              <w:t>天健会计师事务所（特殊普通合伙）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2" w:hRule="atLeast"/>
        </w:trPr>
        <w:tc>
          <w:tcPr>
            <w:tcW w:w="1740" w:type="dxa"/>
            <w:vMerge w:val="continue"/>
            <w:vAlign w:val="center"/>
          </w:tcPr>
          <w:p>
            <w:pPr>
              <w:ind w:firstLine="0" w:firstLineChars="0"/>
              <w:jc w:val="center"/>
              <w:rPr>
                <w:rFonts w:ascii="仿宋_GB2312" w:eastAsia="仿宋_GB2312"/>
                <w:b/>
                <w:color w:val="auto"/>
                <w:szCs w:val="21"/>
                <w:highlight w:val="none"/>
                <w:shd w:val="clear" w:color="auto" w:fill="auto"/>
              </w:rPr>
            </w:pPr>
          </w:p>
        </w:tc>
        <w:tc>
          <w:tcPr>
            <w:tcW w:w="2820" w:type="dxa"/>
            <w:vAlign w:val="center"/>
          </w:tcPr>
          <w:p>
            <w:pPr>
              <w:ind w:firstLine="0" w:firstLineChars="0"/>
              <w:jc w:val="center"/>
              <w:rPr>
                <w:rFonts w:ascii="仿宋_GB2312" w:eastAsia="仿宋_GB2312"/>
                <w:b/>
                <w:color w:val="auto"/>
                <w:szCs w:val="21"/>
                <w:highlight w:val="none"/>
                <w:shd w:val="clear" w:color="auto" w:fill="auto"/>
              </w:rPr>
            </w:pPr>
            <w:r>
              <w:rPr>
                <w:rFonts w:hint="eastAsia" w:ascii="宋体" w:hAnsi="宋体" w:cs="宋体"/>
                <w:b/>
                <w:color w:val="auto"/>
                <w:sz w:val="24"/>
                <w:highlight w:val="none"/>
                <w:shd w:val="clear" w:color="auto" w:fill="auto"/>
              </w:rPr>
              <w:t>评 估 事 务 所</w:t>
            </w:r>
          </w:p>
        </w:tc>
        <w:tc>
          <w:tcPr>
            <w:tcW w:w="4275" w:type="dxa"/>
            <w:vAlign w:val="center"/>
          </w:tcPr>
          <w:p>
            <w:pPr>
              <w:ind w:firstLine="0" w:firstLineChars="0"/>
              <w:jc w:val="center"/>
              <w:rPr>
                <w:rFonts w:ascii="仿宋_GB2312" w:eastAsia="仿宋_GB2312"/>
                <w:b/>
                <w:color w:val="auto"/>
                <w:szCs w:val="21"/>
                <w:highlight w:val="none"/>
                <w:shd w:val="clear" w:color="auto" w:fill="auto"/>
              </w:rPr>
            </w:pPr>
            <w:r>
              <w:rPr>
                <w:rFonts w:hint="eastAsia" w:ascii="宋体" w:hAnsi="宋体" w:cs="宋体"/>
                <w:color w:val="auto"/>
                <w:sz w:val="24"/>
                <w:highlight w:val="none"/>
                <w:shd w:val="clear" w:color="auto" w:fill="auto"/>
              </w:rPr>
              <w:t>坤元资产评估有限公司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2" w:hRule="atLeast"/>
        </w:trPr>
        <w:tc>
          <w:tcPr>
            <w:tcW w:w="1740" w:type="dxa"/>
            <w:vMerge w:val="restart"/>
            <w:vAlign w:val="center"/>
          </w:tcPr>
          <w:p>
            <w:pPr>
              <w:ind w:firstLine="0" w:firstLineChars="0"/>
              <w:jc w:val="center"/>
              <w:rPr>
                <w:rFonts w:ascii="宋体" w:hAnsi="宋体" w:cs="宋体"/>
                <w:b/>
                <w:color w:val="auto"/>
                <w:sz w:val="24"/>
                <w:highlight w:val="none"/>
                <w:shd w:val="clear" w:color="auto" w:fill="auto"/>
              </w:rPr>
            </w:pPr>
            <w:r>
              <w:rPr>
                <w:rFonts w:hint="eastAsia" w:ascii="宋体" w:hAnsi="宋体" w:cs="宋体"/>
                <w:b/>
                <w:color w:val="auto"/>
                <w:sz w:val="24"/>
                <w:highlight w:val="none"/>
                <w:shd w:val="clear" w:color="auto" w:fill="auto"/>
              </w:rPr>
              <w:t>资产评估核准</w:t>
            </w:r>
          </w:p>
          <w:p>
            <w:pPr>
              <w:ind w:firstLine="0" w:firstLineChars="0"/>
              <w:jc w:val="center"/>
              <w:rPr>
                <w:rFonts w:ascii="仿宋_GB2312" w:eastAsia="仿宋_GB2312"/>
                <w:b/>
                <w:color w:val="auto"/>
                <w:szCs w:val="21"/>
                <w:highlight w:val="none"/>
                <w:shd w:val="clear" w:color="auto" w:fill="auto"/>
              </w:rPr>
            </w:pPr>
            <w:r>
              <w:rPr>
                <w:rFonts w:hint="eastAsia" w:ascii="宋体" w:hAnsi="宋体" w:cs="宋体"/>
                <w:b/>
                <w:color w:val="auto"/>
                <w:sz w:val="24"/>
                <w:highlight w:val="none"/>
                <w:shd w:val="clear" w:color="auto" w:fill="auto"/>
              </w:rPr>
              <w:t>或备案情况</w:t>
            </w:r>
          </w:p>
        </w:tc>
        <w:tc>
          <w:tcPr>
            <w:tcW w:w="2820" w:type="dxa"/>
            <w:vAlign w:val="center"/>
          </w:tcPr>
          <w:p>
            <w:pPr>
              <w:ind w:firstLine="0" w:firstLineChars="0"/>
              <w:jc w:val="center"/>
              <w:rPr>
                <w:rFonts w:ascii="仿宋_GB2312" w:eastAsia="仿宋_GB2312"/>
                <w:b/>
                <w:color w:val="auto"/>
                <w:szCs w:val="21"/>
                <w:highlight w:val="none"/>
                <w:shd w:val="clear" w:color="auto" w:fill="auto"/>
              </w:rPr>
            </w:pPr>
            <w:r>
              <w:rPr>
                <w:rFonts w:hint="eastAsia" w:ascii="宋体" w:hAnsi="宋体" w:cs="宋体"/>
                <w:b/>
                <w:color w:val="auto"/>
                <w:sz w:val="24"/>
                <w:highlight w:val="none"/>
                <w:shd w:val="clear" w:color="auto" w:fill="auto"/>
              </w:rPr>
              <w:t>评 估 基 准 日</w:t>
            </w:r>
          </w:p>
        </w:tc>
        <w:tc>
          <w:tcPr>
            <w:tcW w:w="4275" w:type="dxa"/>
            <w:vAlign w:val="center"/>
          </w:tcPr>
          <w:p>
            <w:pPr>
              <w:ind w:firstLine="0" w:firstLineChars="0"/>
              <w:jc w:val="center"/>
              <w:rPr>
                <w:rFonts w:ascii="仿宋_GB2312" w:eastAsia="仿宋_GB2312"/>
                <w:b/>
                <w:color w:val="auto"/>
                <w:szCs w:val="21"/>
                <w:highlight w:val="none"/>
                <w:shd w:val="clear" w:color="auto" w:fill="auto"/>
              </w:rPr>
            </w:pPr>
            <w:r>
              <w:rPr>
                <w:rFonts w:hint="eastAsia" w:ascii="宋体" w:hAnsi="宋体" w:cs="宋体"/>
                <w:color w:val="auto"/>
                <w:sz w:val="24"/>
                <w:highlight w:val="none"/>
                <w:shd w:val="clear" w:color="auto" w:fill="auto"/>
              </w:rPr>
              <w:t>20</w:t>
            </w:r>
            <w:r>
              <w:rPr>
                <w:rFonts w:ascii="宋体" w:hAnsi="宋体" w:cs="宋体"/>
                <w:color w:val="auto"/>
                <w:sz w:val="24"/>
                <w:highlight w:val="none"/>
                <w:shd w:val="clear" w:color="auto" w:fill="auto"/>
              </w:rPr>
              <w:t>21</w:t>
            </w:r>
            <w:r>
              <w:rPr>
                <w:rFonts w:hint="eastAsia" w:ascii="宋体" w:hAnsi="宋体" w:cs="宋体"/>
                <w:color w:val="auto"/>
                <w:sz w:val="24"/>
                <w:highlight w:val="none"/>
                <w:shd w:val="clear" w:color="auto" w:fill="auto"/>
              </w:rPr>
              <w:t>年</w:t>
            </w:r>
            <w:r>
              <w:rPr>
                <w:rFonts w:ascii="宋体" w:hAnsi="宋体" w:cs="宋体"/>
                <w:color w:val="auto"/>
                <w:sz w:val="24"/>
                <w:highlight w:val="none"/>
                <w:shd w:val="clear" w:color="auto" w:fill="auto"/>
              </w:rPr>
              <w:t>9</w:t>
            </w:r>
            <w:r>
              <w:rPr>
                <w:rFonts w:hint="eastAsia" w:ascii="宋体" w:hAnsi="宋体" w:cs="宋体"/>
                <w:color w:val="auto"/>
                <w:sz w:val="24"/>
                <w:highlight w:val="none"/>
                <w:shd w:val="clear" w:color="auto" w:fill="auto"/>
              </w:rPr>
              <w:t>月</w:t>
            </w:r>
            <w:r>
              <w:rPr>
                <w:rFonts w:ascii="宋体" w:hAnsi="宋体" w:cs="宋体"/>
                <w:color w:val="auto"/>
                <w:sz w:val="24"/>
                <w:highlight w:val="none"/>
                <w:shd w:val="clear" w:color="auto" w:fill="auto"/>
              </w:rPr>
              <w:t>30</w:t>
            </w:r>
            <w:r>
              <w:rPr>
                <w:rFonts w:hint="eastAsia" w:ascii="宋体" w:hAnsi="宋体" w:cs="宋体"/>
                <w:color w:val="auto"/>
                <w:sz w:val="24"/>
                <w:highlight w:val="none"/>
                <w:shd w:val="clear" w:color="auto" w:fill="auto"/>
              </w:rPr>
              <w:t>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77" w:hRule="atLeast"/>
        </w:trPr>
        <w:tc>
          <w:tcPr>
            <w:tcW w:w="1740" w:type="dxa"/>
            <w:vMerge w:val="continue"/>
            <w:vAlign w:val="center"/>
          </w:tcPr>
          <w:p>
            <w:pPr>
              <w:ind w:firstLine="0" w:firstLineChars="0"/>
              <w:jc w:val="center"/>
              <w:rPr>
                <w:rFonts w:ascii="仿宋_GB2312" w:eastAsia="仿宋_GB2312"/>
                <w:b/>
                <w:color w:val="auto"/>
                <w:szCs w:val="21"/>
                <w:highlight w:val="none"/>
                <w:shd w:val="clear" w:color="auto" w:fill="auto"/>
              </w:rPr>
            </w:pPr>
          </w:p>
        </w:tc>
        <w:tc>
          <w:tcPr>
            <w:tcW w:w="2820" w:type="dxa"/>
            <w:vAlign w:val="center"/>
          </w:tcPr>
          <w:p>
            <w:pPr>
              <w:ind w:firstLine="0" w:firstLineChars="0"/>
              <w:jc w:val="center"/>
              <w:rPr>
                <w:rFonts w:ascii="仿宋_GB2312" w:eastAsia="仿宋_GB2312"/>
                <w:b/>
                <w:color w:val="auto"/>
                <w:szCs w:val="21"/>
                <w:highlight w:val="none"/>
                <w:shd w:val="clear" w:color="auto" w:fill="auto"/>
              </w:rPr>
            </w:pPr>
            <w:r>
              <w:rPr>
                <w:rFonts w:hint="eastAsia" w:ascii="宋体" w:hAnsi="宋体" w:cs="宋体"/>
                <w:b/>
                <w:color w:val="auto"/>
                <w:sz w:val="24"/>
                <w:highlight w:val="none"/>
                <w:shd w:val="clear" w:color="auto" w:fill="auto"/>
              </w:rPr>
              <w:t>评估核准（备案）机构</w:t>
            </w:r>
          </w:p>
        </w:tc>
        <w:tc>
          <w:tcPr>
            <w:tcW w:w="4275" w:type="dxa"/>
            <w:vAlign w:val="center"/>
          </w:tcPr>
          <w:p>
            <w:pPr>
              <w:ind w:firstLine="0" w:firstLineChars="0"/>
              <w:jc w:val="center"/>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台州市椒江区国资办</w:t>
            </w:r>
          </w:p>
          <w:p>
            <w:pPr>
              <w:ind w:firstLine="0" w:firstLineChars="0"/>
              <w:jc w:val="center"/>
              <w:rPr>
                <w:rFonts w:ascii="仿宋_GB2312" w:eastAsia="仿宋_GB2312"/>
                <w:b/>
                <w:color w:val="auto"/>
                <w:szCs w:val="21"/>
                <w:highlight w:val="none"/>
                <w:shd w:val="clear" w:color="auto" w:fill="auto"/>
              </w:rPr>
            </w:pPr>
            <w:r>
              <w:rPr>
                <w:rFonts w:hint="eastAsia" w:ascii="宋体" w:hAnsi="宋体" w:cs="宋体"/>
                <w:color w:val="auto"/>
                <w:sz w:val="24"/>
                <w:highlight w:val="none"/>
                <w:shd w:val="clear" w:color="auto" w:fill="auto"/>
              </w:rPr>
              <w:t>核准□ 备案</w:t>
            </w:r>
            <w:r>
              <w:rPr>
                <w:rFonts w:hint="eastAsia" w:ascii="宋体" w:hAnsi="宋体" w:cs="宋体"/>
                <w:color w:val="auto"/>
                <w:sz w:val="24"/>
                <w:highlight w:val="none"/>
                <w:shd w:val="clear" w:color="auto" w:fill="auto"/>
              </w:rPr>
              <w:sym w:font="Wingdings 2" w:char="0052"/>
            </w:r>
          </w:p>
        </w:tc>
      </w:tr>
    </w:tbl>
    <w:p>
      <w:pPr>
        <w:ind w:firstLine="560"/>
        <w:rPr>
          <w:rFonts w:hint="eastAsia"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2、其他信息披露</w:t>
      </w:r>
    </w:p>
    <w:p>
      <w:pPr>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具体详见坤元评报[2021]900号评估报告中第十一项特别事项说明，请意向受让方认真阅读。</w:t>
      </w:r>
    </w:p>
    <w:p>
      <w:pPr>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(1)海正甦力康公司的办公及生产场所系向海正药业租赁所得，租赁位置为台州椒江区外沙路46号的7</w:t>
      </w:r>
      <w:r>
        <w:rPr>
          <w:rFonts w:ascii="宋体" w:hAnsi="宋体"/>
          <w:color w:val="auto"/>
          <w:sz w:val="28"/>
          <w:szCs w:val="28"/>
          <w:highlight w:val="none"/>
          <w:shd w:val="clear" w:color="auto" w:fill="auto"/>
        </w:rPr>
        <w:t>01</w:t>
      </w:r>
      <w:r>
        <w:rPr>
          <w:rFonts w:hint="eastAsia" w:ascii="宋体" w:hAnsi="宋体"/>
          <w:color w:val="auto"/>
          <w:sz w:val="28"/>
          <w:szCs w:val="28"/>
          <w:highlight w:val="none"/>
          <w:shd w:val="clear" w:color="auto" w:fill="auto"/>
        </w:rPr>
        <w:t>保健品车间（W</w:t>
      </w:r>
      <w:r>
        <w:rPr>
          <w:rFonts w:ascii="宋体" w:hAnsi="宋体"/>
          <w:color w:val="auto"/>
          <w:sz w:val="28"/>
          <w:szCs w:val="28"/>
          <w:highlight w:val="none"/>
          <w:shd w:val="clear" w:color="auto" w:fill="auto"/>
        </w:rPr>
        <w:t>12</w:t>
      </w:r>
      <w:r>
        <w:rPr>
          <w:rFonts w:hint="eastAsia" w:ascii="宋体" w:hAnsi="宋体"/>
          <w:color w:val="auto"/>
          <w:sz w:val="28"/>
          <w:szCs w:val="28"/>
          <w:highlight w:val="none"/>
          <w:shd w:val="clear" w:color="auto" w:fill="auto"/>
        </w:rPr>
        <w:t>）等建筑物（建筑面积合计</w:t>
      </w:r>
      <w:r>
        <w:rPr>
          <w:rFonts w:ascii="宋体" w:hAnsi="宋体"/>
          <w:color w:val="auto"/>
          <w:sz w:val="28"/>
          <w:szCs w:val="28"/>
          <w:highlight w:val="none"/>
          <w:shd w:val="clear" w:color="auto" w:fill="auto"/>
        </w:rPr>
        <w:t>12,756</w:t>
      </w:r>
      <w:r>
        <w:rPr>
          <w:rFonts w:hint="eastAsia" w:ascii="宋体" w:hAnsi="宋体"/>
          <w:color w:val="auto"/>
          <w:sz w:val="28"/>
          <w:szCs w:val="28"/>
          <w:highlight w:val="none"/>
          <w:shd w:val="clear" w:color="auto" w:fill="auto"/>
        </w:rPr>
        <w:t>平方米），租赁期限为20</w:t>
      </w:r>
      <w:r>
        <w:rPr>
          <w:rFonts w:ascii="宋体" w:hAnsi="宋体"/>
          <w:color w:val="auto"/>
          <w:sz w:val="28"/>
          <w:szCs w:val="28"/>
          <w:highlight w:val="none"/>
          <w:shd w:val="clear" w:color="auto" w:fill="auto"/>
        </w:rPr>
        <w:t>21</w:t>
      </w:r>
      <w:r>
        <w:rPr>
          <w:rFonts w:hint="eastAsia" w:ascii="宋体" w:hAnsi="宋体"/>
          <w:color w:val="auto"/>
          <w:sz w:val="28"/>
          <w:szCs w:val="28"/>
          <w:highlight w:val="none"/>
          <w:shd w:val="clear" w:color="auto" w:fill="auto"/>
        </w:rPr>
        <w:t>年</w:t>
      </w:r>
      <w:r>
        <w:rPr>
          <w:rFonts w:ascii="宋体" w:hAnsi="宋体"/>
          <w:color w:val="auto"/>
          <w:sz w:val="28"/>
          <w:szCs w:val="28"/>
          <w:highlight w:val="none"/>
          <w:shd w:val="clear" w:color="auto" w:fill="auto"/>
        </w:rPr>
        <w:t>9</w:t>
      </w:r>
      <w:r>
        <w:rPr>
          <w:rFonts w:hint="eastAsia" w:ascii="宋体" w:hAnsi="宋体"/>
          <w:color w:val="auto"/>
          <w:sz w:val="28"/>
          <w:szCs w:val="28"/>
          <w:highlight w:val="none"/>
          <w:shd w:val="clear" w:color="auto" w:fill="auto"/>
        </w:rPr>
        <w:t>月</w:t>
      </w:r>
      <w:r>
        <w:rPr>
          <w:rFonts w:ascii="宋体" w:hAnsi="宋体"/>
          <w:color w:val="auto"/>
          <w:sz w:val="28"/>
          <w:szCs w:val="28"/>
          <w:highlight w:val="none"/>
          <w:shd w:val="clear" w:color="auto" w:fill="auto"/>
        </w:rPr>
        <w:t>1</w:t>
      </w:r>
      <w:r>
        <w:rPr>
          <w:rFonts w:hint="eastAsia" w:ascii="宋体" w:hAnsi="宋体"/>
          <w:color w:val="auto"/>
          <w:sz w:val="28"/>
          <w:szCs w:val="28"/>
          <w:highlight w:val="none"/>
          <w:shd w:val="clear" w:color="auto" w:fill="auto"/>
        </w:rPr>
        <w:t>日至20</w:t>
      </w:r>
      <w:r>
        <w:rPr>
          <w:rFonts w:ascii="宋体" w:hAnsi="宋体"/>
          <w:color w:val="auto"/>
          <w:sz w:val="28"/>
          <w:szCs w:val="28"/>
          <w:highlight w:val="none"/>
          <w:shd w:val="clear" w:color="auto" w:fill="auto"/>
        </w:rPr>
        <w:t>26</w:t>
      </w:r>
      <w:r>
        <w:rPr>
          <w:rFonts w:hint="eastAsia" w:ascii="宋体" w:hAnsi="宋体"/>
          <w:color w:val="auto"/>
          <w:sz w:val="28"/>
          <w:szCs w:val="28"/>
          <w:highlight w:val="none"/>
          <w:shd w:val="clear" w:color="auto" w:fill="auto"/>
        </w:rPr>
        <w:t>年</w:t>
      </w:r>
      <w:r>
        <w:rPr>
          <w:rFonts w:ascii="宋体" w:hAnsi="宋体"/>
          <w:color w:val="auto"/>
          <w:sz w:val="28"/>
          <w:szCs w:val="28"/>
          <w:highlight w:val="none"/>
          <w:shd w:val="clear" w:color="auto" w:fill="auto"/>
        </w:rPr>
        <w:t>8</w:t>
      </w:r>
      <w:r>
        <w:rPr>
          <w:rFonts w:hint="eastAsia" w:ascii="宋体" w:hAnsi="宋体"/>
          <w:color w:val="auto"/>
          <w:sz w:val="28"/>
          <w:szCs w:val="28"/>
          <w:highlight w:val="none"/>
          <w:shd w:val="clear" w:color="auto" w:fill="auto"/>
        </w:rPr>
        <w:t>月3</w:t>
      </w:r>
      <w:r>
        <w:rPr>
          <w:rFonts w:ascii="宋体" w:hAnsi="宋体"/>
          <w:color w:val="auto"/>
          <w:sz w:val="28"/>
          <w:szCs w:val="28"/>
          <w:highlight w:val="none"/>
          <w:shd w:val="clear" w:color="auto" w:fill="auto"/>
        </w:rPr>
        <w:t>1</w:t>
      </w:r>
      <w:r>
        <w:rPr>
          <w:rFonts w:hint="eastAsia" w:ascii="宋体" w:hAnsi="宋体"/>
          <w:color w:val="auto"/>
          <w:sz w:val="28"/>
          <w:szCs w:val="28"/>
          <w:highlight w:val="none"/>
          <w:shd w:val="clear" w:color="auto" w:fill="auto"/>
        </w:rPr>
        <w:t>日，年租金为1</w:t>
      </w:r>
      <w:r>
        <w:rPr>
          <w:rFonts w:ascii="宋体" w:hAnsi="宋体"/>
          <w:color w:val="auto"/>
          <w:sz w:val="28"/>
          <w:szCs w:val="28"/>
          <w:highlight w:val="none"/>
          <w:shd w:val="clear" w:color="auto" w:fill="auto"/>
        </w:rPr>
        <w:t>8</w:t>
      </w:r>
      <w:r>
        <w:rPr>
          <w:rFonts w:hint="eastAsia" w:ascii="宋体" w:hAnsi="宋体"/>
          <w:color w:val="auto"/>
          <w:sz w:val="28"/>
          <w:szCs w:val="28"/>
          <w:highlight w:val="none"/>
          <w:shd w:val="clear" w:color="auto" w:fill="auto"/>
        </w:rPr>
        <w:t>0万元(含税)。</w:t>
      </w:r>
    </w:p>
    <w:p>
      <w:pPr>
        <w:ind w:firstLine="560"/>
        <w:rPr>
          <w:rFonts w:hint="eastAsia"/>
          <w:color w:val="auto"/>
          <w:highlight w:val="none"/>
          <w:shd w:val="clear" w:color="auto" w:fill="auto"/>
        </w:rPr>
      </w:pPr>
      <w:r>
        <w:rPr>
          <w:rFonts w:hint="eastAsia" w:ascii="宋体" w:hAnsi="宋体"/>
          <w:color w:val="auto"/>
          <w:sz w:val="28"/>
          <w:szCs w:val="28"/>
          <w:highlight w:val="none"/>
          <w:shd w:val="clear" w:color="auto" w:fill="auto"/>
        </w:rPr>
        <w:t>(2)台州海之翼健康管理股份有限公司的办公场所系向浙江海正集团有限公司租赁所得，租赁位置为台州椒江区工人东路293号301-05房屋(建筑面积10平方米），租赁期限为2021年1月1日至2023年12月31日，年租金为0.42万元。</w:t>
      </w:r>
      <w:bookmarkStart w:id="43" w:name="_GoBack"/>
      <w:bookmarkEnd w:id="43"/>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五、职工安置</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本次股权转让完成后，职工的劳动合同继续有效，其劳动关系、社会保险及住房公积金关系保持不变。</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六、债权债务处置</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本次股权转让完成后，浙江海正甦力康生物科技有限公司的法人主体未发生变化，为依法存续的有限责任公司。故此，其所有债权、债务依然由浙江海正甦力康生物科技有限公司承继。</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七、竞买人条件</w:t>
      </w:r>
    </w:p>
    <w:p>
      <w:pPr>
        <w:spacing w:line="360" w:lineRule="auto"/>
        <w:ind w:firstLine="560"/>
        <w:rPr>
          <w:rFonts w:ascii="宋体" w:hAnsi="宋体"/>
          <w:color w:val="auto"/>
          <w:sz w:val="28"/>
          <w:szCs w:val="28"/>
          <w:highlight w:val="none"/>
          <w:shd w:val="clear" w:color="auto" w:fill="auto"/>
        </w:rPr>
      </w:pPr>
      <w:bookmarkStart w:id="16" w:name="待定04"/>
      <w:r>
        <w:rPr>
          <w:rFonts w:hint="eastAsia" w:ascii="宋体" w:hAnsi="宋体"/>
          <w:color w:val="auto"/>
          <w:sz w:val="28"/>
          <w:szCs w:val="28"/>
          <w:highlight w:val="none"/>
          <w:shd w:val="clear" w:color="auto" w:fill="auto"/>
        </w:rPr>
        <w:t>受让方资格条件、交易条件、与转让相关的其他条件以增资公告为准，转让项目不单独接受意向受让人办理受让意向登记手续，意向受让人须满足“浙江海正甦力康生物科技有限公司增资项目”（台交所挂〔2022〕11号）的资格条件，并承诺接受所有增资条件。</w:t>
      </w:r>
      <w:bookmarkEnd w:id="16"/>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八、竞买保证金缴纳、使用、退还</w:t>
      </w:r>
    </w:p>
    <w:p>
      <w:pPr>
        <w:spacing w:line="360" w:lineRule="auto"/>
        <w:ind w:firstLine="560"/>
        <w:rPr>
          <w:color w:val="auto"/>
          <w:highlight w:val="none"/>
          <w:shd w:val="clear" w:color="auto" w:fill="auto"/>
        </w:rPr>
      </w:pPr>
      <w:r>
        <w:rPr>
          <w:rFonts w:hint="eastAsia" w:ascii="宋体" w:hAnsi="宋体"/>
          <w:color w:val="auto"/>
          <w:sz w:val="28"/>
          <w:szCs w:val="28"/>
          <w:highlight w:val="none"/>
          <w:shd w:val="clear" w:color="auto" w:fill="auto"/>
        </w:rPr>
        <w:t>1、竞买保证金缴纳：竞买人缴付的竞买保证金应在报名截止日前以转账方式缴入。</w:t>
      </w:r>
    </w:p>
    <w:p>
      <w:pPr>
        <w:ind w:firstLine="560"/>
        <w:rPr>
          <w:rFonts w:ascii="宋体" w:hAnsi="宋体"/>
          <w:bCs/>
          <w:color w:val="auto"/>
          <w:sz w:val="28"/>
          <w:szCs w:val="28"/>
          <w:highlight w:val="none"/>
          <w:shd w:val="clear" w:color="auto" w:fill="auto"/>
        </w:rPr>
      </w:pPr>
      <w:r>
        <w:rPr>
          <w:rFonts w:hint="eastAsia" w:ascii="宋体" w:hAnsi="宋体"/>
          <w:color w:val="auto"/>
          <w:sz w:val="28"/>
          <w:szCs w:val="28"/>
          <w:highlight w:val="none"/>
          <w:shd w:val="clear" w:color="auto" w:fill="auto"/>
          <w:lang w:val="ms-MY"/>
        </w:rPr>
        <w:t>开户单位：</w:t>
      </w:r>
      <w:r>
        <w:rPr>
          <w:rFonts w:hint="eastAsia" w:ascii="宋体" w:hAnsi="宋体"/>
          <w:bCs/>
          <w:color w:val="auto"/>
          <w:sz w:val="28"/>
          <w:szCs w:val="28"/>
          <w:highlight w:val="none"/>
          <w:shd w:val="clear" w:color="auto" w:fill="auto"/>
        </w:rPr>
        <w:t>台州市产权交易所有限公司：</w:t>
      </w:r>
    </w:p>
    <w:p>
      <w:pPr>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开户行：</w:t>
      </w:r>
      <w:r>
        <w:rPr>
          <w:rFonts w:hint="eastAsia" w:ascii="宋体" w:hAnsi="宋体"/>
          <w:bCs/>
          <w:color w:val="auto"/>
          <w:sz w:val="28"/>
          <w:szCs w:val="28"/>
          <w:highlight w:val="none"/>
          <w:shd w:val="clear" w:color="auto" w:fill="auto"/>
          <w:lang w:val="ms-MY"/>
        </w:rPr>
        <w:t>浙江民泰商业银行股份有限公司椒江市府大道支行</w:t>
      </w:r>
    </w:p>
    <w:p>
      <w:pPr>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帐号：583016260800015</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2、竞买保证金使用：竞买人竞得标的后，竞买保证金可抵作应支付部分转让款项。</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3、出现下列情形竞买人保证金可在五个工作日内退还（不计息）：</w:t>
      </w:r>
    </w:p>
    <w:p>
      <w:pPr>
        <w:spacing w:line="360" w:lineRule="auto"/>
        <w:ind w:firstLine="565" w:firstLineChars="202"/>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（1）经资格审核，不符合竞买资格的；</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（2）参加竞价并应价但未能竞得标的者；</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（3）竞价转让前，因政策等正当理由取消竞价转让的。</w:t>
      </w:r>
    </w:p>
    <w:p>
      <w:pPr>
        <w:tabs>
          <w:tab w:val="left" w:pos="636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4、出现下列情形竞买人保证金不予退还：</w:t>
      </w:r>
      <w:r>
        <w:rPr>
          <w:rFonts w:ascii="宋体" w:hAnsi="宋体"/>
          <w:color w:val="auto"/>
          <w:sz w:val="28"/>
          <w:szCs w:val="28"/>
          <w:highlight w:val="none"/>
          <w:shd w:val="clear" w:color="auto" w:fill="auto"/>
        </w:rPr>
        <w:tab/>
      </w:r>
    </w:p>
    <w:p>
      <w:pPr>
        <w:tabs>
          <w:tab w:val="left" w:pos="636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（1）竞买人存在不当行为，包括但不限于：竞买人提供的资料和信息存在虚假、不真实、不具有效力等情形。</w:t>
      </w:r>
    </w:p>
    <w:p>
      <w:pPr>
        <w:tabs>
          <w:tab w:val="left" w:pos="636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（2）竞买人交纳保证金后单方撤回竞买申请的；</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（3）公告期满，产生一家及以上符合条件的竞买人时，竞买人交纳保证金后未参加后续竞价程序的；</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（4）在竞价过程中以浙江海正甦力康生物科技有限公司同步发布“浙江海正甦力康生物科技有限公司增资项目”公告（台交所挂〔2022〕</w:t>
      </w:r>
      <w:r>
        <w:rPr>
          <w:rFonts w:ascii="宋体" w:hAnsi="宋体"/>
          <w:color w:val="auto"/>
          <w:sz w:val="28"/>
          <w:szCs w:val="28"/>
          <w:highlight w:val="none"/>
          <w:shd w:val="clear" w:color="auto" w:fill="auto"/>
        </w:rPr>
        <w:t>11</w:t>
      </w:r>
      <w:r>
        <w:rPr>
          <w:rFonts w:hint="eastAsia" w:ascii="宋体" w:hAnsi="宋体"/>
          <w:color w:val="auto"/>
          <w:sz w:val="28"/>
          <w:szCs w:val="28"/>
          <w:highlight w:val="none"/>
          <w:shd w:val="clear" w:color="auto" w:fill="auto"/>
        </w:rPr>
        <w:t>号）增资底价为起始价格，各竞买人均不应价的；</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（5）被确定为最终受让方后，未按期支付成交款项的；</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（6）未按期与出让方签订《股权转让合同》的；</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（7）竞买人存在在</w:t>
      </w:r>
      <w:r>
        <w:rPr>
          <w:rFonts w:ascii="宋体" w:hAnsi="宋体"/>
          <w:color w:val="auto"/>
          <w:sz w:val="28"/>
          <w:szCs w:val="28"/>
          <w:highlight w:val="none"/>
          <w:shd w:val="clear" w:color="auto" w:fill="auto"/>
        </w:rPr>
        <w:t>重大方面</w:t>
      </w:r>
      <w:r>
        <w:rPr>
          <w:rFonts w:hint="eastAsia" w:ascii="宋体" w:hAnsi="宋体"/>
          <w:color w:val="auto"/>
          <w:sz w:val="28"/>
          <w:szCs w:val="28"/>
          <w:highlight w:val="none"/>
          <w:shd w:val="clear" w:color="auto" w:fill="auto"/>
        </w:rPr>
        <w:t>影响标的正常转让、竞价公正性或其他竞价程序要求的情形的；</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九、报名受理</w:t>
      </w:r>
    </w:p>
    <w:p>
      <w:pPr>
        <w:spacing w:line="360" w:lineRule="auto"/>
        <w:ind w:firstLine="560"/>
        <w:rPr>
          <w:rFonts w:ascii="宋体" w:hAnsi="宋体"/>
          <w:color w:val="auto"/>
          <w:sz w:val="28"/>
          <w:szCs w:val="28"/>
          <w:highlight w:val="none"/>
          <w:shd w:val="clear" w:color="auto" w:fill="auto"/>
        </w:rPr>
      </w:pPr>
      <w:bookmarkStart w:id="17" w:name="待定05"/>
      <w:r>
        <w:rPr>
          <w:rFonts w:hint="eastAsia" w:ascii="宋体" w:hAnsi="宋体"/>
          <w:color w:val="auto"/>
          <w:sz w:val="28"/>
          <w:szCs w:val="28"/>
          <w:highlight w:val="none"/>
          <w:shd w:val="clear" w:color="auto" w:fill="auto"/>
        </w:rPr>
        <w:t>受让方资格条件、交易条件、与转让相关的其他条件以增资公告为准，转让项目不单独接受意向受让人办理受让意向登记手续，意向受让人须满足“浙江海正甦力康生物科技有限公司增资项目”（台交所挂〔2022〕11号）的资格条件，并承诺接受所有增资条件。</w:t>
      </w:r>
      <w:bookmarkEnd w:id="17"/>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十、竞买资格审核</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根据竞买人提供的上述资料，产交所在本次股权转让报名截止时间后当日对竞买资格进行审核，并将审核意见书面告知转让方进行征询、确认。</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十一、竞买资格确认</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竞买人的竞买资格经审核后，产交所将审核确认意见即时通知竞买人。</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十二、本次股权挂牌转让按照下列情况确定是否成交</w:t>
      </w:r>
    </w:p>
    <w:p>
      <w:pPr>
        <w:spacing w:line="360" w:lineRule="auto"/>
        <w:ind w:firstLine="560"/>
        <w:rPr>
          <w:rFonts w:ascii="宋体" w:hAnsi="宋体"/>
          <w:color w:val="auto"/>
          <w:sz w:val="28"/>
          <w:szCs w:val="28"/>
          <w:highlight w:val="none"/>
          <w:shd w:val="clear" w:color="auto" w:fill="auto"/>
        </w:rPr>
      </w:pPr>
      <w:bookmarkStart w:id="18" w:name="待定06"/>
      <w:r>
        <w:rPr>
          <w:rFonts w:hint="eastAsia" w:ascii="宋体" w:hAnsi="宋体"/>
          <w:color w:val="auto"/>
          <w:sz w:val="28"/>
          <w:szCs w:val="28"/>
          <w:highlight w:val="none"/>
          <w:shd w:val="clear" w:color="auto" w:fill="auto"/>
        </w:rPr>
        <w:t>本次股权转让公告发布的同时，标的公司浙江海正甦力康生物科技有限公司同步发布增资项目公告（台交所挂〔2022〕11号）,本项目不单独接受意向投资人办理股权受让意向登记手续，意向投资人应在增资项目公告有效期内办理投资意向登记手续，意向投资人应符合增资项目的全部资格条件、并承诺接受所有增资条件。意向投资人在获得增资</w:t>
      </w:r>
      <w:r>
        <w:rPr>
          <w:rFonts w:ascii="宋体" w:hAnsi="宋体"/>
          <w:color w:val="auto"/>
          <w:sz w:val="28"/>
          <w:szCs w:val="28"/>
          <w:highlight w:val="none"/>
          <w:shd w:val="clear" w:color="auto" w:fill="auto"/>
        </w:rPr>
        <w:t>竞买人</w:t>
      </w:r>
      <w:r>
        <w:rPr>
          <w:rFonts w:hint="eastAsia" w:ascii="宋体" w:hAnsi="宋体"/>
          <w:color w:val="auto"/>
          <w:sz w:val="28"/>
          <w:szCs w:val="28"/>
          <w:highlight w:val="none"/>
          <w:shd w:val="clear" w:color="auto" w:fill="auto"/>
        </w:rPr>
        <w:t>资格确认并按时缴纳足额保证金后，同时获得本项目的竞买资格，且意向投资人必须参与本</w:t>
      </w:r>
      <w:r>
        <w:rPr>
          <w:rFonts w:ascii="宋体" w:hAnsi="宋体"/>
          <w:color w:val="auto"/>
          <w:sz w:val="28"/>
          <w:szCs w:val="28"/>
          <w:highlight w:val="none"/>
          <w:shd w:val="clear" w:color="auto" w:fill="auto"/>
        </w:rPr>
        <w:t>项目</w:t>
      </w:r>
      <w:r>
        <w:rPr>
          <w:rFonts w:hint="eastAsia" w:ascii="宋体" w:hAnsi="宋体"/>
          <w:color w:val="auto"/>
          <w:sz w:val="28"/>
          <w:szCs w:val="28"/>
          <w:highlight w:val="none"/>
          <w:shd w:val="clear" w:color="auto" w:fill="auto"/>
        </w:rPr>
        <w:t>后续股权</w:t>
      </w:r>
      <w:r>
        <w:rPr>
          <w:rFonts w:ascii="宋体" w:hAnsi="宋体"/>
          <w:color w:val="auto"/>
          <w:sz w:val="28"/>
          <w:szCs w:val="28"/>
          <w:highlight w:val="none"/>
          <w:shd w:val="clear" w:color="auto" w:fill="auto"/>
        </w:rPr>
        <w:t>转让竞价</w:t>
      </w:r>
      <w:r>
        <w:rPr>
          <w:rFonts w:hint="eastAsia" w:ascii="宋体" w:hAnsi="宋体"/>
          <w:color w:val="auto"/>
          <w:sz w:val="28"/>
          <w:szCs w:val="28"/>
          <w:highlight w:val="none"/>
          <w:shd w:val="clear" w:color="auto" w:fill="auto"/>
        </w:rPr>
        <w:t>。</w:t>
      </w:r>
    </w:p>
    <w:bookmarkEnd w:id="18"/>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十三、</w:t>
      </w:r>
      <w:bookmarkStart w:id="19" w:name="_Hlk99376959"/>
      <w:r>
        <w:rPr>
          <w:rFonts w:hint="eastAsia" w:ascii="宋体" w:hAnsi="宋体"/>
          <w:color w:val="auto"/>
          <w:sz w:val="28"/>
          <w:szCs w:val="28"/>
          <w:highlight w:val="none"/>
          <w:shd w:val="clear" w:color="auto" w:fill="auto"/>
        </w:rPr>
        <w:t>确认成交方后，</w:t>
      </w:r>
      <w:bookmarkEnd w:id="19"/>
      <w:r>
        <w:rPr>
          <w:rFonts w:hint="eastAsia" w:asciiTheme="minorEastAsia" w:hAnsiTheme="minorEastAsia" w:eastAsiaTheme="minorEastAsia" w:cstheme="minorEastAsia"/>
          <w:color w:val="auto"/>
          <w:sz w:val="28"/>
          <w:szCs w:val="28"/>
          <w:highlight w:val="none"/>
          <w:shd w:val="clear" w:color="auto" w:fill="auto"/>
          <w:lang w:val="en-US" w:eastAsia="zh-CN"/>
        </w:rPr>
        <w:t>产交所</w:t>
      </w:r>
      <w:r>
        <w:rPr>
          <w:rFonts w:hint="eastAsia" w:asciiTheme="minorEastAsia" w:hAnsiTheme="minorEastAsia" w:eastAsiaTheme="minorEastAsia" w:cstheme="minorEastAsia"/>
          <w:color w:val="auto"/>
          <w:sz w:val="28"/>
          <w:szCs w:val="28"/>
          <w:highlight w:val="none"/>
          <w:shd w:val="clear" w:color="auto" w:fill="auto"/>
        </w:rPr>
        <w:t>于竞价成功后三个工作日内发出《成交结果通知书》。</w:t>
      </w:r>
      <w:r>
        <w:rPr>
          <w:rFonts w:hint="eastAsia" w:ascii="宋体" w:hAnsi="宋体"/>
          <w:color w:val="auto"/>
          <w:sz w:val="28"/>
          <w:szCs w:val="28"/>
          <w:highlight w:val="none"/>
          <w:shd w:val="clear" w:color="auto" w:fill="auto"/>
        </w:rPr>
        <w:t>转让方与受让方</w:t>
      </w:r>
      <w:r>
        <w:rPr>
          <w:rFonts w:hint="eastAsia" w:ascii="宋体" w:hAnsi="宋体"/>
          <w:color w:val="auto"/>
          <w:sz w:val="28"/>
          <w:szCs w:val="28"/>
          <w:highlight w:val="none"/>
          <w:shd w:val="clear" w:color="auto" w:fill="auto"/>
          <w:lang w:val="en-US" w:eastAsia="zh-CN"/>
        </w:rPr>
        <w:t>于产交所发出</w:t>
      </w:r>
      <w:r>
        <w:rPr>
          <w:rFonts w:hint="eastAsia" w:asciiTheme="minorEastAsia" w:hAnsiTheme="minorEastAsia" w:eastAsiaTheme="minorEastAsia" w:cstheme="minorEastAsia"/>
          <w:color w:val="auto"/>
          <w:sz w:val="28"/>
          <w:szCs w:val="28"/>
          <w:highlight w:val="none"/>
          <w:shd w:val="clear" w:color="auto" w:fill="auto"/>
        </w:rPr>
        <w:t>《成交结果通知书》</w:t>
      </w:r>
      <w:r>
        <w:rPr>
          <w:rFonts w:hint="eastAsia" w:asciiTheme="minorEastAsia" w:hAnsiTheme="minorEastAsia" w:eastAsiaTheme="minorEastAsia" w:cstheme="minorEastAsia"/>
          <w:color w:val="auto"/>
          <w:sz w:val="28"/>
          <w:szCs w:val="28"/>
          <w:highlight w:val="none"/>
          <w:shd w:val="clear" w:color="auto" w:fill="auto"/>
          <w:lang w:val="en-US" w:eastAsia="zh-CN"/>
        </w:rPr>
        <w:t>后</w:t>
      </w:r>
      <w:r>
        <w:rPr>
          <w:rFonts w:hint="eastAsia" w:ascii="宋体" w:hAnsi="宋体"/>
          <w:color w:val="auto"/>
          <w:sz w:val="28"/>
          <w:szCs w:val="28"/>
          <w:highlight w:val="none"/>
          <w:shd w:val="clear" w:color="auto" w:fill="auto"/>
        </w:rPr>
        <w:t>五个工作日内签署《股权转让合同》，并于签署《股权转让合同》后五个工作日内递交一份</w:t>
      </w:r>
      <w:r>
        <w:rPr>
          <w:rFonts w:hint="eastAsia" w:asciiTheme="minorEastAsia" w:hAnsiTheme="minorEastAsia" w:eastAsiaTheme="minorEastAsia" w:cstheme="minorEastAsia"/>
          <w:color w:val="auto"/>
          <w:sz w:val="28"/>
          <w:szCs w:val="28"/>
          <w:highlight w:val="none"/>
          <w:shd w:val="clear" w:color="auto" w:fill="auto"/>
          <w:lang w:val="en-US" w:eastAsia="zh-CN"/>
        </w:rPr>
        <w:t>产交所</w:t>
      </w:r>
      <w:r>
        <w:rPr>
          <w:rFonts w:hint="eastAsia" w:ascii="宋体" w:hAnsi="宋体"/>
          <w:color w:val="auto"/>
          <w:sz w:val="28"/>
          <w:szCs w:val="28"/>
          <w:highlight w:val="none"/>
          <w:shd w:val="clear" w:color="auto" w:fill="auto"/>
        </w:rPr>
        <w:t>备案。</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十四、交易服务费</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按照委托标的的成交额1.22%收取（即转让方承担0.33%，受让方承担0.89%），由受让方在与转让方签署《股权转让合同》后五</w:t>
      </w:r>
      <w:r>
        <w:rPr>
          <w:rFonts w:hint="eastAsia" w:ascii="宋体" w:hAnsi="宋体"/>
          <w:color w:val="auto"/>
          <w:sz w:val="28"/>
          <w:highlight w:val="none"/>
          <w:shd w:val="clear" w:color="auto" w:fill="auto"/>
        </w:rPr>
        <w:t>个工作日</w:t>
      </w:r>
      <w:r>
        <w:rPr>
          <w:rFonts w:hint="eastAsia" w:ascii="宋体" w:hAnsi="宋体"/>
          <w:color w:val="auto"/>
          <w:sz w:val="28"/>
          <w:szCs w:val="28"/>
          <w:highlight w:val="none"/>
          <w:shd w:val="clear" w:color="auto" w:fill="auto"/>
        </w:rPr>
        <w:t>内一次性付清。</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十五、付款方式</w:t>
      </w:r>
    </w:p>
    <w:p>
      <w:pPr>
        <w:numPr>
          <w:ilvl w:val="255"/>
          <w:numId w:val="0"/>
        </w:numPr>
        <w:tabs>
          <w:tab w:val="left" w:pos="6960"/>
        </w:tabs>
        <w:ind w:firstLine="561"/>
        <w:rPr>
          <w:rFonts w:ascii="仿宋_GB2312" w:eastAsia="仿宋_GB2312"/>
          <w:color w:val="auto"/>
          <w:sz w:val="32"/>
          <w:szCs w:val="32"/>
          <w:highlight w:val="none"/>
          <w:shd w:val="clear" w:color="auto" w:fill="auto"/>
        </w:rPr>
      </w:pPr>
      <w:bookmarkStart w:id="20" w:name="_Hlk99377028"/>
      <w:r>
        <w:rPr>
          <w:rFonts w:hint="eastAsia" w:ascii="宋体" w:hAnsi="宋体"/>
          <w:color w:val="auto"/>
          <w:sz w:val="28"/>
          <w:szCs w:val="28"/>
          <w:highlight w:val="none"/>
          <w:shd w:val="clear" w:color="auto" w:fill="auto"/>
        </w:rPr>
        <w:t>受让方应在《股权转让合同》签署且本次股权转让完成工商变更登记及其他政府审批、登记、备案手续（包括但不限于在投资方为外资情况下的外商投资主管部门审批、外汇登记手续）之日后十个工作日内一次性支付至转让方指定账户，受让方先期缴纳的竞买保证金可抵作部分转让价款。</w:t>
      </w:r>
    </w:p>
    <w:bookmarkEnd w:id="20"/>
    <w:p>
      <w:pPr>
        <w:spacing w:line="360" w:lineRule="auto"/>
        <w:ind w:firstLine="560"/>
        <w:rPr>
          <w:rFonts w:ascii="宋体" w:hAnsi="宋体"/>
          <w:bCs/>
          <w:color w:val="auto"/>
          <w:sz w:val="28"/>
          <w:szCs w:val="28"/>
          <w:highlight w:val="none"/>
          <w:shd w:val="clear" w:color="auto" w:fill="auto"/>
        </w:rPr>
      </w:pPr>
      <w:r>
        <w:rPr>
          <w:rFonts w:hint="eastAsia" w:ascii="宋体" w:hAnsi="宋体"/>
          <w:color w:val="auto"/>
          <w:sz w:val="28"/>
          <w:szCs w:val="28"/>
          <w:highlight w:val="none"/>
          <w:shd w:val="clear" w:color="auto" w:fill="auto"/>
        </w:rPr>
        <w:t>十六、</w:t>
      </w:r>
      <w:r>
        <w:rPr>
          <w:rFonts w:hint="eastAsia" w:ascii="宋体" w:hAnsi="宋体"/>
          <w:bCs/>
          <w:color w:val="auto"/>
          <w:sz w:val="28"/>
          <w:szCs w:val="28"/>
          <w:highlight w:val="none"/>
          <w:shd w:val="clear" w:color="auto" w:fill="auto"/>
        </w:rPr>
        <w:t>股权转让的移交、交割与清算</w:t>
      </w:r>
    </w:p>
    <w:p>
      <w:pPr>
        <w:spacing w:line="360" w:lineRule="auto"/>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1、本次股权转让的交接，在出让方与受让方之间进行。受让方负责向产交所指定账户付清本次股权转让竞买保证金，且受让方付清其应承担的交易服务费后，受让方方能要求与出让方办理股权挂牌转让标的交接手续。</w:t>
      </w:r>
    </w:p>
    <w:p>
      <w:pPr>
        <w:spacing w:line="360" w:lineRule="auto"/>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2、股权转让交割日：工商变更登记之日为股权转让交割日，表示本次股权转让交割完毕。</w:t>
      </w:r>
    </w:p>
    <w:p>
      <w:pPr>
        <w:spacing w:line="360" w:lineRule="auto"/>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3、</w:t>
      </w:r>
      <w:r>
        <w:rPr>
          <w:rFonts w:hint="eastAsia" w:asciiTheme="minorEastAsia" w:hAnsiTheme="minorEastAsia" w:cstheme="minorEastAsia"/>
          <w:color w:val="auto"/>
          <w:sz w:val="28"/>
          <w:szCs w:val="28"/>
          <w:highlight w:val="none"/>
          <w:shd w:val="clear" w:color="auto" w:fill="auto"/>
        </w:rPr>
        <w:t>资产评估基准日（2021年9月30日）到工商变更完成日期间的损益处理方式：标的企业不再进行审计清算，</w:t>
      </w:r>
      <w:r>
        <w:rPr>
          <w:rFonts w:hint="eastAsia" w:ascii="宋体" w:hAnsi="宋体"/>
          <w:color w:val="auto"/>
          <w:sz w:val="28"/>
          <w:szCs w:val="28"/>
          <w:highlight w:val="none"/>
          <w:shd w:val="clear" w:color="auto" w:fill="auto"/>
        </w:rPr>
        <w:t>因正常经营产生的损益由</w:t>
      </w:r>
      <w:r>
        <w:rPr>
          <w:rFonts w:hint="eastAsia" w:ascii="宋体" w:hAnsi="宋体"/>
          <w:color w:val="auto"/>
          <w:sz w:val="28"/>
          <w:szCs w:val="28"/>
          <w:highlight w:val="none"/>
          <w:shd w:val="clear" w:color="auto" w:fill="auto"/>
          <w:lang w:val="en-US" w:eastAsia="zh-CN"/>
        </w:rPr>
        <w:t>股权转让后的</w:t>
      </w:r>
      <w:r>
        <w:rPr>
          <w:rFonts w:hint="eastAsia" w:ascii="宋体" w:hAnsi="宋体"/>
          <w:color w:val="auto"/>
          <w:sz w:val="28"/>
          <w:szCs w:val="28"/>
          <w:highlight w:val="none"/>
          <w:shd w:val="clear" w:color="auto" w:fill="auto"/>
        </w:rPr>
        <w:t>所有股东按持股比例享有或承担</w:t>
      </w:r>
      <w:r>
        <w:rPr>
          <w:rFonts w:hint="eastAsia" w:ascii="宋体" w:hAnsi="宋体"/>
          <w:color w:val="auto"/>
          <w:sz w:val="28"/>
          <w:szCs w:val="28"/>
          <w:highlight w:val="none"/>
          <w:shd w:val="clear" w:color="auto" w:fill="auto"/>
          <w:lang w:eastAsia="zh-CN"/>
        </w:rPr>
        <w:t>。</w:t>
      </w:r>
    </w:p>
    <w:p>
      <w:pPr>
        <w:spacing w:line="360" w:lineRule="auto"/>
        <w:ind w:firstLine="560"/>
        <w:rPr>
          <w:rFonts w:ascii="宋体" w:hAnsi="宋体"/>
          <w:bCs/>
          <w:color w:val="auto"/>
          <w:sz w:val="28"/>
          <w:szCs w:val="28"/>
          <w:highlight w:val="none"/>
          <w:shd w:val="clear" w:color="auto" w:fill="auto"/>
        </w:rPr>
      </w:pPr>
      <w:r>
        <w:rPr>
          <w:rFonts w:hint="eastAsia" w:ascii="宋体" w:hAnsi="宋体"/>
          <w:color w:val="auto"/>
          <w:sz w:val="28"/>
          <w:szCs w:val="28"/>
          <w:highlight w:val="none"/>
          <w:shd w:val="clear" w:color="auto" w:fill="auto"/>
        </w:rPr>
        <w:t>十七</w:t>
      </w:r>
      <w:r>
        <w:rPr>
          <w:rFonts w:hint="eastAsia" w:ascii="宋体" w:hAnsi="宋体"/>
          <w:bCs/>
          <w:color w:val="auto"/>
          <w:sz w:val="28"/>
          <w:szCs w:val="28"/>
          <w:highlight w:val="none"/>
          <w:shd w:val="clear" w:color="auto" w:fill="auto"/>
        </w:rPr>
        <w:t>、股权变更登记</w:t>
      </w:r>
    </w:p>
    <w:p>
      <w:pPr>
        <w:spacing w:line="360" w:lineRule="auto"/>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受让方应在出让方及</w:t>
      </w:r>
      <w:r>
        <w:rPr>
          <w:rFonts w:ascii="宋体" w:hAnsi="宋体"/>
          <w:bCs/>
          <w:color w:val="auto"/>
          <w:sz w:val="28"/>
          <w:szCs w:val="28"/>
          <w:highlight w:val="none"/>
          <w:shd w:val="clear" w:color="auto" w:fill="auto"/>
        </w:rPr>
        <w:t>标的公司</w:t>
      </w:r>
      <w:r>
        <w:rPr>
          <w:rFonts w:hint="eastAsia" w:ascii="宋体" w:hAnsi="宋体"/>
          <w:bCs/>
          <w:color w:val="auto"/>
          <w:sz w:val="28"/>
          <w:szCs w:val="28"/>
          <w:highlight w:val="none"/>
          <w:shd w:val="clear" w:color="auto" w:fill="auto"/>
        </w:rPr>
        <w:t>配合协助下办妥股权转让法律程序必备的文件资料，并上报有关部门进行股权变更登记申请手续。股权变更所发生的费用（除法律、法规规定应由转让方承担的税金及</w:t>
      </w:r>
      <w:r>
        <w:rPr>
          <w:rFonts w:ascii="宋体" w:hAnsi="宋体"/>
          <w:bCs/>
          <w:color w:val="auto"/>
          <w:sz w:val="28"/>
          <w:szCs w:val="28"/>
          <w:highlight w:val="none"/>
          <w:shd w:val="clear" w:color="auto" w:fill="auto"/>
        </w:rPr>
        <w:t>由双方承担的</w:t>
      </w:r>
      <w:r>
        <w:rPr>
          <w:rFonts w:hint="eastAsia" w:ascii="宋体" w:hAnsi="宋体"/>
          <w:bCs/>
          <w:color w:val="auto"/>
          <w:sz w:val="28"/>
          <w:szCs w:val="28"/>
          <w:highlight w:val="none"/>
          <w:shd w:val="clear" w:color="auto" w:fill="auto"/>
        </w:rPr>
        <w:t>交易服务费外）由标的</w:t>
      </w:r>
      <w:r>
        <w:rPr>
          <w:rFonts w:ascii="宋体" w:hAnsi="宋体"/>
          <w:bCs/>
          <w:color w:val="auto"/>
          <w:sz w:val="28"/>
          <w:szCs w:val="28"/>
          <w:highlight w:val="none"/>
          <w:shd w:val="clear" w:color="auto" w:fill="auto"/>
        </w:rPr>
        <w:t>公司</w:t>
      </w:r>
      <w:r>
        <w:rPr>
          <w:rFonts w:hint="eastAsia" w:ascii="宋体" w:hAnsi="宋体"/>
          <w:bCs/>
          <w:color w:val="auto"/>
          <w:sz w:val="28"/>
          <w:szCs w:val="28"/>
          <w:highlight w:val="none"/>
          <w:shd w:val="clear" w:color="auto" w:fill="auto"/>
        </w:rPr>
        <w:t>承担。</w:t>
      </w:r>
    </w:p>
    <w:p>
      <w:pPr>
        <w:tabs>
          <w:tab w:val="left" w:pos="8222"/>
        </w:tabs>
        <w:spacing w:line="360" w:lineRule="auto"/>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十八、委托人、产交所依法有权在竞价会开始前撤回、撤除转让标的并不受竞买人追索。对竞买人所造成的损失，由竞买人自行承担；交易内容发生变化的，经产交所审核后在竞价会开始前告知竞买人，相关补充内容为本次股权挂牌转让资料的有效组成部分。</w:t>
      </w:r>
    </w:p>
    <w:p>
      <w:pPr>
        <w:spacing w:line="360" w:lineRule="auto"/>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十九、违约责任</w:t>
      </w:r>
    </w:p>
    <w:p>
      <w:pPr>
        <w:spacing w:line="360" w:lineRule="auto"/>
        <w:ind w:firstLine="560"/>
        <w:rPr>
          <w:rFonts w:ascii="宋体" w:hAnsi="宋体"/>
          <w:bCs/>
          <w:color w:val="auto"/>
          <w:sz w:val="28"/>
          <w:szCs w:val="28"/>
          <w:highlight w:val="none"/>
          <w:u w:val="single"/>
          <w:shd w:val="clear" w:color="auto" w:fill="auto"/>
        </w:rPr>
      </w:pPr>
      <w:r>
        <w:rPr>
          <w:rFonts w:hint="eastAsia" w:ascii="宋体" w:hAnsi="宋体"/>
          <w:bCs/>
          <w:color w:val="auto"/>
          <w:sz w:val="28"/>
          <w:szCs w:val="28"/>
          <w:highlight w:val="none"/>
          <w:shd w:val="clear" w:color="auto" w:fill="auto"/>
        </w:rPr>
        <w:t>竞买人撤回报价或成交后拒绝签署《股权转让合同》，视为其毁约，产交所有权追究其违约责任；受让方逾期支付股权转让成交款项的，视为受让方根本违约；出让方有权解除《股权转让合同》，保证金不予退还。</w:t>
      </w:r>
    </w:p>
    <w:p>
      <w:pPr>
        <w:spacing w:line="360" w:lineRule="auto"/>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二十、竞买人应仔细分析投资风险。请竞买人自行对标的企业的资产、负债、经营以及相关政策等情况进行全面考察和了解。一旦报名，即表明竞买人自愿承担投资风险和责任。</w:t>
      </w:r>
    </w:p>
    <w:p>
      <w:pPr>
        <w:spacing w:line="360" w:lineRule="auto"/>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二十一、本次挂牌转让是经公告后才举行的，挂牌转让标的涉及的相关资产、负债以现状为准。故产交所对本次挂牌转让标的涉及的相关资产、负债的状态及品质不作担保，也不承担瑕疵的担保责任。</w:t>
      </w:r>
    </w:p>
    <w:p>
      <w:pPr>
        <w:spacing w:line="360" w:lineRule="auto"/>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二十二、凡参加本次挂牌转让的竞买人，即表明已全部了解《浙江海正甦力康生物科技有限公司股权转让文件》所涉及的相关资料，并愿意履行有关的义务；表明对转让标的已充分了解，并愿意承担投资风险和责任。</w:t>
      </w:r>
    </w:p>
    <w:p>
      <w:pPr>
        <w:spacing w:line="360" w:lineRule="auto"/>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二十三、本次转让文件的最终解释权归委托方和台州市产权交易所。</w:t>
      </w:r>
    </w:p>
    <w:p>
      <w:pPr>
        <w:spacing w:line="360" w:lineRule="auto"/>
        <w:ind w:firstLine="560"/>
        <w:rPr>
          <w:rFonts w:ascii="宋体" w:hAnsi="宋体"/>
          <w:bCs/>
          <w:color w:val="auto"/>
          <w:sz w:val="28"/>
          <w:szCs w:val="28"/>
          <w:highlight w:val="none"/>
          <w:shd w:val="clear" w:color="auto" w:fill="auto"/>
        </w:rPr>
      </w:pPr>
    </w:p>
    <w:p>
      <w:pPr>
        <w:spacing w:line="360" w:lineRule="auto"/>
        <w:ind w:firstLine="560"/>
        <w:rPr>
          <w:rFonts w:ascii="宋体" w:hAnsi="宋体"/>
          <w:bCs/>
          <w:color w:val="auto"/>
          <w:sz w:val="28"/>
          <w:szCs w:val="28"/>
          <w:highlight w:val="none"/>
          <w:shd w:val="clear" w:color="auto" w:fill="auto"/>
        </w:rPr>
      </w:pPr>
    </w:p>
    <w:p>
      <w:pPr>
        <w:spacing w:line="360" w:lineRule="auto"/>
        <w:ind w:firstLine="560"/>
        <w:jc w:val="right"/>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台州市产权交易所有限公司</w:t>
      </w:r>
    </w:p>
    <w:p>
      <w:pPr>
        <w:spacing w:line="360" w:lineRule="auto"/>
        <w:ind w:firstLine="560"/>
        <w:jc w:val="right"/>
        <w:rPr>
          <w:rFonts w:ascii="宋体" w:hAnsi="宋体"/>
          <w:color w:val="auto"/>
          <w:sz w:val="28"/>
          <w:highlight w:val="none"/>
          <w:shd w:val="clear" w:color="auto" w:fill="auto"/>
        </w:rPr>
      </w:pPr>
      <w:r>
        <w:rPr>
          <w:rFonts w:hint="eastAsia" w:ascii="宋体" w:hAnsi="宋体"/>
          <w:bCs/>
          <w:color w:val="auto"/>
          <w:sz w:val="28"/>
          <w:szCs w:val="28"/>
          <w:highlight w:val="none"/>
          <w:shd w:val="clear" w:color="auto" w:fill="auto"/>
        </w:rPr>
        <w:t>2</w:t>
      </w:r>
      <w:r>
        <w:rPr>
          <w:rFonts w:ascii="宋体" w:hAnsi="宋体"/>
          <w:bCs/>
          <w:color w:val="auto"/>
          <w:sz w:val="28"/>
          <w:szCs w:val="28"/>
          <w:highlight w:val="none"/>
          <w:shd w:val="clear" w:color="auto" w:fill="auto"/>
        </w:rPr>
        <w:t>022</w:t>
      </w:r>
      <w:r>
        <w:rPr>
          <w:rFonts w:hint="eastAsia" w:ascii="宋体" w:hAnsi="宋体"/>
          <w:bCs/>
          <w:color w:val="auto"/>
          <w:sz w:val="28"/>
          <w:szCs w:val="28"/>
          <w:highlight w:val="none"/>
          <w:shd w:val="clear" w:color="auto" w:fill="auto"/>
        </w:rPr>
        <w:t>年</w:t>
      </w:r>
      <w:r>
        <w:rPr>
          <w:rFonts w:ascii="宋体" w:hAnsi="宋体"/>
          <w:bCs/>
          <w:color w:val="auto"/>
          <w:sz w:val="28"/>
          <w:szCs w:val="28"/>
          <w:highlight w:val="none"/>
          <w:shd w:val="clear" w:color="auto" w:fill="auto"/>
        </w:rPr>
        <w:t>4</w:t>
      </w:r>
      <w:r>
        <w:rPr>
          <w:rFonts w:hint="eastAsia" w:ascii="宋体" w:hAnsi="宋体"/>
          <w:color w:val="auto"/>
          <w:sz w:val="28"/>
          <w:highlight w:val="none"/>
          <w:shd w:val="clear" w:color="auto" w:fill="auto"/>
        </w:rPr>
        <w:t>月</w:t>
      </w:r>
      <w:r>
        <w:rPr>
          <w:rFonts w:ascii="宋体" w:hAnsi="宋体"/>
          <w:color w:val="auto"/>
          <w:sz w:val="28"/>
          <w:highlight w:val="none"/>
          <w:shd w:val="clear" w:color="auto" w:fill="auto"/>
        </w:rPr>
        <w:t>22</w:t>
      </w:r>
      <w:r>
        <w:rPr>
          <w:rFonts w:hint="eastAsia" w:ascii="宋体" w:hAnsi="宋体"/>
          <w:color w:val="auto"/>
          <w:sz w:val="28"/>
          <w:highlight w:val="none"/>
          <w:shd w:val="clear" w:color="auto" w:fill="auto"/>
        </w:rPr>
        <w:t>日</w:t>
      </w:r>
    </w:p>
    <w:p>
      <w:pPr>
        <w:spacing w:line="360" w:lineRule="auto"/>
        <w:ind w:firstLine="560"/>
        <w:jc w:val="center"/>
        <w:rPr>
          <w:color w:val="auto"/>
          <w:highlight w:val="none"/>
          <w:shd w:val="clear" w:color="auto" w:fill="auto"/>
        </w:rPr>
      </w:pPr>
      <w:r>
        <w:rPr>
          <w:rFonts w:hint="eastAsia" w:ascii="宋体" w:hAnsi="宋体"/>
          <w:bCs/>
          <w:color w:val="auto"/>
          <w:sz w:val="28"/>
          <w:szCs w:val="28"/>
          <w:highlight w:val="none"/>
          <w:shd w:val="clear" w:color="auto" w:fill="auto"/>
        </w:rPr>
        <w:br w:type="page"/>
      </w:r>
    </w:p>
    <w:p>
      <w:pPr>
        <w:pStyle w:val="4"/>
        <w:spacing w:before="100" w:beforeAutospacing="1" w:after="100" w:afterAutospacing="1" w:line="360" w:lineRule="auto"/>
        <w:jc w:val="center"/>
        <w:rPr>
          <w:color w:val="auto"/>
          <w:sz w:val="36"/>
          <w:highlight w:val="none"/>
          <w:shd w:val="clear" w:color="auto" w:fill="auto"/>
        </w:rPr>
      </w:pPr>
      <w:bookmarkStart w:id="21" w:name="_Toc4182"/>
      <w:bookmarkStart w:id="22" w:name="_Toc30754"/>
      <w:bookmarkStart w:id="23" w:name="_Toc99379229"/>
      <w:r>
        <w:rPr>
          <w:rFonts w:hint="eastAsia"/>
          <w:color w:val="auto"/>
          <w:sz w:val="36"/>
          <w:highlight w:val="none"/>
          <w:shd w:val="clear" w:color="auto" w:fill="auto"/>
        </w:rPr>
        <w:t>竞买申请书</w:t>
      </w:r>
      <w:bookmarkEnd w:id="21"/>
      <w:bookmarkEnd w:id="22"/>
      <w:bookmarkEnd w:id="23"/>
    </w:p>
    <w:p>
      <w:pPr>
        <w:spacing w:line="580" w:lineRule="exact"/>
        <w:ind w:firstLine="0"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台州市产权交易所有限公司：</w:t>
      </w:r>
    </w:p>
    <w:p>
      <w:pPr>
        <w:spacing w:line="580" w:lineRule="exact"/>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经认真阅读《浙江海正甦力康生物科技有限公司股权转让文件》，对该转让文件无异议，对转让标的已作详细了解并对己方所作承诺负法律责任。特申请参加浙江海正甦力康生物科技有限公司股权竞买，遵守履行贵公司提出的浙江海正甦力康生物科技有限公司股权转让文件及其他有关程序、事项，并保证遵守我方所承诺的要求与规定履行。</w:t>
      </w:r>
    </w:p>
    <w:p>
      <w:pPr>
        <w:spacing w:line="580" w:lineRule="exact"/>
        <w:ind w:firstLine="560"/>
        <w:rPr>
          <w:rFonts w:ascii="宋体" w:hAnsi="宋体"/>
          <w:color w:val="auto"/>
          <w:sz w:val="28"/>
          <w:szCs w:val="28"/>
          <w:highlight w:val="none"/>
          <w:shd w:val="clear" w:color="auto" w:fill="auto"/>
        </w:rPr>
      </w:pPr>
      <w:bookmarkStart w:id="24" w:name="待定07"/>
      <w:r>
        <w:rPr>
          <w:rFonts w:hint="eastAsia" w:ascii="宋体" w:hAnsi="宋体"/>
          <w:color w:val="auto"/>
          <w:sz w:val="28"/>
          <w:szCs w:val="28"/>
          <w:highlight w:val="none"/>
          <w:shd w:val="clear" w:color="auto" w:fill="auto"/>
        </w:rPr>
        <w:t xml:space="preserve"> 我方同意对竞买标的的意向报价按照</w:t>
      </w:r>
      <w:r>
        <w:rPr>
          <w:rFonts w:hint="eastAsia" w:ascii="宋体" w:hAnsi="宋体"/>
          <w:color w:val="auto"/>
          <w:sz w:val="28"/>
          <w:szCs w:val="28"/>
          <w:highlight w:val="none"/>
          <w:u w:val="single"/>
          <w:shd w:val="clear" w:color="auto" w:fill="auto"/>
        </w:rPr>
        <w:t>“浙江海正甦力康生物科技有限公司增资项目”（台交所挂〔2022〕</w:t>
      </w:r>
      <w:r>
        <w:rPr>
          <w:rFonts w:ascii="宋体" w:hAnsi="宋体"/>
          <w:color w:val="auto"/>
          <w:sz w:val="28"/>
          <w:szCs w:val="28"/>
          <w:highlight w:val="none"/>
          <w:u w:val="single"/>
          <w:shd w:val="clear" w:color="auto" w:fill="auto"/>
        </w:rPr>
        <w:t>11</w:t>
      </w:r>
      <w:r>
        <w:rPr>
          <w:rFonts w:hint="eastAsia" w:ascii="宋体" w:hAnsi="宋体"/>
          <w:color w:val="auto"/>
          <w:sz w:val="28"/>
          <w:szCs w:val="28"/>
          <w:highlight w:val="none"/>
          <w:u w:val="single"/>
          <w:shd w:val="clear" w:color="auto" w:fill="auto"/>
        </w:rPr>
        <w:t>号）确定的交易价格执行。</w:t>
      </w:r>
      <w:r>
        <w:rPr>
          <w:rFonts w:hint="eastAsia" w:ascii="宋体" w:hAnsi="宋体"/>
          <w:color w:val="auto"/>
          <w:sz w:val="28"/>
          <w:szCs w:val="28"/>
          <w:highlight w:val="none"/>
          <w:shd w:val="clear" w:color="auto" w:fill="auto"/>
        </w:rPr>
        <w:t xml:space="preserve">  </w:t>
      </w:r>
    </w:p>
    <w:bookmarkEnd w:id="24"/>
    <w:p>
      <w:pPr>
        <w:spacing w:line="580" w:lineRule="exact"/>
        <w:ind w:firstLine="560"/>
        <w:rPr>
          <w:rFonts w:ascii="宋体" w:hAnsi="宋体"/>
          <w:color w:val="auto"/>
          <w:sz w:val="28"/>
          <w:szCs w:val="28"/>
          <w:highlight w:val="none"/>
          <w:shd w:val="clear" w:color="auto" w:fill="auto"/>
        </w:rPr>
      </w:pPr>
    </w:p>
    <w:p>
      <w:pPr>
        <w:spacing w:line="580" w:lineRule="exact"/>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竞买申请人（盖章）：</w:t>
      </w:r>
    </w:p>
    <w:p>
      <w:pPr>
        <w:spacing w:line="580" w:lineRule="exact"/>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法定代表人/执行事务合伙人：      身份证号：</w:t>
      </w:r>
    </w:p>
    <w:p>
      <w:pPr>
        <w:spacing w:line="580" w:lineRule="exact"/>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委托代理人：                     身份证号：</w:t>
      </w:r>
    </w:p>
    <w:p>
      <w:pPr>
        <w:spacing w:line="580" w:lineRule="exact"/>
        <w:ind w:firstLine="637" w:firstLineChars="177"/>
        <w:rPr>
          <w:rFonts w:ascii="宋体" w:hAnsi="宋体"/>
          <w:color w:val="auto"/>
          <w:sz w:val="28"/>
          <w:szCs w:val="28"/>
          <w:highlight w:val="none"/>
          <w:shd w:val="clear" w:color="auto" w:fill="auto"/>
        </w:rPr>
      </w:pPr>
      <w:r>
        <w:rPr>
          <w:rFonts w:hint="eastAsia" w:ascii="宋体" w:hAnsi="宋体"/>
          <w:color w:val="auto"/>
          <w:spacing w:val="40"/>
          <w:sz w:val="28"/>
          <w:szCs w:val="28"/>
          <w:highlight w:val="none"/>
          <w:shd w:val="clear" w:color="auto" w:fill="auto"/>
        </w:rPr>
        <w:t>联系地址：</w:t>
      </w:r>
      <w:r>
        <w:rPr>
          <w:rFonts w:hint="eastAsia" w:ascii="宋体" w:hAnsi="宋体"/>
          <w:color w:val="auto"/>
          <w:sz w:val="28"/>
          <w:szCs w:val="28"/>
          <w:highlight w:val="none"/>
          <w:shd w:val="clear" w:color="auto" w:fill="auto"/>
        </w:rPr>
        <w:t xml:space="preserve">                    邮政编码：</w:t>
      </w:r>
    </w:p>
    <w:p>
      <w:pPr>
        <w:spacing w:line="580" w:lineRule="exact"/>
        <w:ind w:firstLine="637" w:firstLineChars="177"/>
        <w:rPr>
          <w:rFonts w:ascii="宋体" w:hAnsi="宋体"/>
          <w:color w:val="auto"/>
          <w:sz w:val="28"/>
          <w:szCs w:val="28"/>
          <w:highlight w:val="none"/>
          <w:shd w:val="clear" w:color="auto" w:fill="auto"/>
        </w:rPr>
      </w:pPr>
      <w:r>
        <w:rPr>
          <w:rFonts w:hint="eastAsia" w:ascii="宋体" w:hAnsi="宋体"/>
          <w:color w:val="auto"/>
          <w:spacing w:val="40"/>
          <w:sz w:val="28"/>
          <w:szCs w:val="28"/>
          <w:highlight w:val="none"/>
          <w:shd w:val="clear" w:color="auto" w:fill="auto"/>
        </w:rPr>
        <w:t>联系电话：</w:t>
      </w:r>
      <w:r>
        <w:rPr>
          <w:rFonts w:hint="eastAsia" w:ascii="宋体" w:hAnsi="宋体"/>
          <w:color w:val="auto"/>
          <w:sz w:val="28"/>
          <w:szCs w:val="28"/>
          <w:highlight w:val="none"/>
          <w:shd w:val="clear" w:color="auto" w:fill="auto"/>
        </w:rPr>
        <w:t xml:space="preserve">                    传    真：</w:t>
      </w:r>
    </w:p>
    <w:p>
      <w:pPr>
        <w:spacing w:line="580" w:lineRule="exact"/>
        <w:ind w:firstLine="0"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l：</w:t>
      </w:r>
      <w:r>
        <w:rPr>
          <w:rFonts w:ascii="宋体" w:hAnsi="宋体"/>
          <w:color w:val="auto"/>
          <w:sz w:val="28"/>
          <w:szCs w:val="28"/>
          <w:highlight w:val="none"/>
          <w:shd w:val="clear" w:color="auto" w:fill="auto"/>
        </w:rPr>
        <w:br w:type="textWrapping"/>
      </w:r>
      <w:r>
        <w:rPr>
          <w:rFonts w:hint="eastAsia" w:ascii="宋体" w:hAnsi="宋体"/>
          <w:color w:val="auto"/>
          <w:sz w:val="28"/>
          <w:szCs w:val="28"/>
          <w:highlight w:val="none"/>
          <w:shd w:val="clear" w:color="auto" w:fill="auto"/>
        </w:rPr>
        <w:t xml:space="preserve">                                    </w:t>
      </w:r>
      <w:r>
        <w:rPr>
          <w:rFonts w:ascii="宋体" w:hAnsi="宋体"/>
          <w:color w:val="auto"/>
          <w:sz w:val="28"/>
          <w:szCs w:val="28"/>
          <w:highlight w:val="none"/>
          <w:shd w:val="clear" w:color="auto" w:fill="auto"/>
        </w:rPr>
        <w:t>2022</w:t>
      </w:r>
      <w:r>
        <w:rPr>
          <w:rFonts w:hint="eastAsia" w:ascii="宋体" w:hAnsi="宋体"/>
          <w:color w:val="auto"/>
          <w:sz w:val="28"/>
          <w:szCs w:val="28"/>
          <w:highlight w:val="none"/>
          <w:shd w:val="clear" w:color="auto" w:fill="auto"/>
        </w:rPr>
        <w:t>年   月   日</w:t>
      </w:r>
    </w:p>
    <w:p>
      <w:pPr>
        <w:spacing w:line="580" w:lineRule="exact"/>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 xml:space="preserve">附件：                                    </w:t>
      </w:r>
    </w:p>
    <w:p>
      <w:pPr>
        <w:spacing w:line="580" w:lineRule="exact"/>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 企业（公司）法人/执行事务合伙人主体资格证明文件，包含企业法人营业执照副本的复印件，法定代表人及授权委托人的身份证明及授权委托书、公司章程、相关决议。</w:t>
      </w:r>
    </w:p>
    <w:p>
      <w:pPr>
        <w:spacing w:line="580" w:lineRule="exact"/>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□符合受让条件的有关证明及资料；</w:t>
      </w:r>
    </w:p>
    <w:p>
      <w:pPr>
        <w:spacing w:line="580" w:lineRule="exact"/>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 竞买保证金</w:t>
      </w:r>
      <w:r>
        <w:rPr>
          <w:rFonts w:ascii="宋体" w:hAnsi="宋体"/>
          <w:color w:val="auto"/>
          <w:sz w:val="28"/>
          <w:szCs w:val="28"/>
          <w:highlight w:val="none"/>
          <w:u w:val="single"/>
          <w:shd w:val="clear" w:color="auto" w:fill="auto"/>
        </w:rPr>
        <w:t>500</w:t>
      </w:r>
      <w:r>
        <w:rPr>
          <w:rFonts w:hint="eastAsia" w:ascii="宋体" w:hAnsi="宋体"/>
          <w:color w:val="auto"/>
          <w:sz w:val="28"/>
          <w:highlight w:val="none"/>
          <w:u w:val="single"/>
          <w:shd w:val="clear" w:color="auto" w:fill="auto"/>
        </w:rPr>
        <w:t>万元</w:t>
      </w:r>
      <w:r>
        <w:rPr>
          <w:rFonts w:hint="eastAsia" w:ascii="宋体" w:hAnsi="宋体"/>
          <w:color w:val="auto"/>
          <w:sz w:val="28"/>
          <w:highlight w:val="none"/>
          <w:shd w:val="clear" w:color="auto" w:fill="auto"/>
        </w:rPr>
        <w:t>人民币</w:t>
      </w:r>
      <w:r>
        <w:rPr>
          <w:rFonts w:hint="eastAsia" w:ascii="宋体" w:hAnsi="宋体"/>
          <w:color w:val="auto"/>
          <w:sz w:val="28"/>
          <w:szCs w:val="28"/>
          <w:highlight w:val="none"/>
          <w:shd w:val="clear" w:color="auto" w:fill="auto"/>
        </w:rPr>
        <w:t>（汇单）</w:t>
      </w:r>
    </w:p>
    <w:p>
      <w:pPr>
        <w:spacing w:line="580" w:lineRule="exact"/>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备注：</w:t>
      </w:r>
      <w:r>
        <w:rPr>
          <w:rFonts w:hint="eastAsia" w:ascii="宋体" w:hAnsi="宋体"/>
          <w:color w:val="auto"/>
          <w:sz w:val="28"/>
          <w:highlight w:val="none"/>
          <w:shd w:val="clear" w:color="auto" w:fill="auto"/>
        </w:rPr>
        <w:t>以上附件如非原件为复印件的应加盖公章或签名</w:t>
      </w:r>
      <w:r>
        <w:rPr>
          <w:rFonts w:hint="eastAsia" w:ascii="宋体" w:hAnsi="宋体"/>
          <w:color w:val="auto"/>
          <w:sz w:val="28"/>
          <w:szCs w:val="28"/>
          <w:highlight w:val="none"/>
          <w:shd w:val="clear" w:color="auto" w:fill="auto"/>
        </w:rPr>
        <w:t>。</w:t>
      </w:r>
    </w:p>
    <w:p>
      <w:pPr>
        <w:pStyle w:val="4"/>
        <w:spacing w:before="100" w:beforeAutospacing="1" w:after="100" w:afterAutospacing="1" w:line="360" w:lineRule="auto"/>
        <w:jc w:val="center"/>
        <w:rPr>
          <w:color w:val="auto"/>
          <w:sz w:val="36"/>
          <w:highlight w:val="none"/>
          <w:shd w:val="clear" w:color="auto" w:fill="auto"/>
        </w:rPr>
      </w:pPr>
      <w:r>
        <w:rPr>
          <w:rFonts w:hint="eastAsia" w:ascii="宋体" w:hAnsi="宋体"/>
          <w:b w:val="0"/>
          <w:color w:val="auto"/>
          <w:sz w:val="36"/>
          <w:szCs w:val="36"/>
          <w:highlight w:val="none"/>
          <w:shd w:val="clear" w:color="auto" w:fill="auto"/>
        </w:rPr>
        <w:br w:type="page"/>
      </w:r>
      <w:bookmarkStart w:id="25" w:name="_Toc7306"/>
      <w:bookmarkStart w:id="26" w:name="_Toc99379230"/>
      <w:bookmarkStart w:id="27" w:name="_Toc26784"/>
      <w:r>
        <w:rPr>
          <w:rFonts w:hint="eastAsia"/>
          <w:color w:val="auto"/>
          <w:sz w:val="36"/>
          <w:highlight w:val="none"/>
          <w:shd w:val="clear" w:color="auto" w:fill="auto"/>
        </w:rPr>
        <w:t>竞买人承诺函</w:t>
      </w:r>
      <w:bookmarkEnd w:id="25"/>
      <w:bookmarkEnd w:id="26"/>
      <w:bookmarkEnd w:id="27"/>
    </w:p>
    <w:p>
      <w:pPr>
        <w:ind w:firstLine="0" w:firstLineChars="0"/>
        <w:rPr>
          <w:rFonts w:ascii="宋体" w:hAnsi="宋体"/>
          <w:b/>
          <w:color w:val="auto"/>
          <w:sz w:val="28"/>
          <w:szCs w:val="28"/>
          <w:highlight w:val="none"/>
          <w:shd w:val="clear" w:color="auto" w:fill="auto"/>
        </w:rPr>
      </w:pPr>
      <w:r>
        <w:rPr>
          <w:rFonts w:hint="eastAsia" w:ascii="宋体" w:hAnsi="宋体"/>
          <w:color w:val="auto"/>
          <w:sz w:val="28"/>
          <w:szCs w:val="28"/>
          <w:highlight w:val="none"/>
          <w:shd w:val="clear" w:color="auto" w:fill="auto"/>
        </w:rPr>
        <w:t>台州市产权交易所有限公司：</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经认真阅读贵公司所提供的“浙江海正甦力康生物科技有限公司股权转让文件”以及贵公司提出的转让须知与网络竞价规则等，</w:t>
      </w:r>
      <w:r>
        <w:rPr>
          <w:rFonts w:hint="eastAsia" w:ascii="宋体" w:hAnsi="宋体"/>
          <w:color w:val="auto"/>
          <w:sz w:val="28"/>
          <w:highlight w:val="none"/>
          <w:shd w:val="clear" w:color="auto" w:fill="auto"/>
        </w:rPr>
        <w:t>我方愿意接受转让方提出的竞价条件及“浙江海正甦力康生物科技有限公司股权转让文件”中涉及的相关事项</w:t>
      </w:r>
      <w:r>
        <w:rPr>
          <w:rFonts w:hint="eastAsia" w:ascii="宋体" w:hAnsi="宋体"/>
          <w:color w:val="auto"/>
          <w:sz w:val="28"/>
          <w:szCs w:val="28"/>
          <w:highlight w:val="none"/>
          <w:shd w:val="clear" w:color="auto" w:fill="auto"/>
        </w:rPr>
        <w:t>，现我方将有关事项承诺如下：</w:t>
      </w:r>
    </w:p>
    <w:p>
      <w:pPr>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 xml:space="preserve"> 一、我方所提交的报名资料和文件符合竞价条件的有关证明为真实、合法、有效（含有关附件），我方确保我方竞买的主体资格和所提供的所有资料均能符合审批机关、工商管理部门对（企业）公司法人的股东及执行事务合伙人主体资格的要求，否则我方所交保证金由转让方没收，并承担由此造成的违约责任及相关损失。</w:t>
      </w:r>
    </w:p>
    <w:p>
      <w:pPr>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二、我方已详实了解本次转让标的有关情况，并保证成交后所支付的资金来源合法。</w:t>
      </w:r>
    </w:p>
    <w:p>
      <w:pPr>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三、我方已阅读并了解《股权转让合同》及“浙江海正甦力康生物科技有限公司股权转让文件”并不持异议，成交后按上述条款履行义务。</w:t>
      </w:r>
    </w:p>
    <w:p>
      <w:pPr>
        <w:ind w:firstLine="560"/>
        <w:rPr>
          <w:rFonts w:ascii="宋体" w:hAnsi="宋体"/>
          <w:color w:val="auto"/>
          <w:sz w:val="28"/>
          <w:highlight w:val="none"/>
          <w:shd w:val="clear" w:color="auto" w:fill="auto"/>
        </w:rPr>
      </w:pPr>
      <w:bookmarkStart w:id="28" w:name="待定08"/>
      <w:r>
        <w:rPr>
          <w:rFonts w:hint="eastAsia" w:ascii="宋体" w:hAnsi="宋体"/>
          <w:color w:val="auto"/>
          <w:sz w:val="28"/>
          <w:szCs w:val="28"/>
          <w:highlight w:val="none"/>
          <w:shd w:val="clear" w:color="auto" w:fill="auto"/>
        </w:rPr>
        <w:t>四、作为该项目的竞买人，我方承诺：同意按照</w:t>
      </w:r>
      <w:r>
        <w:rPr>
          <w:rFonts w:hint="eastAsia" w:ascii="宋体" w:hAnsi="宋体"/>
          <w:color w:val="auto"/>
          <w:sz w:val="28"/>
          <w:szCs w:val="28"/>
          <w:highlight w:val="none"/>
          <w:u w:val="single"/>
          <w:shd w:val="clear" w:color="auto" w:fill="auto"/>
        </w:rPr>
        <w:t>“浙江海正甦力康生物科技有限公司增资项目”（</w:t>
      </w:r>
      <w:r>
        <w:rPr>
          <w:rFonts w:hint="eastAsia" w:ascii="宋体" w:hAnsi="宋体"/>
          <w:color w:val="auto"/>
          <w:sz w:val="28"/>
          <w:highlight w:val="none"/>
          <w:u w:val="single"/>
          <w:shd w:val="clear" w:color="auto" w:fill="auto"/>
        </w:rPr>
        <w:t>台交所挂〔2022〕</w:t>
      </w:r>
      <w:r>
        <w:rPr>
          <w:rFonts w:ascii="宋体" w:hAnsi="宋体"/>
          <w:color w:val="auto"/>
          <w:sz w:val="28"/>
          <w:highlight w:val="none"/>
          <w:u w:val="single"/>
          <w:shd w:val="clear" w:color="auto" w:fill="auto"/>
        </w:rPr>
        <w:t>11</w:t>
      </w:r>
      <w:r>
        <w:rPr>
          <w:rFonts w:hint="eastAsia" w:ascii="宋体" w:hAnsi="宋体"/>
          <w:color w:val="auto"/>
          <w:sz w:val="28"/>
          <w:highlight w:val="none"/>
          <w:u w:val="single"/>
          <w:shd w:val="clear" w:color="auto" w:fill="auto"/>
        </w:rPr>
        <w:t>号</w:t>
      </w:r>
      <w:r>
        <w:rPr>
          <w:rFonts w:hint="eastAsia" w:ascii="宋体" w:hAnsi="宋体"/>
          <w:color w:val="auto"/>
          <w:sz w:val="28"/>
          <w:szCs w:val="28"/>
          <w:highlight w:val="none"/>
          <w:u w:val="single"/>
          <w:shd w:val="clear" w:color="auto" w:fill="auto"/>
        </w:rPr>
        <w:t>）确定的增资价格为本次股权转让的价格，在</w:t>
      </w:r>
      <w:r>
        <w:rPr>
          <w:rFonts w:hint="eastAsia" w:ascii="宋体" w:hAnsi="宋体"/>
          <w:color w:val="auto"/>
          <w:sz w:val="28"/>
          <w:szCs w:val="28"/>
          <w:highlight w:val="none"/>
          <w:u w:val="single"/>
          <w:shd w:val="clear" w:color="auto" w:fill="auto"/>
          <w:lang w:val="en-US" w:eastAsia="zh-CN"/>
        </w:rPr>
        <w:t>产交所</w:t>
      </w:r>
      <w:r>
        <w:rPr>
          <w:rFonts w:hint="eastAsia" w:ascii="宋体" w:hAnsi="宋体"/>
          <w:color w:val="auto"/>
          <w:sz w:val="28"/>
          <w:szCs w:val="28"/>
          <w:highlight w:val="none"/>
          <w:u w:val="single"/>
          <w:shd w:val="clear" w:color="auto" w:fill="auto"/>
        </w:rPr>
        <w:t>发出《成交结果通知书》后五个工作日内签署《股权转让合同》并履行相关义务。</w:t>
      </w:r>
    </w:p>
    <w:bookmarkEnd w:id="28"/>
    <w:p>
      <w:pPr>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五、若我方竞得，所缴纳的竞买保证金根据合同的约定可抵作部分成交价款，交易服务费为成交额的0.89%支付。</w:t>
      </w:r>
    </w:p>
    <w:p>
      <w:pPr>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六、如因正当理由在项目</w:t>
      </w:r>
      <w:r>
        <w:rPr>
          <w:rFonts w:hint="eastAsia" w:ascii="宋体" w:hAnsi="宋体"/>
          <w:color w:val="auto"/>
          <w:sz w:val="28"/>
          <w:szCs w:val="28"/>
          <w:highlight w:val="none"/>
          <w:shd w:val="clear" w:color="auto" w:fill="auto"/>
          <w:lang w:val="en-US" w:eastAsia="zh-CN"/>
        </w:rPr>
        <w:t>限时</w:t>
      </w:r>
      <w:r>
        <w:rPr>
          <w:rFonts w:hint="eastAsia" w:ascii="宋体" w:hAnsi="宋体"/>
          <w:color w:val="auto"/>
          <w:sz w:val="28"/>
          <w:szCs w:val="28"/>
          <w:highlight w:val="none"/>
          <w:shd w:val="clear" w:color="auto" w:fill="auto"/>
        </w:rPr>
        <w:t>竞价开始前撤回转让标的的，我方愿意接受该事实，并配合贵公司办理退还保证金等手续，不再向贵公司追索保证金利息及其他任何费用与责任。</w:t>
      </w:r>
    </w:p>
    <w:p>
      <w:pPr>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七、如在竞价该项目的过程中发生争议需提起诉讼或仲裁，除贵公司存在过错、故意或</w:t>
      </w:r>
      <w:r>
        <w:rPr>
          <w:rFonts w:ascii="宋体" w:hAnsi="宋体"/>
          <w:color w:val="auto"/>
          <w:sz w:val="28"/>
          <w:szCs w:val="28"/>
          <w:highlight w:val="none"/>
          <w:shd w:val="clear" w:color="auto" w:fill="auto"/>
        </w:rPr>
        <w:t>过失</w:t>
      </w:r>
      <w:r>
        <w:rPr>
          <w:rFonts w:hint="eastAsia" w:ascii="宋体" w:hAnsi="宋体"/>
          <w:color w:val="auto"/>
          <w:sz w:val="28"/>
          <w:szCs w:val="28"/>
          <w:highlight w:val="none"/>
          <w:shd w:val="clear" w:color="auto" w:fill="auto"/>
        </w:rPr>
        <w:t>行为之外，我方承诺不将贵公司列为相关诉讼、仲裁的被告或被申请人。</w:t>
      </w:r>
    </w:p>
    <w:p>
      <w:pPr>
        <w:ind w:right="1200" w:firstLine="560"/>
        <w:jc w:val="right"/>
        <w:rPr>
          <w:rFonts w:ascii="宋体" w:hAnsi="宋体"/>
          <w:color w:val="auto"/>
          <w:sz w:val="28"/>
          <w:szCs w:val="28"/>
          <w:highlight w:val="none"/>
          <w:shd w:val="clear" w:color="auto" w:fill="auto"/>
        </w:rPr>
      </w:pPr>
    </w:p>
    <w:p>
      <w:pPr>
        <w:ind w:right="1200" w:firstLine="560"/>
        <w:jc w:val="right"/>
        <w:rPr>
          <w:rFonts w:ascii="宋体" w:hAnsi="宋体"/>
          <w:color w:val="auto"/>
          <w:sz w:val="28"/>
          <w:szCs w:val="28"/>
          <w:highlight w:val="none"/>
          <w:shd w:val="clear" w:color="auto" w:fill="auto"/>
        </w:rPr>
      </w:pPr>
    </w:p>
    <w:p>
      <w:pPr>
        <w:ind w:right="1200" w:firstLine="560"/>
        <w:jc w:val="right"/>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承诺人（签章）</w:t>
      </w:r>
    </w:p>
    <w:p>
      <w:pPr>
        <w:ind w:firstLine="560"/>
        <w:jc w:val="right"/>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年    月    日</w:t>
      </w:r>
    </w:p>
    <w:p>
      <w:pPr>
        <w:pStyle w:val="4"/>
        <w:spacing w:before="100" w:beforeAutospacing="1" w:after="100" w:afterAutospacing="1" w:line="360" w:lineRule="auto"/>
        <w:jc w:val="center"/>
        <w:rPr>
          <w:rFonts w:ascii="宋体" w:hAnsi="宋体"/>
          <w:b w:val="0"/>
          <w:color w:val="auto"/>
          <w:sz w:val="48"/>
          <w:szCs w:val="48"/>
          <w:highlight w:val="none"/>
          <w:shd w:val="clear" w:color="auto" w:fill="auto"/>
        </w:rPr>
      </w:pPr>
      <w:r>
        <w:rPr>
          <w:rFonts w:hint="eastAsia" w:ascii="宋体" w:hAnsi="宋体"/>
          <w:color w:val="auto"/>
          <w:sz w:val="28"/>
          <w:szCs w:val="28"/>
          <w:highlight w:val="none"/>
          <w:shd w:val="clear" w:color="auto" w:fill="auto"/>
        </w:rPr>
        <w:br w:type="page"/>
      </w:r>
    </w:p>
    <w:p>
      <w:pPr>
        <w:spacing w:line="360" w:lineRule="auto"/>
        <w:ind w:right="-395" w:rightChars="-188" w:firstLine="0" w:firstLineChars="0"/>
        <w:jc w:val="center"/>
        <w:rPr>
          <w:rFonts w:ascii="宋体" w:hAnsi="宋体"/>
          <w:b/>
          <w:color w:val="auto"/>
          <w:sz w:val="48"/>
          <w:szCs w:val="48"/>
          <w:highlight w:val="none"/>
          <w:shd w:val="clear" w:color="auto" w:fill="auto"/>
        </w:rPr>
      </w:pPr>
    </w:p>
    <w:p>
      <w:pPr>
        <w:spacing w:line="360" w:lineRule="auto"/>
        <w:ind w:right="-395" w:rightChars="-188" w:firstLine="0" w:firstLineChars="0"/>
        <w:jc w:val="center"/>
        <w:rPr>
          <w:rFonts w:ascii="宋体" w:hAnsi="宋体"/>
          <w:b/>
          <w:color w:val="auto"/>
          <w:sz w:val="48"/>
          <w:szCs w:val="48"/>
          <w:highlight w:val="none"/>
          <w:shd w:val="clear" w:color="auto" w:fill="auto"/>
        </w:rPr>
      </w:pPr>
    </w:p>
    <w:p>
      <w:pPr>
        <w:spacing w:line="360" w:lineRule="auto"/>
        <w:ind w:right="-395" w:rightChars="-188" w:firstLine="0" w:firstLineChars="0"/>
        <w:jc w:val="center"/>
        <w:rPr>
          <w:rFonts w:ascii="宋体" w:hAnsi="宋体"/>
          <w:b/>
          <w:color w:val="auto"/>
          <w:sz w:val="48"/>
          <w:szCs w:val="48"/>
          <w:highlight w:val="none"/>
          <w:shd w:val="clear" w:color="auto" w:fill="auto"/>
        </w:rPr>
      </w:pPr>
    </w:p>
    <w:p>
      <w:pPr>
        <w:spacing w:line="360" w:lineRule="auto"/>
        <w:ind w:right="-395" w:rightChars="-188" w:firstLine="0" w:firstLineChars="0"/>
        <w:jc w:val="center"/>
        <w:rPr>
          <w:rFonts w:ascii="宋体" w:hAnsi="宋体"/>
          <w:b/>
          <w:color w:val="auto"/>
          <w:sz w:val="48"/>
          <w:szCs w:val="48"/>
          <w:highlight w:val="none"/>
          <w:shd w:val="clear" w:color="auto" w:fill="auto"/>
        </w:rPr>
      </w:pPr>
    </w:p>
    <w:p>
      <w:pPr>
        <w:spacing w:line="360" w:lineRule="auto"/>
        <w:ind w:right="-395" w:rightChars="-188" w:firstLine="0" w:firstLineChars="0"/>
        <w:jc w:val="center"/>
        <w:rPr>
          <w:rFonts w:ascii="宋体" w:hAnsi="宋体"/>
          <w:b/>
          <w:color w:val="auto"/>
          <w:sz w:val="48"/>
          <w:szCs w:val="48"/>
          <w:highlight w:val="none"/>
          <w:shd w:val="clear" w:color="auto" w:fill="auto"/>
        </w:rPr>
      </w:pPr>
    </w:p>
    <w:p>
      <w:pPr>
        <w:spacing w:line="360" w:lineRule="auto"/>
        <w:ind w:left="4" w:leftChars="-200" w:right="-615" w:rightChars="-293" w:hanging="424" w:hangingChars="88"/>
        <w:jc w:val="center"/>
        <w:rPr>
          <w:rFonts w:ascii="宋体" w:hAnsi="宋体"/>
          <w:b/>
          <w:color w:val="auto"/>
          <w:sz w:val="48"/>
          <w:szCs w:val="48"/>
          <w:highlight w:val="none"/>
          <w:shd w:val="clear" w:color="auto" w:fill="auto"/>
        </w:rPr>
      </w:pPr>
      <w:r>
        <w:rPr>
          <w:rFonts w:hint="eastAsia" w:ascii="宋体" w:hAnsi="宋体"/>
          <w:b/>
          <w:color w:val="auto"/>
          <w:sz w:val="48"/>
          <w:szCs w:val="48"/>
          <w:highlight w:val="none"/>
          <w:shd w:val="clear" w:color="auto" w:fill="auto"/>
        </w:rPr>
        <w:t>浙江海正甦力康生物科技有限公司股权</w:t>
      </w:r>
    </w:p>
    <w:p>
      <w:pPr>
        <w:spacing w:line="360" w:lineRule="auto"/>
        <w:ind w:firstLine="723"/>
        <w:jc w:val="center"/>
        <w:rPr>
          <w:rFonts w:ascii="宋体" w:hAnsi="宋体"/>
          <w:b/>
          <w:color w:val="auto"/>
          <w:sz w:val="36"/>
          <w:szCs w:val="36"/>
          <w:highlight w:val="none"/>
          <w:shd w:val="clear" w:color="auto" w:fill="auto"/>
        </w:rPr>
      </w:pPr>
    </w:p>
    <w:p>
      <w:pPr>
        <w:pStyle w:val="4"/>
        <w:spacing w:before="100" w:beforeAutospacing="1" w:after="100" w:afterAutospacing="1" w:line="360" w:lineRule="auto"/>
        <w:jc w:val="center"/>
        <w:rPr>
          <w:color w:val="auto"/>
          <w:sz w:val="72"/>
          <w:szCs w:val="56"/>
          <w:highlight w:val="none"/>
          <w:shd w:val="clear" w:color="auto" w:fill="auto"/>
        </w:rPr>
      </w:pPr>
      <w:bookmarkStart w:id="29" w:name="_Toc10080"/>
      <w:bookmarkStart w:id="30" w:name="_Toc99379231"/>
      <w:bookmarkStart w:id="31" w:name="_Toc27805"/>
      <w:r>
        <w:rPr>
          <w:rFonts w:hint="eastAsia"/>
          <w:color w:val="auto"/>
          <w:sz w:val="48"/>
          <w:szCs w:val="56"/>
          <w:highlight w:val="none"/>
          <w:shd w:val="clear" w:color="auto" w:fill="auto"/>
        </w:rPr>
        <w:t>转让合同</w:t>
      </w:r>
      <w:bookmarkEnd w:id="29"/>
      <w:bookmarkEnd w:id="30"/>
      <w:bookmarkEnd w:id="31"/>
    </w:p>
    <w:p>
      <w:pPr>
        <w:spacing w:line="360" w:lineRule="auto"/>
        <w:ind w:firstLine="0" w:firstLineChars="0"/>
        <w:jc w:val="center"/>
        <w:rPr>
          <w:rFonts w:ascii="宋体" w:hAnsi="宋体"/>
          <w:b/>
          <w:color w:val="auto"/>
          <w:sz w:val="70"/>
          <w:szCs w:val="70"/>
          <w:highlight w:val="none"/>
          <w:shd w:val="clear" w:color="auto" w:fill="auto"/>
        </w:rPr>
      </w:pPr>
    </w:p>
    <w:p>
      <w:pPr>
        <w:spacing w:line="360" w:lineRule="auto"/>
        <w:ind w:firstLine="0" w:firstLineChars="0"/>
        <w:jc w:val="center"/>
        <w:rPr>
          <w:rFonts w:ascii="宋体" w:hAnsi="宋体"/>
          <w:b/>
          <w:color w:val="auto"/>
          <w:sz w:val="56"/>
          <w:szCs w:val="56"/>
          <w:highlight w:val="none"/>
          <w:shd w:val="clear" w:color="auto" w:fill="auto"/>
        </w:rPr>
      </w:pPr>
      <w:r>
        <w:rPr>
          <w:rFonts w:hint="eastAsia" w:ascii="宋体" w:hAnsi="宋体"/>
          <w:b/>
          <w:color w:val="auto"/>
          <w:sz w:val="56"/>
          <w:szCs w:val="56"/>
          <w:highlight w:val="none"/>
          <w:shd w:val="clear" w:color="auto" w:fill="auto"/>
        </w:rPr>
        <w:t>（样稿）</w:t>
      </w:r>
    </w:p>
    <w:p>
      <w:pPr>
        <w:spacing w:line="360" w:lineRule="auto"/>
        <w:ind w:firstLine="720"/>
        <w:rPr>
          <w:rFonts w:ascii="宋体" w:hAnsi="宋体"/>
          <w:color w:val="auto"/>
          <w:sz w:val="36"/>
          <w:szCs w:val="36"/>
          <w:highlight w:val="none"/>
          <w:shd w:val="clear" w:color="auto" w:fill="auto"/>
        </w:rPr>
      </w:pPr>
    </w:p>
    <w:p>
      <w:pPr>
        <w:ind w:firstLine="560"/>
        <w:rPr>
          <w:rFonts w:ascii="宋体" w:hAnsi="宋体"/>
          <w:color w:val="auto"/>
          <w:sz w:val="28"/>
          <w:szCs w:val="28"/>
          <w:highlight w:val="none"/>
          <w:shd w:val="clear" w:color="auto" w:fill="auto"/>
        </w:rPr>
      </w:pPr>
    </w:p>
    <w:p>
      <w:pPr>
        <w:ind w:firstLine="560"/>
        <w:rPr>
          <w:rFonts w:ascii="宋体" w:hAnsi="宋体"/>
          <w:color w:val="auto"/>
          <w:sz w:val="28"/>
          <w:szCs w:val="28"/>
          <w:highlight w:val="none"/>
          <w:shd w:val="clear" w:color="auto" w:fill="auto"/>
        </w:rPr>
      </w:pPr>
    </w:p>
    <w:p>
      <w:pPr>
        <w:ind w:firstLine="560"/>
        <w:rPr>
          <w:rFonts w:ascii="宋体" w:hAnsi="宋体"/>
          <w:color w:val="auto"/>
          <w:sz w:val="28"/>
          <w:szCs w:val="28"/>
          <w:highlight w:val="none"/>
          <w:shd w:val="clear" w:color="auto" w:fill="auto"/>
        </w:rPr>
      </w:pPr>
    </w:p>
    <w:p>
      <w:pPr>
        <w:ind w:firstLine="560"/>
        <w:rPr>
          <w:rFonts w:ascii="宋体" w:hAnsi="宋体"/>
          <w:color w:val="auto"/>
          <w:sz w:val="28"/>
          <w:szCs w:val="28"/>
          <w:highlight w:val="none"/>
          <w:shd w:val="clear" w:color="auto" w:fill="auto"/>
        </w:rPr>
      </w:pPr>
    </w:p>
    <w:p>
      <w:pPr>
        <w:ind w:firstLine="560"/>
        <w:rPr>
          <w:rFonts w:ascii="宋体" w:hAnsi="宋体"/>
          <w:color w:val="auto"/>
          <w:sz w:val="28"/>
          <w:szCs w:val="28"/>
          <w:highlight w:val="none"/>
          <w:shd w:val="clear" w:color="auto" w:fill="auto"/>
        </w:rPr>
      </w:pPr>
    </w:p>
    <w:p>
      <w:pPr>
        <w:ind w:firstLine="0" w:firstLineChars="0"/>
        <w:rPr>
          <w:rFonts w:ascii="宋体" w:hAnsi="宋体"/>
          <w:color w:val="auto"/>
          <w:sz w:val="28"/>
          <w:szCs w:val="28"/>
          <w:highlight w:val="none"/>
          <w:shd w:val="clear" w:color="auto" w:fill="auto"/>
        </w:rPr>
      </w:pPr>
    </w:p>
    <w:p>
      <w:pPr>
        <w:spacing w:line="360" w:lineRule="auto"/>
        <w:ind w:firstLine="562"/>
        <w:jc w:val="center"/>
        <w:outlineLvl w:val="0"/>
        <w:rPr>
          <w:rFonts w:ascii="宋体" w:hAnsi="宋体"/>
          <w:b/>
          <w:color w:val="auto"/>
          <w:sz w:val="28"/>
          <w:szCs w:val="28"/>
          <w:highlight w:val="none"/>
          <w:shd w:val="clear" w:color="auto" w:fill="auto"/>
        </w:rPr>
      </w:pPr>
    </w:p>
    <w:p>
      <w:pPr>
        <w:ind w:firstLine="562"/>
        <w:jc w:val="center"/>
        <w:rPr>
          <w:b/>
          <w:color w:val="auto"/>
          <w:sz w:val="28"/>
          <w:szCs w:val="28"/>
          <w:highlight w:val="none"/>
          <w:shd w:val="clear" w:color="auto" w:fill="auto"/>
        </w:rPr>
      </w:pPr>
      <w:r>
        <w:rPr>
          <w:b/>
          <w:color w:val="auto"/>
          <w:sz w:val="28"/>
          <w:szCs w:val="28"/>
          <w:highlight w:val="none"/>
          <w:shd w:val="clear" w:color="auto" w:fill="auto"/>
        </w:rPr>
        <w:br w:type="page"/>
      </w:r>
    </w:p>
    <w:p>
      <w:pPr>
        <w:pStyle w:val="7"/>
        <w:jc w:val="center"/>
        <w:rPr>
          <w:b/>
          <w:color w:val="auto"/>
          <w:sz w:val="28"/>
          <w:szCs w:val="28"/>
          <w:highlight w:val="none"/>
          <w:shd w:val="clear" w:color="auto" w:fill="auto"/>
        </w:rPr>
      </w:pPr>
      <w:r>
        <w:rPr>
          <w:rFonts w:hint="eastAsia"/>
          <w:b/>
          <w:color w:val="auto"/>
          <w:sz w:val="28"/>
          <w:szCs w:val="28"/>
          <w:highlight w:val="none"/>
          <w:shd w:val="clear" w:color="auto" w:fill="auto"/>
        </w:rPr>
        <w:t>本合同的当事人</w:t>
      </w:r>
    </w:p>
    <w:p>
      <w:pPr>
        <w:spacing w:line="560" w:lineRule="exact"/>
        <w:ind w:firstLine="560"/>
        <w:rPr>
          <w:rFonts w:ascii="宋体" w:hAnsi="宋体"/>
          <w:color w:val="auto"/>
          <w:sz w:val="28"/>
          <w:szCs w:val="28"/>
          <w:highlight w:val="none"/>
          <w:shd w:val="clear" w:color="auto" w:fill="auto"/>
        </w:rPr>
      </w:pPr>
    </w:p>
    <w:p>
      <w:pPr>
        <w:spacing w:line="432" w:lineRule="auto"/>
        <w:ind w:firstLine="560"/>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出让人（以下简称甲方）：浙江海正药业股份有限公司</w:t>
      </w:r>
    </w:p>
    <w:p>
      <w:pPr>
        <w:spacing w:line="432" w:lineRule="auto"/>
        <w:ind w:firstLine="560"/>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主体资格证号：91330000704676287N</w:t>
      </w:r>
    </w:p>
    <w:p>
      <w:pPr>
        <w:spacing w:line="432" w:lineRule="auto"/>
        <w:ind w:firstLine="560"/>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注册地址/住所：中国浙江省台州市椒江区外沙路46号</w:t>
      </w:r>
    </w:p>
    <w:p>
      <w:pPr>
        <w:tabs>
          <w:tab w:val="left" w:pos="4640"/>
        </w:tabs>
        <w:spacing w:line="432" w:lineRule="auto"/>
        <w:ind w:left="6817" w:leftChars="266" w:hanging="6258" w:hangingChars="2235"/>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 xml:space="preserve">经济性质：其他股份有限公司（上市） </w:t>
      </w:r>
    </w:p>
    <w:p>
      <w:pPr>
        <w:tabs>
          <w:tab w:val="left" w:pos="4640"/>
        </w:tabs>
        <w:spacing w:line="432" w:lineRule="auto"/>
        <w:ind w:left="6817" w:leftChars="266" w:hanging="6258" w:hangingChars="2235"/>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注册资本：1,196,031,562元人民币</w:t>
      </w:r>
    </w:p>
    <w:p>
      <w:pPr>
        <w:spacing w:line="432" w:lineRule="auto"/>
        <w:ind w:firstLine="560"/>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法定代表人：蒋国平        职务：董事长</w:t>
      </w:r>
    </w:p>
    <w:p>
      <w:pPr>
        <w:spacing w:line="432" w:lineRule="auto"/>
        <w:ind w:left="6817" w:leftChars="266" w:hanging="6258" w:hangingChars="2235"/>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开户银行：中国工商银行台州市椒江区支行</w:t>
      </w:r>
    </w:p>
    <w:p>
      <w:pPr>
        <w:spacing w:line="432" w:lineRule="auto"/>
        <w:ind w:left="6817" w:leftChars="266" w:hanging="6258" w:hangingChars="2235"/>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帐号：1207 0111 0902 1000 728</w:t>
      </w:r>
    </w:p>
    <w:p>
      <w:pPr>
        <w:spacing w:line="432" w:lineRule="auto"/>
        <w:ind w:firstLine="560"/>
        <w:rPr>
          <w:rFonts w:hint="eastAsia" w:asciiTheme="minorEastAsia" w:hAnsiTheme="minorEastAsia" w:eastAsiaTheme="minorEastAsia" w:cstheme="minorEastAsia"/>
          <w:color w:val="auto"/>
          <w:sz w:val="28"/>
          <w:szCs w:val="28"/>
          <w:highlight w:val="none"/>
          <w:shd w:val="clear" w:color="auto" w:fill="auto"/>
        </w:rPr>
      </w:pPr>
      <w:r>
        <w:rPr>
          <w:rFonts w:hint="eastAsia" w:asciiTheme="minorEastAsia" w:hAnsiTheme="minorEastAsia" w:eastAsiaTheme="minorEastAsia" w:cstheme="minorEastAsia"/>
          <w:color w:val="auto"/>
          <w:sz w:val="28"/>
          <w:szCs w:val="28"/>
          <w:highlight w:val="none"/>
          <w:shd w:val="clear" w:color="auto" w:fill="auto"/>
        </w:rPr>
        <w:t>邮编：318000                 电话：0576-88827992</w:t>
      </w:r>
    </w:p>
    <w:p>
      <w:pPr>
        <w:spacing w:line="432" w:lineRule="auto"/>
        <w:ind w:firstLine="560"/>
        <w:rPr>
          <w:rFonts w:ascii="宋体" w:hAnsi="宋体"/>
          <w:color w:val="auto"/>
          <w:sz w:val="28"/>
          <w:szCs w:val="28"/>
          <w:highlight w:val="none"/>
          <w:shd w:val="clear" w:color="auto" w:fill="auto"/>
        </w:rPr>
      </w:pPr>
    </w:p>
    <w:p>
      <w:pPr>
        <w:spacing w:line="432" w:lineRule="auto"/>
        <w:ind w:firstLine="0" w:firstLineChars="0"/>
        <w:rPr>
          <w:rFonts w:ascii="宋体" w:hAnsi="宋体"/>
          <w:color w:val="auto"/>
          <w:sz w:val="28"/>
          <w:szCs w:val="28"/>
          <w:highlight w:val="none"/>
          <w:shd w:val="clear" w:color="auto" w:fill="auto"/>
        </w:rPr>
      </w:pPr>
    </w:p>
    <w:p>
      <w:pPr>
        <w:spacing w:line="432"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受让人（以下简称乙方）：</w:t>
      </w:r>
    </w:p>
    <w:p>
      <w:pPr>
        <w:spacing w:line="432"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主体资格证号或身份证号：</w:t>
      </w:r>
    </w:p>
    <w:p>
      <w:pPr>
        <w:spacing w:line="432"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注册地址/住所：</w:t>
      </w:r>
    </w:p>
    <w:p>
      <w:pPr>
        <w:tabs>
          <w:tab w:val="left" w:pos="4640"/>
        </w:tabs>
        <w:spacing w:line="432" w:lineRule="auto"/>
        <w:ind w:left="6817" w:leftChars="266" w:hanging="6258" w:hangingChars="2235"/>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 xml:space="preserve">经济性质：             　　　　   </w:t>
      </w:r>
      <w:r>
        <w:rPr>
          <w:rFonts w:ascii="宋体" w:hAnsi="宋体"/>
          <w:color w:val="auto"/>
          <w:sz w:val="28"/>
          <w:szCs w:val="28"/>
          <w:highlight w:val="none"/>
          <w:shd w:val="clear" w:color="auto" w:fill="auto"/>
        </w:rPr>
        <w:t xml:space="preserve"> </w:t>
      </w:r>
      <w:r>
        <w:rPr>
          <w:rFonts w:hint="eastAsia" w:ascii="宋体" w:hAnsi="宋体"/>
          <w:color w:val="auto"/>
          <w:sz w:val="28"/>
          <w:szCs w:val="28"/>
          <w:highlight w:val="none"/>
          <w:shd w:val="clear" w:color="auto" w:fill="auto"/>
        </w:rPr>
        <w:t xml:space="preserve"> 注册资本：</w:t>
      </w:r>
    </w:p>
    <w:p>
      <w:pPr>
        <w:tabs>
          <w:tab w:val="left" w:pos="6705"/>
        </w:tabs>
        <w:spacing w:line="432" w:lineRule="auto"/>
        <w:ind w:left="6817" w:leftChars="266" w:hanging="6258" w:hangingChars="2235"/>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法定代表人/执行事务合伙人：</w:t>
      </w:r>
      <w:r>
        <w:rPr>
          <w:rFonts w:ascii="宋体" w:hAnsi="宋体"/>
          <w:color w:val="auto"/>
          <w:sz w:val="28"/>
          <w:szCs w:val="28"/>
          <w:highlight w:val="none"/>
          <w:shd w:val="clear" w:color="auto" w:fill="auto"/>
        </w:rPr>
        <w:t xml:space="preserve">      </w:t>
      </w:r>
      <w:r>
        <w:rPr>
          <w:rFonts w:hint="eastAsia" w:ascii="宋体" w:hAnsi="宋体"/>
          <w:color w:val="auto"/>
          <w:sz w:val="28"/>
          <w:szCs w:val="28"/>
          <w:highlight w:val="none"/>
          <w:shd w:val="clear" w:color="auto" w:fill="auto"/>
        </w:rPr>
        <w:t xml:space="preserve"> 　　　职务：</w:t>
      </w:r>
      <w:r>
        <w:rPr>
          <w:rFonts w:ascii="宋体" w:hAnsi="宋体"/>
          <w:color w:val="auto"/>
          <w:sz w:val="28"/>
          <w:szCs w:val="28"/>
          <w:highlight w:val="none"/>
          <w:shd w:val="clear" w:color="auto" w:fill="auto"/>
        </w:rPr>
        <w:tab/>
      </w:r>
    </w:p>
    <w:p>
      <w:pPr>
        <w:tabs>
          <w:tab w:val="left" w:pos="4320"/>
          <w:tab w:val="left" w:pos="4680"/>
          <w:tab w:val="left" w:pos="5220"/>
          <w:tab w:val="left" w:pos="6900"/>
          <w:tab w:val="left" w:pos="8190"/>
        </w:tabs>
        <w:spacing w:line="432"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开户银行：　　　　　　　　　　　　  帐号：</w:t>
      </w:r>
      <w:r>
        <w:rPr>
          <w:rFonts w:ascii="宋体" w:hAnsi="宋体"/>
          <w:color w:val="auto"/>
          <w:sz w:val="28"/>
          <w:szCs w:val="28"/>
          <w:highlight w:val="none"/>
          <w:shd w:val="clear" w:color="auto" w:fill="auto"/>
        </w:rPr>
        <w:tab/>
      </w:r>
    </w:p>
    <w:p>
      <w:pPr>
        <w:tabs>
          <w:tab w:val="left" w:pos="5040"/>
        </w:tabs>
        <w:spacing w:line="432"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邮编：                              电话：</w:t>
      </w:r>
    </w:p>
    <w:p>
      <w:pPr>
        <w:tabs>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br w:type="page"/>
      </w:r>
      <w:r>
        <w:rPr>
          <w:rFonts w:hint="eastAsia" w:ascii="宋体" w:hAnsi="宋体"/>
          <w:color w:val="auto"/>
          <w:sz w:val="28"/>
          <w:szCs w:val="28"/>
          <w:highlight w:val="none"/>
          <w:shd w:val="clear" w:color="auto" w:fill="auto"/>
        </w:rPr>
        <w:t>根据《中华人民共和国民法典》和《企业国有资产交易监督管理办法》以及《企业国有产权交易操作规则》等相关法律、法规、规章及有关单位批准，甲方将持有的浙江海正甦力康生物科技有限公司（下称“甦力康”或</w:t>
      </w:r>
      <w:r>
        <w:rPr>
          <w:rFonts w:ascii="宋体" w:hAnsi="宋体"/>
          <w:color w:val="auto"/>
          <w:sz w:val="28"/>
          <w:szCs w:val="28"/>
          <w:highlight w:val="none"/>
          <w:shd w:val="clear" w:color="auto" w:fill="auto"/>
        </w:rPr>
        <w:t>“标的企业”</w:t>
      </w:r>
      <w:r>
        <w:rPr>
          <w:rFonts w:hint="eastAsia" w:ascii="宋体" w:hAnsi="宋体"/>
          <w:color w:val="auto"/>
          <w:sz w:val="28"/>
          <w:szCs w:val="28"/>
          <w:highlight w:val="none"/>
          <w:shd w:val="clear" w:color="auto" w:fill="auto"/>
        </w:rPr>
        <w:t>）股权转让给乙方。为此，甲、乙双方遵循自愿、公平、诚实信用的原则及转让相关规定订立本合同，以致共同遵守。</w:t>
      </w:r>
    </w:p>
    <w:p>
      <w:pPr>
        <w:tabs>
          <w:tab w:val="left" w:pos="3780"/>
        </w:tabs>
        <w:spacing w:line="360" w:lineRule="auto"/>
        <w:ind w:left="562" w:hanging="562" w:hangingChars="20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鉴于：</w:t>
      </w:r>
    </w:p>
    <w:p>
      <w:pPr>
        <w:pStyle w:val="36"/>
        <w:numPr>
          <w:ilvl w:val="0"/>
          <w:numId w:val="3"/>
        </w:numPr>
        <w:spacing w:line="360" w:lineRule="auto"/>
        <w:ind w:left="0" w:firstLine="560" w:firstLineChars="200"/>
        <w:rPr>
          <w:rFonts w:hint="eastAsia" w:ascii="宋体" w:hAnsi="宋体" w:cs="宋体"/>
          <w:color w:val="auto"/>
          <w:sz w:val="28"/>
          <w:szCs w:val="28"/>
          <w:highlight w:val="none"/>
          <w:shd w:val="clear" w:color="auto" w:fill="auto"/>
        </w:rPr>
      </w:pPr>
      <w:r>
        <w:rPr>
          <w:rFonts w:hint="eastAsia" w:ascii="宋体" w:hAnsi="宋体" w:cs="宋体"/>
          <w:color w:val="auto"/>
          <w:sz w:val="28"/>
          <w:szCs w:val="28"/>
          <w:highlight w:val="none"/>
          <w:shd w:val="clear" w:color="auto" w:fill="auto"/>
        </w:rPr>
        <w:t>浙江海正甦力康生物科技有限公司（下称“甦力康”）主要从事特殊医学用途配方食品及健康食品等的研发、生产与销售。组建于2015年10月，注册资本5000万元，统一社会信用代码为91331002MA28G0D16T，法定代表李岳。经营范围：生物技术开发、技术服务、技术咨询、技术转让，企业管理咨询，货物进出口，化妆品、日用品、文具用品、第二类医疗器械、工艺品销售，食品生产，预包装食品（不含冷藏冷冻食品）、保健食品、婴幼儿配方乳粉、其他婴幼儿配方食品销售（凭有效许可证经营）。（分支机构经营场所设在台州市椒江区外沙路46号）（法律、行政法规禁止经营的项目除外，法律、行政法规规定限制经营的项目取得许可证后方可经营）（依法须经批准的项目，经相关部门批准后方可开展经营活动）</w:t>
      </w:r>
    </w:p>
    <w:p>
      <w:pPr>
        <w:pStyle w:val="36"/>
        <w:numPr>
          <w:ilvl w:val="0"/>
          <w:numId w:val="4"/>
        </w:numPr>
        <w:spacing w:line="360" w:lineRule="auto"/>
        <w:ind w:left="0" w:firstLine="560" w:firstLineChars="200"/>
        <w:rPr>
          <w:rFonts w:hint="eastAsia" w:ascii="宋体" w:hAnsi="宋体" w:cs="宋体"/>
          <w:color w:val="auto"/>
          <w:sz w:val="28"/>
          <w:szCs w:val="28"/>
          <w:highlight w:val="none"/>
          <w:shd w:val="clear" w:color="auto" w:fill="auto"/>
        </w:rPr>
      </w:pPr>
      <w:r>
        <w:rPr>
          <w:rFonts w:hint="eastAsia" w:ascii="宋体" w:hAnsi="宋体"/>
          <w:color w:val="auto"/>
          <w:sz w:val="28"/>
          <w:szCs w:val="28"/>
          <w:highlight w:val="none"/>
          <w:shd w:val="clear" w:color="auto" w:fill="auto"/>
        </w:rPr>
        <w:t>转让标的（</w:t>
      </w:r>
      <w:r>
        <w:rPr>
          <w:rFonts w:ascii="宋体" w:hAnsi="宋体"/>
          <w:color w:val="auto"/>
          <w:sz w:val="28"/>
          <w:szCs w:val="28"/>
          <w:highlight w:val="none"/>
          <w:shd w:val="clear" w:color="auto" w:fill="auto"/>
        </w:rPr>
        <w:t>定义见下文）</w:t>
      </w:r>
      <w:r>
        <w:rPr>
          <w:rFonts w:hint="eastAsia" w:ascii="宋体" w:hAnsi="宋体"/>
          <w:color w:val="auto"/>
          <w:sz w:val="28"/>
          <w:szCs w:val="28"/>
          <w:highlight w:val="none"/>
          <w:shd w:val="clear" w:color="auto" w:fill="auto"/>
        </w:rPr>
        <w:t>经有资质的坤元资产评估有限公司评估，</w:t>
      </w:r>
      <w:r>
        <w:rPr>
          <w:rFonts w:hint="eastAsia" w:ascii="宋体" w:hAnsi="宋体" w:cs="宋体"/>
          <w:color w:val="auto"/>
          <w:sz w:val="28"/>
          <w:szCs w:val="28"/>
          <w:highlight w:val="none"/>
          <w:shd w:val="clear" w:color="auto" w:fill="auto"/>
        </w:rPr>
        <w:t>出具了以</w:t>
      </w:r>
      <w:r>
        <w:rPr>
          <w:rFonts w:ascii="宋体" w:hAnsi="宋体" w:cs="宋体"/>
          <w:color w:val="auto"/>
          <w:sz w:val="28"/>
          <w:szCs w:val="28"/>
          <w:highlight w:val="none"/>
          <w:shd w:val="clear" w:color="auto" w:fill="auto"/>
        </w:rPr>
        <w:t>2021</w:t>
      </w:r>
      <w:r>
        <w:rPr>
          <w:rFonts w:hint="eastAsia" w:ascii="宋体" w:hAnsi="宋体" w:cs="宋体"/>
          <w:color w:val="auto"/>
          <w:sz w:val="28"/>
          <w:szCs w:val="28"/>
          <w:highlight w:val="none"/>
          <w:shd w:val="clear" w:color="auto" w:fill="auto"/>
        </w:rPr>
        <w:t>年</w:t>
      </w:r>
      <w:r>
        <w:rPr>
          <w:rFonts w:ascii="宋体" w:hAnsi="宋体" w:cs="宋体"/>
          <w:color w:val="auto"/>
          <w:sz w:val="28"/>
          <w:szCs w:val="28"/>
          <w:highlight w:val="none"/>
          <w:shd w:val="clear" w:color="auto" w:fill="auto"/>
        </w:rPr>
        <w:t>9</w:t>
      </w:r>
      <w:r>
        <w:rPr>
          <w:rFonts w:hint="eastAsia" w:ascii="宋体" w:hAnsi="宋体" w:cs="宋体"/>
          <w:color w:val="auto"/>
          <w:sz w:val="28"/>
          <w:szCs w:val="28"/>
          <w:highlight w:val="none"/>
          <w:shd w:val="clear" w:color="auto" w:fill="auto"/>
        </w:rPr>
        <w:t>月3</w:t>
      </w:r>
      <w:r>
        <w:rPr>
          <w:rFonts w:ascii="宋体" w:hAnsi="宋体" w:cs="宋体"/>
          <w:color w:val="auto"/>
          <w:sz w:val="28"/>
          <w:szCs w:val="28"/>
          <w:highlight w:val="none"/>
          <w:shd w:val="clear" w:color="auto" w:fill="auto"/>
        </w:rPr>
        <w:t>0</w:t>
      </w:r>
      <w:r>
        <w:rPr>
          <w:rFonts w:hint="eastAsia" w:ascii="宋体" w:hAnsi="宋体" w:cs="宋体"/>
          <w:color w:val="auto"/>
          <w:sz w:val="28"/>
          <w:szCs w:val="28"/>
          <w:highlight w:val="none"/>
          <w:shd w:val="clear" w:color="auto" w:fill="auto"/>
        </w:rPr>
        <w:t>日为评估基准日的坤元评报〔2021〕900号《浙江海正药业股份有限公司拟为浙江海正甦力康生物科技有限公司引进投资涉及的该公司股东全部权益价值评估项目资产评估报告》。</w:t>
      </w:r>
    </w:p>
    <w:p>
      <w:pPr>
        <w:pStyle w:val="36"/>
        <w:numPr>
          <w:ilvl w:val="0"/>
          <w:numId w:val="5"/>
        </w:numPr>
        <w:spacing w:line="360" w:lineRule="auto"/>
        <w:ind w:left="0" w:firstLine="560" w:firstLineChars="200"/>
        <w:rPr>
          <w:rFonts w:hint="eastAsia" w:ascii="宋体" w:hAnsi="宋体"/>
          <w:color w:val="auto"/>
          <w:sz w:val="28"/>
          <w:szCs w:val="28"/>
          <w:highlight w:val="none"/>
          <w:shd w:val="clear" w:color="auto" w:fill="auto"/>
        </w:rPr>
      </w:pPr>
      <w:bookmarkStart w:id="32" w:name="待定09"/>
      <w:r>
        <w:rPr>
          <w:rFonts w:hint="eastAsia" w:ascii="宋体" w:hAnsi="宋体"/>
          <w:color w:val="auto"/>
          <w:sz w:val="28"/>
          <w:szCs w:val="28"/>
          <w:highlight w:val="none"/>
          <w:shd w:val="clear" w:color="auto" w:fill="auto"/>
        </w:rPr>
        <w:t>本次股权转让已经必要的内部决策和批准程序，资产评估报告已经椒江区国资办备案。</w:t>
      </w:r>
    </w:p>
    <w:bookmarkEnd w:id="32"/>
    <w:p>
      <w:pPr>
        <w:pStyle w:val="36"/>
        <w:numPr>
          <w:ilvl w:val="0"/>
          <w:numId w:val="6"/>
        </w:numPr>
        <w:spacing w:line="360" w:lineRule="auto"/>
        <w:ind w:left="0" w:firstLine="560" w:firstLineChars="200"/>
        <w:rPr>
          <w:rFonts w:hint="eastAsia"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甲、乙双方当事人对上述情况及本次股权转让的相关资料均已进行全面详细的了解。</w:t>
      </w:r>
    </w:p>
    <w:p>
      <w:pPr>
        <w:pStyle w:val="36"/>
        <w:numPr>
          <w:ilvl w:val="-1"/>
          <w:numId w:val="0"/>
        </w:numPr>
        <w:spacing w:line="360" w:lineRule="auto"/>
        <w:ind w:left="0" w:firstLine="560" w:firstLineChars="20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lang w:val="en-US" w:eastAsia="zh-CN"/>
        </w:rPr>
        <w:t>5、</w:t>
      </w:r>
      <w:r>
        <w:rPr>
          <w:rFonts w:hint="eastAsia" w:ascii="宋体" w:hAnsi="宋体"/>
          <w:color w:val="auto"/>
          <w:sz w:val="28"/>
          <w:szCs w:val="28"/>
          <w:highlight w:val="none"/>
          <w:shd w:val="clear" w:color="auto" w:fill="auto"/>
        </w:rPr>
        <w:t>本次股权转让，双方当事人均已被授权。</w:t>
      </w:r>
    </w:p>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转让的标的</w:t>
      </w:r>
    </w:p>
    <w:p>
      <w:pPr>
        <w:tabs>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甲方将持有的甦力康</w:t>
      </w:r>
      <w:r>
        <w:rPr>
          <w:rFonts w:ascii="宋体" w:hAnsi="宋体"/>
          <w:color w:val="auto"/>
          <w:sz w:val="28"/>
          <w:highlight w:val="none"/>
          <w:shd w:val="clear" w:color="auto" w:fill="auto"/>
        </w:rPr>
        <w:t>34.72%</w:t>
      </w:r>
      <w:r>
        <w:rPr>
          <w:rFonts w:hint="eastAsia" w:ascii="宋体" w:hAnsi="宋体"/>
          <w:color w:val="auto"/>
          <w:sz w:val="28"/>
          <w:highlight w:val="none"/>
          <w:shd w:val="clear" w:color="auto" w:fill="auto"/>
        </w:rPr>
        <w:t>股权</w:t>
      </w:r>
      <w:r>
        <w:rPr>
          <w:rFonts w:hint="eastAsia" w:ascii="宋体" w:hAnsi="宋体"/>
          <w:color w:val="auto"/>
          <w:sz w:val="28"/>
          <w:szCs w:val="28"/>
          <w:highlight w:val="none"/>
          <w:shd w:val="clear" w:color="auto" w:fill="auto"/>
        </w:rPr>
        <w:t>（对应注册资本人民币</w:t>
      </w:r>
      <w:r>
        <w:rPr>
          <w:rFonts w:ascii="宋体" w:hAnsi="宋体"/>
          <w:color w:val="auto"/>
          <w:sz w:val="28"/>
          <w:szCs w:val="28"/>
          <w:highlight w:val="none"/>
          <w:shd w:val="clear" w:color="auto" w:fill="auto"/>
        </w:rPr>
        <w:t>17,362,702.00</w:t>
      </w:r>
      <w:r>
        <w:rPr>
          <w:rFonts w:hint="eastAsia" w:ascii="宋体" w:hAnsi="宋体"/>
          <w:color w:val="auto"/>
          <w:sz w:val="28"/>
          <w:szCs w:val="28"/>
          <w:highlight w:val="none"/>
          <w:shd w:val="clear" w:color="auto" w:fill="auto"/>
        </w:rPr>
        <w:t>元，</w:t>
      </w:r>
      <w:r>
        <w:rPr>
          <w:rFonts w:ascii="宋体" w:hAnsi="宋体"/>
          <w:color w:val="auto"/>
          <w:sz w:val="28"/>
          <w:szCs w:val="28"/>
          <w:highlight w:val="none"/>
          <w:shd w:val="clear" w:color="auto" w:fill="auto"/>
        </w:rPr>
        <w:t>“</w:t>
      </w:r>
      <w:r>
        <w:rPr>
          <w:rFonts w:hint="eastAsia" w:ascii="宋体" w:hAnsi="宋体"/>
          <w:color w:val="auto"/>
          <w:sz w:val="28"/>
          <w:szCs w:val="28"/>
          <w:highlight w:val="none"/>
          <w:shd w:val="clear" w:color="auto" w:fill="auto"/>
        </w:rPr>
        <w:t>转让</w:t>
      </w:r>
      <w:r>
        <w:rPr>
          <w:rFonts w:ascii="宋体" w:hAnsi="宋体"/>
          <w:color w:val="auto"/>
          <w:sz w:val="28"/>
          <w:szCs w:val="28"/>
          <w:highlight w:val="none"/>
          <w:shd w:val="clear" w:color="auto" w:fill="auto"/>
        </w:rPr>
        <w:t>标的”</w:t>
      </w:r>
      <w:r>
        <w:rPr>
          <w:rFonts w:hint="eastAsia" w:ascii="宋体" w:hAnsi="宋体"/>
          <w:color w:val="auto"/>
          <w:sz w:val="28"/>
          <w:szCs w:val="28"/>
          <w:highlight w:val="none"/>
          <w:shd w:val="clear" w:color="auto" w:fill="auto"/>
        </w:rPr>
        <w:t>）有偿转让给乙方（</w:t>
      </w:r>
      <w:r>
        <w:rPr>
          <w:rFonts w:ascii="宋体" w:hAnsi="宋体"/>
          <w:color w:val="auto"/>
          <w:sz w:val="28"/>
          <w:szCs w:val="28"/>
          <w:highlight w:val="none"/>
          <w:shd w:val="clear" w:color="auto" w:fill="auto"/>
        </w:rPr>
        <w:t>“本次股权转让”）</w:t>
      </w:r>
      <w:r>
        <w:rPr>
          <w:rFonts w:hint="eastAsia" w:ascii="宋体" w:hAnsi="宋体"/>
          <w:color w:val="auto"/>
          <w:sz w:val="28"/>
          <w:szCs w:val="28"/>
          <w:highlight w:val="none"/>
          <w:shd w:val="clear" w:color="auto" w:fill="auto"/>
        </w:rPr>
        <w:t>。</w:t>
      </w:r>
    </w:p>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转让标的企业涉及的职工安置</w:t>
      </w:r>
    </w:p>
    <w:p>
      <w:pPr>
        <w:tabs>
          <w:tab w:val="left" w:pos="3780"/>
        </w:tabs>
        <w:spacing w:line="360" w:lineRule="auto"/>
        <w:ind w:firstLine="560"/>
        <w:rPr>
          <w:rFonts w:ascii="宋体" w:hAnsi="宋体"/>
          <w:b/>
          <w:color w:val="auto"/>
          <w:sz w:val="28"/>
          <w:szCs w:val="28"/>
          <w:highlight w:val="none"/>
          <w:shd w:val="clear" w:color="auto" w:fill="auto"/>
        </w:rPr>
      </w:pPr>
      <w:r>
        <w:rPr>
          <w:rFonts w:hint="eastAsia" w:ascii="宋体" w:hAnsi="宋体"/>
          <w:color w:val="auto"/>
          <w:sz w:val="28"/>
          <w:szCs w:val="28"/>
          <w:highlight w:val="none"/>
          <w:shd w:val="clear" w:color="auto" w:fill="auto"/>
        </w:rPr>
        <w:t>本次股权转让完成后，职工的劳动合同继续有效，其劳动关系、社会保险及住房公积金关系保持不变。</w:t>
      </w:r>
    </w:p>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转让标的企业涉及的债权、债务的承继和清偿办法。</w:t>
      </w:r>
    </w:p>
    <w:p>
      <w:pPr>
        <w:tabs>
          <w:tab w:val="left" w:pos="1620"/>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本次股权转让后，甦力康的法人主体未发生变化，为依法存续的有限责任公司。故此，其所有债权、债务依然由甦力康承继。</w:t>
      </w:r>
    </w:p>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股权转让方式</w:t>
      </w:r>
    </w:p>
    <w:p>
      <w:pPr>
        <w:tabs>
          <w:tab w:val="left" w:pos="3780"/>
        </w:tabs>
        <w:spacing w:line="360" w:lineRule="auto"/>
        <w:ind w:firstLine="560"/>
        <w:rPr>
          <w:rFonts w:ascii="宋体" w:hAnsi="宋体"/>
          <w:color w:val="auto"/>
          <w:sz w:val="28"/>
          <w:szCs w:val="28"/>
          <w:highlight w:val="none"/>
          <w:shd w:val="clear" w:color="auto" w:fill="auto"/>
        </w:rPr>
      </w:pPr>
      <w:bookmarkStart w:id="33" w:name="待定10"/>
      <w:r>
        <w:rPr>
          <w:rFonts w:hint="eastAsia" w:ascii="宋体" w:hAnsi="宋体"/>
          <w:color w:val="auto"/>
          <w:sz w:val="28"/>
          <w:szCs w:val="28"/>
          <w:highlight w:val="none"/>
          <w:shd w:val="clear" w:color="auto" w:fill="auto"/>
        </w:rPr>
        <w:t>本次</w:t>
      </w:r>
      <w:r>
        <w:rPr>
          <w:rFonts w:ascii="宋体" w:hAnsi="宋体"/>
          <w:color w:val="auto"/>
          <w:sz w:val="28"/>
          <w:szCs w:val="28"/>
          <w:highlight w:val="none"/>
          <w:shd w:val="clear" w:color="auto" w:fill="auto"/>
        </w:rPr>
        <w:t>股权转让</w:t>
      </w:r>
      <w:r>
        <w:rPr>
          <w:rFonts w:hint="eastAsia" w:ascii="宋体" w:hAnsi="宋体"/>
          <w:color w:val="auto"/>
          <w:sz w:val="28"/>
          <w:szCs w:val="28"/>
          <w:highlight w:val="none"/>
          <w:shd w:val="clear" w:color="auto" w:fill="auto"/>
        </w:rPr>
        <w:t>按照甦力康同步挂牌的增资项目（</w:t>
      </w:r>
      <w:r>
        <w:rPr>
          <w:rFonts w:ascii="宋体" w:hAnsi="宋体"/>
          <w:color w:val="auto"/>
          <w:sz w:val="28"/>
          <w:szCs w:val="28"/>
          <w:highlight w:val="none"/>
          <w:shd w:val="clear" w:color="auto" w:fill="auto"/>
        </w:rPr>
        <w:t>“本次增资”）</w:t>
      </w:r>
      <w:r>
        <w:rPr>
          <w:rFonts w:hint="eastAsia" w:ascii="宋体" w:hAnsi="宋体"/>
          <w:color w:val="auto"/>
          <w:sz w:val="28"/>
          <w:szCs w:val="28"/>
          <w:highlight w:val="none"/>
          <w:shd w:val="clear" w:color="auto" w:fill="auto"/>
        </w:rPr>
        <w:t>交易价格同步转让并</w:t>
      </w:r>
      <w:r>
        <w:rPr>
          <w:rFonts w:ascii="宋体" w:hAnsi="宋体"/>
          <w:color w:val="auto"/>
          <w:sz w:val="28"/>
          <w:szCs w:val="28"/>
          <w:highlight w:val="none"/>
          <w:shd w:val="clear" w:color="auto" w:fill="auto"/>
        </w:rPr>
        <w:t>同</w:t>
      </w:r>
      <w:r>
        <w:rPr>
          <w:rFonts w:hint="eastAsia" w:ascii="宋体" w:hAnsi="宋体"/>
          <w:color w:val="auto"/>
          <w:sz w:val="28"/>
          <w:szCs w:val="28"/>
          <w:highlight w:val="none"/>
          <w:shd w:val="clear" w:color="auto" w:fill="auto"/>
        </w:rPr>
        <w:t>时</w:t>
      </w:r>
      <w:r>
        <w:rPr>
          <w:rFonts w:ascii="宋体" w:hAnsi="宋体"/>
          <w:color w:val="auto"/>
          <w:sz w:val="28"/>
          <w:szCs w:val="28"/>
          <w:highlight w:val="none"/>
          <w:shd w:val="clear" w:color="auto" w:fill="auto"/>
        </w:rPr>
        <w:t>交割</w:t>
      </w:r>
      <w:r>
        <w:rPr>
          <w:rFonts w:hint="eastAsia" w:ascii="宋体" w:hAnsi="宋体"/>
          <w:color w:val="auto"/>
          <w:sz w:val="28"/>
          <w:szCs w:val="28"/>
          <w:highlight w:val="none"/>
          <w:shd w:val="clear" w:color="auto" w:fill="auto"/>
        </w:rPr>
        <w:t>。</w:t>
      </w:r>
    </w:p>
    <w:bookmarkEnd w:id="33"/>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股权转让价格</w:t>
      </w:r>
    </w:p>
    <w:p>
      <w:pPr>
        <w:tabs>
          <w:tab w:val="left" w:pos="3780"/>
        </w:tabs>
        <w:spacing w:line="360" w:lineRule="auto"/>
        <w:ind w:left="1" w:firstLine="537" w:firstLineChars="192"/>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甲方将本合同第一条规定的转让标的以人民币（大写）</w:t>
      </w:r>
      <w:r>
        <w:rPr>
          <w:rFonts w:hint="eastAsia" w:ascii="宋体" w:hAnsi="宋体"/>
          <w:color w:val="auto"/>
          <w:sz w:val="28"/>
          <w:szCs w:val="28"/>
          <w:highlight w:val="none"/>
          <w:u w:val="single"/>
          <w:shd w:val="clear" w:color="auto" w:fill="auto"/>
        </w:rPr>
        <w:t>_</w:t>
      </w:r>
      <w:r>
        <w:rPr>
          <w:rFonts w:ascii="宋体" w:hAnsi="宋体"/>
          <w:color w:val="auto"/>
          <w:sz w:val="28"/>
          <w:szCs w:val="28"/>
          <w:highlight w:val="none"/>
          <w:u w:val="single"/>
          <w:shd w:val="clear" w:color="auto" w:fill="auto"/>
        </w:rPr>
        <w:t>__________</w:t>
      </w:r>
      <w:r>
        <w:rPr>
          <w:rFonts w:hint="eastAsia" w:ascii="宋体" w:hAnsi="宋体"/>
          <w:color w:val="auto"/>
          <w:sz w:val="28"/>
          <w:szCs w:val="28"/>
          <w:highlight w:val="none"/>
          <w:shd w:val="clear" w:color="auto" w:fill="auto"/>
        </w:rPr>
        <w:t>，（小写）￥</w:t>
      </w:r>
      <w:r>
        <w:rPr>
          <w:rFonts w:hint="eastAsia" w:ascii="宋体" w:hAnsi="宋体"/>
          <w:color w:val="auto"/>
          <w:sz w:val="28"/>
          <w:szCs w:val="28"/>
          <w:highlight w:val="none"/>
          <w:u w:val="single"/>
          <w:shd w:val="clear" w:color="auto" w:fill="auto"/>
        </w:rPr>
        <w:t>_</w:t>
      </w:r>
      <w:r>
        <w:rPr>
          <w:rFonts w:ascii="宋体" w:hAnsi="宋体"/>
          <w:color w:val="auto"/>
          <w:sz w:val="28"/>
          <w:szCs w:val="28"/>
          <w:highlight w:val="none"/>
          <w:u w:val="single"/>
          <w:shd w:val="clear" w:color="auto" w:fill="auto"/>
        </w:rPr>
        <w:t>__________</w:t>
      </w:r>
      <w:r>
        <w:rPr>
          <w:rFonts w:hint="eastAsia" w:ascii="宋体" w:hAnsi="宋体"/>
          <w:color w:val="auto"/>
          <w:sz w:val="28"/>
          <w:szCs w:val="28"/>
          <w:highlight w:val="none"/>
          <w:shd w:val="clear" w:color="auto" w:fill="auto"/>
        </w:rPr>
        <w:t>元或等值其他货币转让给乙方。</w:t>
      </w:r>
    </w:p>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股权转让价款的支付方式、期限及付款条件</w:t>
      </w:r>
    </w:p>
    <w:p>
      <w:pPr>
        <w:tabs>
          <w:tab w:val="left" w:pos="993"/>
        </w:tabs>
        <w:spacing w:line="360" w:lineRule="auto"/>
        <w:ind w:firstLine="848" w:firstLineChars="303"/>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1、乙方于本合同生效且本次股权转让完成工商变更登记及其他政府审批、登记、备案手续（包括但不限于在受让方为外资情况下的外商投资主管部门审批、外汇登记手续）之日起的10个工作日内将股权转让价款一次性支付至转让方指定账户。乙方先期缴纳的竞买保证金可抵作部分转让价款。</w:t>
      </w:r>
    </w:p>
    <w:p>
      <w:pPr>
        <w:tabs>
          <w:tab w:val="left" w:pos="993"/>
        </w:tabs>
        <w:spacing w:line="360" w:lineRule="auto"/>
        <w:ind w:firstLine="565" w:firstLineChars="202"/>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2、甲、乙双方在本合同签订生效后五个工作日内应向台州市产权交易所有限公司的以下账户分别支付其各自应付的交易服务费：</w:t>
      </w:r>
    </w:p>
    <w:p>
      <w:pPr>
        <w:ind w:firstLine="560"/>
        <w:rPr>
          <w:rFonts w:ascii="宋体" w:hAnsi="宋体"/>
          <w:bCs/>
          <w:color w:val="auto"/>
          <w:sz w:val="28"/>
          <w:szCs w:val="28"/>
          <w:highlight w:val="none"/>
          <w:shd w:val="clear" w:color="auto" w:fill="auto"/>
        </w:rPr>
      </w:pPr>
      <w:r>
        <w:rPr>
          <w:rFonts w:hint="eastAsia" w:ascii="宋体" w:hAnsi="宋体"/>
          <w:color w:val="auto"/>
          <w:sz w:val="28"/>
          <w:szCs w:val="28"/>
          <w:highlight w:val="none"/>
          <w:shd w:val="clear" w:color="auto" w:fill="auto"/>
          <w:lang w:val="ms-MY"/>
        </w:rPr>
        <w:t>开户单位：</w:t>
      </w:r>
      <w:r>
        <w:rPr>
          <w:rFonts w:hint="eastAsia" w:ascii="宋体" w:hAnsi="宋体"/>
          <w:bCs/>
          <w:color w:val="auto"/>
          <w:sz w:val="28"/>
          <w:szCs w:val="28"/>
          <w:highlight w:val="none"/>
          <w:shd w:val="clear" w:color="auto" w:fill="auto"/>
        </w:rPr>
        <w:t>台州市产权交易所有限公司：</w:t>
      </w:r>
    </w:p>
    <w:p>
      <w:pPr>
        <w:ind w:firstLine="560"/>
        <w:rPr>
          <w:rFonts w:ascii="宋体" w:hAnsi="宋体"/>
          <w:bCs/>
          <w:color w:val="auto"/>
          <w:sz w:val="28"/>
          <w:szCs w:val="28"/>
          <w:highlight w:val="none"/>
          <w:shd w:val="clear" w:color="auto" w:fill="auto"/>
        </w:rPr>
      </w:pPr>
      <w:r>
        <w:rPr>
          <w:rFonts w:hint="eastAsia" w:ascii="宋体" w:hAnsi="宋体"/>
          <w:bCs/>
          <w:color w:val="auto"/>
          <w:sz w:val="28"/>
          <w:szCs w:val="28"/>
          <w:highlight w:val="none"/>
          <w:shd w:val="clear" w:color="auto" w:fill="auto"/>
        </w:rPr>
        <w:t>开户行：</w:t>
      </w:r>
      <w:r>
        <w:rPr>
          <w:rFonts w:hint="eastAsia" w:ascii="宋体" w:hAnsi="宋体"/>
          <w:bCs/>
          <w:color w:val="auto"/>
          <w:sz w:val="28"/>
          <w:szCs w:val="28"/>
          <w:highlight w:val="none"/>
          <w:shd w:val="clear" w:color="auto" w:fill="auto"/>
          <w:lang w:val="ms-MY"/>
        </w:rPr>
        <w:t>浙江民泰商业银行股份有限公司椒江市府大道支行</w:t>
      </w:r>
    </w:p>
    <w:p>
      <w:pPr>
        <w:spacing w:line="240" w:lineRule="auto"/>
        <w:ind w:firstLine="560" w:firstLineChars="0"/>
        <w:rPr>
          <w:rFonts w:ascii="宋体" w:hAnsi="宋体"/>
          <w:color w:val="auto"/>
          <w:sz w:val="28"/>
          <w:szCs w:val="28"/>
          <w:highlight w:val="none"/>
          <w:shd w:val="clear" w:color="auto" w:fill="auto"/>
        </w:rPr>
      </w:pPr>
      <w:r>
        <w:rPr>
          <w:rFonts w:hint="eastAsia" w:ascii="宋体" w:hAnsi="宋体"/>
          <w:bCs/>
          <w:color w:val="auto"/>
          <w:sz w:val="28"/>
          <w:szCs w:val="28"/>
          <w:highlight w:val="none"/>
          <w:shd w:val="clear" w:color="auto" w:fill="auto"/>
        </w:rPr>
        <w:t>帐号：583016260800028</w:t>
      </w:r>
    </w:p>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股权交割事项</w:t>
      </w:r>
    </w:p>
    <w:p>
      <w:pPr>
        <w:pStyle w:val="36"/>
        <w:numPr>
          <w:ilvl w:val="0"/>
          <w:numId w:val="8"/>
        </w:numPr>
        <w:spacing w:line="360" w:lineRule="auto"/>
        <w:ind w:left="0" w:firstLine="567"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在乙方向产交所缴纳竞买保证金</w:t>
      </w:r>
      <w:r>
        <w:rPr>
          <w:rFonts w:hint="eastAsia" w:ascii="宋体" w:hAnsi="宋体"/>
          <w:color w:val="auto"/>
          <w:sz w:val="28"/>
          <w:szCs w:val="28"/>
          <w:highlight w:val="none"/>
          <w:shd w:val="clear" w:color="auto" w:fill="auto"/>
          <w:lang w:val="en-US" w:eastAsia="zh-CN"/>
        </w:rPr>
        <w:t>后</w:t>
      </w:r>
      <w:r>
        <w:rPr>
          <w:rFonts w:hint="eastAsia" w:ascii="宋体" w:hAnsi="宋体"/>
          <w:color w:val="auto"/>
          <w:sz w:val="28"/>
          <w:szCs w:val="28"/>
          <w:highlight w:val="none"/>
          <w:shd w:val="clear" w:color="auto" w:fill="auto"/>
        </w:rPr>
        <w:t>，且产交所出具本次股权</w:t>
      </w:r>
      <w:r>
        <w:rPr>
          <w:rFonts w:ascii="宋体" w:hAnsi="宋体"/>
          <w:color w:val="auto"/>
          <w:sz w:val="28"/>
          <w:szCs w:val="28"/>
          <w:highlight w:val="none"/>
          <w:shd w:val="clear" w:color="auto" w:fill="auto"/>
        </w:rPr>
        <w:t>转让及</w:t>
      </w:r>
      <w:r>
        <w:rPr>
          <w:rFonts w:hint="eastAsia" w:ascii="宋体" w:hAnsi="宋体"/>
          <w:color w:val="auto"/>
          <w:sz w:val="28"/>
          <w:szCs w:val="28"/>
          <w:highlight w:val="none"/>
          <w:shd w:val="clear" w:color="auto" w:fill="auto"/>
        </w:rPr>
        <w:t>本次</w:t>
      </w:r>
      <w:r>
        <w:rPr>
          <w:rFonts w:ascii="宋体" w:hAnsi="宋体"/>
          <w:color w:val="auto"/>
          <w:sz w:val="28"/>
          <w:szCs w:val="28"/>
          <w:highlight w:val="none"/>
          <w:shd w:val="clear" w:color="auto" w:fill="auto"/>
        </w:rPr>
        <w:t>增资的</w:t>
      </w:r>
      <w:r>
        <w:rPr>
          <w:rFonts w:hint="eastAsia" w:ascii="宋体" w:hAnsi="宋体"/>
          <w:color w:val="auto"/>
          <w:sz w:val="28"/>
          <w:szCs w:val="28"/>
          <w:highlight w:val="none"/>
          <w:shd w:val="clear" w:color="auto" w:fill="auto"/>
        </w:rPr>
        <w:t>《产权交易凭证》后五个工作日内同时办理本次股权</w:t>
      </w:r>
      <w:r>
        <w:rPr>
          <w:rFonts w:ascii="宋体" w:hAnsi="宋体"/>
          <w:color w:val="auto"/>
          <w:sz w:val="28"/>
          <w:szCs w:val="28"/>
          <w:highlight w:val="none"/>
          <w:shd w:val="clear" w:color="auto" w:fill="auto"/>
        </w:rPr>
        <w:t>转让及本次增资的</w:t>
      </w:r>
      <w:r>
        <w:rPr>
          <w:rFonts w:hint="eastAsia" w:ascii="宋体" w:hAnsi="宋体"/>
          <w:color w:val="auto"/>
          <w:sz w:val="28"/>
          <w:szCs w:val="28"/>
          <w:highlight w:val="none"/>
          <w:shd w:val="clear" w:color="auto" w:fill="auto"/>
        </w:rPr>
        <w:t>权证变更</w:t>
      </w:r>
      <w:r>
        <w:rPr>
          <w:rFonts w:ascii="宋体" w:hAnsi="宋体"/>
          <w:color w:val="auto"/>
          <w:sz w:val="28"/>
          <w:szCs w:val="28"/>
          <w:highlight w:val="none"/>
          <w:shd w:val="clear" w:color="auto" w:fill="auto"/>
        </w:rPr>
        <w:t>手续，</w:t>
      </w:r>
      <w:r>
        <w:rPr>
          <w:rFonts w:hint="eastAsia" w:ascii="宋体" w:hAnsi="宋体"/>
          <w:color w:val="auto"/>
          <w:sz w:val="28"/>
          <w:szCs w:val="28"/>
          <w:highlight w:val="none"/>
          <w:shd w:val="clear" w:color="auto" w:fill="auto"/>
        </w:rPr>
        <w:t>双方</w:t>
      </w:r>
      <w:r>
        <w:rPr>
          <w:rFonts w:ascii="宋体" w:hAnsi="宋体"/>
          <w:color w:val="auto"/>
          <w:sz w:val="28"/>
          <w:szCs w:val="28"/>
          <w:highlight w:val="none"/>
          <w:shd w:val="clear" w:color="auto" w:fill="auto"/>
        </w:rPr>
        <w:t>并在获发</w:t>
      </w:r>
      <w:r>
        <w:rPr>
          <w:rFonts w:hint="eastAsia" w:ascii="宋体" w:hAnsi="宋体"/>
          <w:color w:val="auto"/>
          <w:sz w:val="28"/>
          <w:szCs w:val="28"/>
          <w:highlight w:val="none"/>
          <w:shd w:val="clear" w:color="auto" w:fill="auto"/>
        </w:rPr>
        <w:t>反映本次股权</w:t>
      </w:r>
      <w:r>
        <w:rPr>
          <w:rFonts w:ascii="宋体" w:hAnsi="宋体"/>
          <w:color w:val="auto"/>
          <w:sz w:val="28"/>
          <w:szCs w:val="28"/>
          <w:highlight w:val="none"/>
          <w:shd w:val="clear" w:color="auto" w:fill="auto"/>
        </w:rPr>
        <w:t>转让及本次增资的</w:t>
      </w:r>
      <w:r>
        <w:rPr>
          <w:rFonts w:hint="eastAsia" w:ascii="宋体" w:hAnsi="宋体"/>
          <w:color w:val="auto"/>
          <w:sz w:val="28"/>
          <w:szCs w:val="28"/>
          <w:highlight w:val="none"/>
          <w:shd w:val="clear" w:color="auto" w:fill="auto"/>
        </w:rPr>
        <w:t>新</w:t>
      </w:r>
      <w:r>
        <w:rPr>
          <w:rFonts w:ascii="宋体" w:hAnsi="宋体"/>
          <w:color w:val="auto"/>
          <w:sz w:val="28"/>
          <w:szCs w:val="28"/>
          <w:highlight w:val="none"/>
          <w:shd w:val="clear" w:color="auto" w:fill="auto"/>
        </w:rPr>
        <w:t>营业执照之日</w:t>
      </w:r>
      <w:r>
        <w:rPr>
          <w:rFonts w:hint="eastAsia" w:ascii="宋体" w:hAnsi="宋体"/>
          <w:color w:val="auto"/>
          <w:sz w:val="28"/>
          <w:szCs w:val="28"/>
          <w:highlight w:val="none"/>
          <w:shd w:val="clear" w:color="auto" w:fill="auto"/>
        </w:rPr>
        <w:t>（</w:t>
      </w:r>
      <w:r>
        <w:rPr>
          <w:rFonts w:ascii="宋体" w:hAnsi="宋体"/>
          <w:color w:val="auto"/>
          <w:sz w:val="28"/>
          <w:szCs w:val="28"/>
          <w:highlight w:val="none"/>
          <w:shd w:val="clear" w:color="auto" w:fill="auto"/>
        </w:rPr>
        <w:t>“交割日”）</w:t>
      </w:r>
      <w:r>
        <w:rPr>
          <w:rFonts w:hint="eastAsia" w:ascii="宋体" w:hAnsi="宋体"/>
          <w:color w:val="auto"/>
          <w:sz w:val="28"/>
          <w:szCs w:val="28"/>
          <w:highlight w:val="none"/>
          <w:shd w:val="clear" w:color="auto" w:fill="auto"/>
        </w:rPr>
        <w:t>后十</w:t>
      </w:r>
      <w:r>
        <w:rPr>
          <w:rFonts w:ascii="宋体" w:hAnsi="宋体"/>
          <w:color w:val="auto"/>
          <w:sz w:val="28"/>
          <w:szCs w:val="28"/>
          <w:highlight w:val="none"/>
          <w:shd w:val="clear" w:color="auto" w:fill="auto"/>
        </w:rPr>
        <w:t>个工作日内</w:t>
      </w:r>
      <w:r>
        <w:rPr>
          <w:rFonts w:hint="eastAsia" w:ascii="宋体" w:hAnsi="宋体"/>
          <w:color w:val="auto"/>
          <w:sz w:val="28"/>
          <w:szCs w:val="28"/>
          <w:highlight w:val="none"/>
          <w:shd w:val="clear" w:color="auto" w:fill="auto"/>
        </w:rPr>
        <w:t>，办理股权交接手续。</w:t>
      </w:r>
    </w:p>
    <w:p>
      <w:pPr>
        <w:spacing w:line="360" w:lineRule="auto"/>
        <w:ind w:firstLine="420"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乙方为境外投资者的，应当符合外商投资产业指导目录和负面清单管理要求，以及外商投资安全审查有关规定。</w:t>
      </w:r>
    </w:p>
    <w:p>
      <w:pPr>
        <w:pStyle w:val="36"/>
        <w:numPr>
          <w:ilvl w:val="0"/>
          <w:numId w:val="8"/>
        </w:numPr>
        <w:spacing w:line="360" w:lineRule="auto"/>
        <w:ind w:left="0" w:firstLine="567"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资产评估基准日（2021年9月30日）到工商变更完成日期间的损益处理方式：标的企业不再进行审计清算，因正常经营产生的损益由</w:t>
      </w:r>
      <w:r>
        <w:rPr>
          <w:rFonts w:hint="eastAsia" w:ascii="宋体" w:hAnsi="宋体"/>
          <w:color w:val="auto"/>
          <w:sz w:val="28"/>
          <w:szCs w:val="28"/>
          <w:highlight w:val="none"/>
          <w:shd w:val="clear" w:color="auto" w:fill="auto"/>
          <w:lang w:val="en-US" w:eastAsia="zh-CN"/>
        </w:rPr>
        <w:t>股权转让后的</w:t>
      </w:r>
      <w:r>
        <w:rPr>
          <w:rFonts w:hint="eastAsia" w:ascii="宋体" w:hAnsi="宋体"/>
          <w:color w:val="auto"/>
          <w:sz w:val="28"/>
          <w:szCs w:val="28"/>
          <w:highlight w:val="none"/>
          <w:shd w:val="clear" w:color="auto" w:fill="auto"/>
        </w:rPr>
        <w:t>所有股东按持股比例享有或承担。</w:t>
      </w:r>
    </w:p>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权证的变更</w:t>
      </w:r>
    </w:p>
    <w:p>
      <w:pPr>
        <w:tabs>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甲乙双方协商和共同配合，由甲方促使</w:t>
      </w:r>
      <w:r>
        <w:rPr>
          <w:rFonts w:ascii="宋体" w:hAnsi="宋体"/>
          <w:color w:val="auto"/>
          <w:sz w:val="28"/>
          <w:szCs w:val="28"/>
          <w:highlight w:val="none"/>
          <w:shd w:val="clear" w:color="auto" w:fill="auto"/>
        </w:rPr>
        <w:t>甦力康</w:t>
      </w:r>
      <w:r>
        <w:rPr>
          <w:rFonts w:hint="eastAsia" w:ascii="宋体" w:hAnsi="宋体"/>
          <w:color w:val="auto"/>
          <w:sz w:val="28"/>
          <w:szCs w:val="28"/>
          <w:highlight w:val="none"/>
          <w:shd w:val="clear" w:color="auto" w:fill="auto"/>
        </w:rPr>
        <w:t>完成本次股权转让及</w:t>
      </w:r>
      <w:r>
        <w:rPr>
          <w:rFonts w:ascii="宋体" w:hAnsi="宋体"/>
          <w:color w:val="auto"/>
          <w:sz w:val="28"/>
          <w:szCs w:val="28"/>
          <w:highlight w:val="none"/>
          <w:shd w:val="clear" w:color="auto" w:fill="auto"/>
        </w:rPr>
        <w:t>本次增资</w:t>
      </w:r>
      <w:r>
        <w:rPr>
          <w:rFonts w:hint="eastAsia" w:ascii="宋体" w:hAnsi="宋体"/>
          <w:color w:val="auto"/>
          <w:sz w:val="28"/>
          <w:szCs w:val="28"/>
          <w:highlight w:val="none"/>
          <w:shd w:val="clear" w:color="auto" w:fill="auto"/>
        </w:rPr>
        <w:t>的权证变更手续。</w:t>
      </w:r>
    </w:p>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股权转让的税收和费用</w:t>
      </w:r>
    </w:p>
    <w:p>
      <w:pPr>
        <w:pStyle w:val="36"/>
        <w:numPr>
          <w:ilvl w:val="0"/>
          <w:numId w:val="9"/>
        </w:numPr>
        <w:spacing w:line="360" w:lineRule="auto"/>
        <w:ind w:left="0" w:firstLine="567"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本次股权转让中涉及的有关税收，按照国家有关法律规定缴纳。</w:t>
      </w:r>
    </w:p>
    <w:p>
      <w:pPr>
        <w:pStyle w:val="36"/>
        <w:numPr>
          <w:ilvl w:val="0"/>
          <w:numId w:val="9"/>
        </w:numPr>
        <w:spacing w:line="360" w:lineRule="auto"/>
        <w:ind w:left="0" w:firstLine="567"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本次股权转让中涉及的交易服务费由甲、乙双方各自承担。</w:t>
      </w:r>
    </w:p>
    <w:p>
      <w:pPr>
        <w:pStyle w:val="36"/>
        <w:numPr>
          <w:ilvl w:val="0"/>
          <w:numId w:val="9"/>
        </w:numPr>
        <w:spacing w:line="360" w:lineRule="auto"/>
        <w:ind w:left="0" w:firstLine="567"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权证变更涉及的有关费用，由甦力康承担。</w:t>
      </w:r>
    </w:p>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甲、乙双方的承诺</w:t>
      </w:r>
    </w:p>
    <w:p>
      <w:pPr>
        <w:pStyle w:val="36"/>
        <w:numPr>
          <w:ilvl w:val="0"/>
          <w:numId w:val="10"/>
        </w:numPr>
        <w:spacing w:line="360" w:lineRule="auto"/>
        <w:ind w:left="1134" w:hanging="567"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甲方的承诺：</w:t>
      </w:r>
    </w:p>
    <w:p>
      <w:pPr>
        <w:tabs>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1）对转让标的拥有合法、有效的处分权，并按国家相关法律、法规取得有效转让批准；</w:t>
      </w:r>
    </w:p>
    <w:p>
      <w:pPr>
        <w:tabs>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2）为签订本合同之前的所提交的各项证明文件及资料均为真实、完整的；</w:t>
      </w:r>
    </w:p>
    <w:p>
      <w:pPr>
        <w:tabs>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3）签订本合同所需的包括但不限于授权、审批、公司内部决策等在内的一切批准手续均已合法取得，本合同成立的前提条件均已满足；</w:t>
      </w:r>
    </w:p>
    <w:p>
      <w:pPr>
        <w:pStyle w:val="36"/>
        <w:numPr>
          <w:ilvl w:val="0"/>
          <w:numId w:val="10"/>
        </w:numPr>
        <w:spacing w:line="360" w:lineRule="auto"/>
        <w:ind w:left="1134" w:hanging="567"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乙方的承诺：</w:t>
      </w:r>
    </w:p>
    <w:p>
      <w:pPr>
        <w:tabs>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1）拥有完全的权利和行为能力进行股权受让，无欺诈行为；</w:t>
      </w:r>
    </w:p>
    <w:p>
      <w:pPr>
        <w:tabs>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2）签订本合同所需的各项授权、审批以及内部决策等在内的一切批准手续均已合法取得；</w:t>
      </w:r>
    </w:p>
    <w:p>
      <w:pPr>
        <w:tabs>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3）受让转让标的没有违反对受让方具有约束力的合同、协议等所有法律文书；</w:t>
      </w:r>
    </w:p>
    <w:p>
      <w:pPr>
        <w:tabs>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4）乙方保证按本合同之约定支付股权转让价款。</w:t>
      </w:r>
    </w:p>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违约责任</w:t>
      </w:r>
    </w:p>
    <w:p>
      <w:pPr>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本合同各方当事人应当按照法律规定及本合同的约定严格履行各自的义务。当事人一方不履行合同义务或者履行合同义务不符合约定的，应当承担继续履行、采取补救措施或者赔偿损失等违约责任。</w:t>
      </w:r>
    </w:p>
    <w:p>
      <w:pPr>
        <w:pStyle w:val="36"/>
        <w:numPr>
          <w:ilvl w:val="0"/>
          <w:numId w:val="11"/>
        </w:numPr>
        <w:spacing w:line="360" w:lineRule="auto"/>
        <w:ind w:left="0" w:firstLine="567"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甲方应按合同约定履行交付转让标的义务，涉及权属变更登记的应当及时协助并促使甦力康办理。如因甲方原因导致逾期交付或迟延办理权属变更登记的，则应自逾期之日起至实际交付或办理之日止按乙方已</w:t>
      </w:r>
      <w:r>
        <w:rPr>
          <w:rFonts w:ascii="宋体" w:hAnsi="宋体"/>
          <w:color w:val="auto"/>
          <w:sz w:val="28"/>
          <w:szCs w:val="28"/>
          <w:highlight w:val="none"/>
          <w:shd w:val="clear" w:color="auto" w:fill="auto"/>
        </w:rPr>
        <w:t>支付的股权转让</w:t>
      </w:r>
      <w:r>
        <w:rPr>
          <w:rFonts w:hint="eastAsia" w:ascii="宋体" w:hAnsi="宋体"/>
          <w:color w:val="auto"/>
          <w:sz w:val="28"/>
          <w:szCs w:val="28"/>
          <w:highlight w:val="none"/>
          <w:shd w:val="clear" w:color="auto" w:fill="auto"/>
        </w:rPr>
        <w:t>价款的日</w:t>
      </w:r>
      <w:r>
        <w:rPr>
          <w:rFonts w:hint="eastAsia" w:ascii="宋体" w:hAnsi="宋体"/>
          <w:color w:val="auto"/>
          <w:sz w:val="28"/>
          <w:szCs w:val="28"/>
          <w:highlight w:val="none"/>
          <w:u w:val="single"/>
          <w:shd w:val="clear" w:color="auto" w:fill="auto"/>
        </w:rPr>
        <w:t>0.0</w:t>
      </w:r>
      <w:r>
        <w:rPr>
          <w:rFonts w:ascii="宋体" w:hAnsi="宋体"/>
          <w:color w:val="auto"/>
          <w:sz w:val="28"/>
          <w:szCs w:val="28"/>
          <w:highlight w:val="none"/>
          <w:u w:val="single"/>
          <w:shd w:val="clear" w:color="auto" w:fill="auto"/>
        </w:rPr>
        <w:t>3</w:t>
      </w:r>
      <w:r>
        <w:rPr>
          <w:rFonts w:hint="eastAsia" w:ascii="宋体" w:hAnsi="宋体"/>
          <w:color w:val="auto"/>
          <w:sz w:val="28"/>
          <w:szCs w:val="28"/>
          <w:highlight w:val="none"/>
          <w:u w:val="single"/>
          <w:shd w:val="clear" w:color="auto" w:fill="auto"/>
        </w:rPr>
        <w:t>%</w:t>
      </w:r>
      <w:r>
        <w:rPr>
          <w:rFonts w:hint="eastAsia" w:ascii="宋体" w:hAnsi="宋体"/>
          <w:color w:val="auto"/>
          <w:sz w:val="28"/>
          <w:szCs w:val="28"/>
          <w:highlight w:val="none"/>
          <w:shd w:val="clear" w:color="auto" w:fill="auto"/>
        </w:rPr>
        <w:t>向乙方支付违约金。</w:t>
      </w:r>
    </w:p>
    <w:p>
      <w:pPr>
        <w:pStyle w:val="36"/>
        <w:numPr>
          <w:ilvl w:val="0"/>
          <w:numId w:val="11"/>
        </w:numPr>
        <w:spacing w:line="360" w:lineRule="auto"/>
        <w:ind w:left="0" w:firstLine="567"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出现下列情形，视为根本性违约，守约方可解除合同并要求违约方承担股权转让价款</w:t>
      </w:r>
      <w:r>
        <w:rPr>
          <w:rFonts w:ascii="宋体" w:hAnsi="宋体"/>
          <w:color w:val="auto"/>
          <w:sz w:val="28"/>
          <w:szCs w:val="28"/>
          <w:highlight w:val="none"/>
          <w:shd w:val="clear" w:color="auto" w:fill="auto"/>
        </w:rPr>
        <w:t>10</w:t>
      </w:r>
      <w:r>
        <w:rPr>
          <w:rFonts w:hint="eastAsia" w:ascii="宋体" w:hAnsi="宋体"/>
          <w:color w:val="auto"/>
          <w:sz w:val="28"/>
          <w:szCs w:val="28"/>
          <w:highlight w:val="none"/>
          <w:shd w:val="clear" w:color="auto" w:fill="auto"/>
        </w:rPr>
        <w:t>%的违约金，对所造成的实际损失违约方应当另行承担赔偿责任：</w:t>
      </w:r>
    </w:p>
    <w:p>
      <w:pPr>
        <w:tabs>
          <w:tab w:val="left" w:pos="3780"/>
        </w:tabs>
        <w:spacing w:line="360" w:lineRule="auto"/>
        <w:ind w:firstLine="560"/>
        <w:rPr>
          <w:rFonts w:ascii="宋体" w:hAnsi="宋体"/>
          <w:i/>
          <w:color w:val="auto"/>
          <w:sz w:val="28"/>
          <w:szCs w:val="28"/>
          <w:highlight w:val="none"/>
          <w:shd w:val="clear" w:color="auto" w:fill="auto"/>
        </w:rPr>
      </w:pPr>
      <w:r>
        <w:rPr>
          <w:rFonts w:hint="eastAsia" w:ascii="宋体" w:hAnsi="宋体"/>
          <w:color w:val="auto"/>
          <w:sz w:val="28"/>
          <w:szCs w:val="28"/>
          <w:highlight w:val="none"/>
          <w:shd w:val="clear" w:color="auto" w:fill="auto"/>
        </w:rPr>
        <w:t>任何一方当事人违反法律或本合同约定导致本合同原先商业目的不能实现的。</w:t>
      </w:r>
    </w:p>
    <w:p>
      <w:pPr>
        <w:pStyle w:val="36"/>
        <w:numPr>
          <w:ilvl w:val="0"/>
          <w:numId w:val="11"/>
        </w:numPr>
        <w:spacing w:line="360" w:lineRule="auto"/>
        <w:ind w:left="0" w:firstLine="567"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由于一方的过错造成本合同被认定为无效时，由过错的一方承担违约责任，双方均有过错，则由双方按责任大小承担各自相应的责任。</w:t>
      </w:r>
    </w:p>
    <w:p>
      <w:pPr>
        <w:pStyle w:val="36"/>
        <w:numPr>
          <w:ilvl w:val="0"/>
          <w:numId w:val="11"/>
        </w:numPr>
        <w:spacing w:line="360" w:lineRule="auto"/>
        <w:ind w:left="0" w:firstLine="567"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如本合同无效或对本合同的违约并非一方原因，经双方协商一致，双方责任可相互抵消，互不负违约责任。</w:t>
      </w:r>
    </w:p>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争议的解决方式</w:t>
      </w:r>
    </w:p>
    <w:p>
      <w:pPr>
        <w:tabs>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甲乙双方同意，因本合同而产生的任何争议应首先通过友好协商自行解决，协商未果的，本合同任何一方均可将该争议向甲方所在地有管辖权的人民法院提起诉讼而解决。</w:t>
      </w:r>
    </w:p>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法律适用</w:t>
      </w:r>
    </w:p>
    <w:p>
      <w:pPr>
        <w:tabs>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本合同的适用和解释均为中国法律。</w:t>
      </w:r>
    </w:p>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合同的生效</w:t>
      </w:r>
    </w:p>
    <w:p>
      <w:pPr>
        <w:tabs>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本合同自甲、乙双方的授权代表签字或加盖公章后生效（国家法律、法规对本合同生效另有规定的，从其规定）。本合同生效后，双方对本合同内容的变更或补充应采用书面形式订立，并作为本合同的附件。附件与本合同具有同等的法律效力。</w:t>
      </w:r>
    </w:p>
    <w:p>
      <w:pPr>
        <w:pStyle w:val="36"/>
        <w:numPr>
          <w:ilvl w:val="1"/>
          <w:numId w:val="7"/>
        </w:numPr>
        <w:spacing w:line="360" w:lineRule="auto"/>
        <w:ind w:left="1276" w:hanging="709" w:firstLineChars="0"/>
        <w:rPr>
          <w:rFonts w:ascii="宋体" w:hAnsi="宋体"/>
          <w:b/>
          <w:color w:val="auto"/>
          <w:sz w:val="28"/>
          <w:szCs w:val="28"/>
          <w:highlight w:val="none"/>
          <w:shd w:val="clear" w:color="auto" w:fill="auto"/>
        </w:rPr>
      </w:pPr>
      <w:r>
        <w:rPr>
          <w:rFonts w:hint="eastAsia" w:ascii="宋体" w:hAnsi="宋体"/>
          <w:b/>
          <w:color w:val="auto"/>
          <w:sz w:val="28"/>
          <w:szCs w:val="28"/>
          <w:highlight w:val="none"/>
          <w:shd w:val="clear" w:color="auto" w:fill="auto"/>
        </w:rPr>
        <w:t>其他约定事项</w:t>
      </w:r>
    </w:p>
    <w:p>
      <w:pPr>
        <w:tabs>
          <w:tab w:val="left" w:pos="3780"/>
        </w:tabs>
        <w:spacing w:line="360" w:lineRule="auto"/>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本合同一式</w:t>
      </w:r>
      <w:r>
        <w:rPr>
          <w:rFonts w:hint="eastAsia" w:ascii="宋体" w:hAnsi="宋体"/>
          <w:color w:val="auto"/>
          <w:sz w:val="28"/>
          <w:szCs w:val="28"/>
          <w:highlight w:val="none"/>
          <w:u w:val="single"/>
          <w:shd w:val="clear" w:color="auto" w:fill="auto"/>
        </w:rPr>
        <w:t xml:space="preserve"> 陆 </w:t>
      </w:r>
      <w:r>
        <w:rPr>
          <w:rFonts w:hint="eastAsia" w:ascii="宋体" w:hAnsi="宋体"/>
          <w:color w:val="auto"/>
          <w:sz w:val="28"/>
          <w:szCs w:val="28"/>
          <w:highlight w:val="none"/>
          <w:shd w:val="clear" w:color="auto" w:fill="auto"/>
        </w:rPr>
        <w:t>份，甲、乙双方各执</w:t>
      </w:r>
      <w:r>
        <w:rPr>
          <w:rFonts w:hint="eastAsia" w:ascii="宋体" w:hAnsi="宋体"/>
          <w:color w:val="auto"/>
          <w:sz w:val="28"/>
          <w:szCs w:val="28"/>
          <w:highlight w:val="none"/>
          <w:u w:val="single"/>
          <w:shd w:val="clear" w:color="auto" w:fill="auto"/>
        </w:rPr>
        <w:t xml:space="preserve"> 壹 </w:t>
      </w:r>
      <w:r>
        <w:rPr>
          <w:rFonts w:hint="eastAsia" w:ascii="宋体" w:hAnsi="宋体"/>
          <w:color w:val="auto"/>
          <w:sz w:val="28"/>
          <w:szCs w:val="28"/>
          <w:highlight w:val="none"/>
          <w:shd w:val="clear" w:color="auto" w:fill="auto"/>
        </w:rPr>
        <w:t>份，标的企业执</w:t>
      </w:r>
      <w:r>
        <w:rPr>
          <w:rFonts w:hint="eastAsia" w:ascii="宋体" w:hAnsi="宋体"/>
          <w:color w:val="auto"/>
          <w:sz w:val="28"/>
          <w:szCs w:val="28"/>
          <w:highlight w:val="none"/>
          <w:u w:val="single"/>
          <w:shd w:val="clear" w:color="auto" w:fill="auto"/>
        </w:rPr>
        <w:t xml:space="preserve"> 壹 </w:t>
      </w:r>
      <w:r>
        <w:rPr>
          <w:rFonts w:hint="eastAsia" w:ascii="宋体" w:hAnsi="宋体"/>
          <w:color w:val="auto"/>
          <w:sz w:val="28"/>
          <w:szCs w:val="28"/>
          <w:highlight w:val="none"/>
          <w:shd w:val="clear" w:color="auto" w:fill="auto"/>
        </w:rPr>
        <w:t>份，台州市产权交易所有限公司执</w:t>
      </w:r>
      <w:r>
        <w:rPr>
          <w:rFonts w:hint="eastAsia" w:ascii="宋体" w:hAnsi="宋体"/>
          <w:color w:val="auto"/>
          <w:sz w:val="28"/>
          <w:szCs w:val="28"/>
          <w:highlight w:val="none"/>
          <w:u w:val="single"/>
          <w:shd w:val="clear" w:color="auto" w:fill="auto"/>
        </w:rPr>
        <w:t xml:space="preserve"> 壹 </w:t>
      </w:r>
      <w:r>
        <w:rPr>
          <w:rFonts w:hint="eastAsia" w:ascii="宋体" w:hAnsi="宋体"/>
          <w:color w:val="auto"/>
          <w:sz w:val="28"/>
          <w:szCs w:val="28"/>
          <w:highlight w:val="none"/>
          <w:shd w:val="clear" w:color="auto" w:fill="auto"/>
        </w:rPr>
        <w:t>份，其余</w:t>
      </w:r>
      <w:r>
        <w:rPr>
          <w:rFonts w:hint="eastAsia" w:ascii="宋体" w:hAnsi="宋体"/>
          <w:color w:val="auto"/>
          <w:sz w:val="28"/>
          <w:szCs w:val="28"/>
          <w:highlight w:val="none"/>
          <w:u w:val="single"/>
          <w:shd w:val="clear" w:color="auto" w:fill="auto"/>
        </w:rPr>
        <w:t>贰</w:t>
      </w:r>
      <w:r>
        <w:rPr>
          <w:rFonts w:hint="eastAsia" w:ascii="宋体" w:hAnsi="宋体"/>
          <w:color w:val="auto"/>
          <w:sz w:val="28"/>
          <w:szCs w:val="28"/>
          <w:highlight w:val="none"/>
          <w:shd w:val="clear" w:color="auto" w:fill="auto"/>
        </w:rPr>
        <w:t>份报相关部门。</w:t>
      </w:r>
    </w:p>
    <w:p>
      <w:pPr>
        <w:tabs>
          <w:tab w:val="left" w:pos="3780"/>
        </w:tabs>
        <w:spacing w:line="420" w:lineRule="exact"/>
        <w:ind w:firstLine="560"/>
        <w:jc w:val="left"/>
        <w:rPr>
          <w:rFonts w:ascii="宋体" w:hAnsi="宋体"/>
          <w:color w:val="auto"/>
          <w:sz w:val="28"/>
          <w:szCs w:val="28"/>
          <w:highlight w:val="none"/>
          <w:shd w:val="clear" w:color="auto" w:fill="auto"/>
        </w:rPr>
      </w:pPr>
    </w:p>
    <w:p>
      <w:pPr>
        <w:widowControl/>
        <w:spacing w:line="420" w:lineRule="exact"/>
        <w:ind w:firstLine="0" w:firstLineChars="0"/>
        <w:jc w:val="left"/>
        <w:rPr>
          <w:rFonts w:ascii="宋体" w:hAnsi="宋体"/>
          <w:color w:val="auto"/>
          <w:sz w:val="28"/>
          <w:szCs w:val="28"/>
          <w:highlight w:val="none"/>
          <w:shd w:val="clear" w:color="auto" w:fill="auto"/>
        </w:rPr>
      </w:pPr>
      <w:r>
        <w:rPr>
          <w:rFonts w:ascii="宋体" w:hAnsi="宋体"/>
          <w:color w:val="auto"/>
          <w:sz w:val="28"/>
          <w:szCs w:val="28"/>
          <w:highlight w:val="none"/>
          <w:shd w:val="clear" w:color="auto" w:fill="auto"/>
        </w:rPr>
        <w:br w:type="page"/>
      </w:r>
    </w:p>
    <w:p>
      <w:pPr>
        <w:spacing w:line="360" w:lineRule="exact"/>
        <w:ind w:firstLine="560"/>
        <w:rPr>
          <w:rFonts w:ascii="宋体" w:hAnsi="宋体"/>
          <w:color w:val="auto"/>
          <w:sz w:val="28"/>
          <w:szCs w:val="28"/>
          <w:highlight w:val="none"/>
          <w:shd w:val="clear" w:color="auto" w:fill="auto"/>
        </w:rPr>
      </w:pPr>
    </w:p>
    <w:p>
      <w:pPr>
        <w:spacing w:line="360" w:lineRule="exact"/>
        <w:ind w:firstLine="56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(此页无正文)</w:t>
      </w:r>
    </w:p>
    <w:p>
      <w:pPr>
        <w:spacing w:line="360" w:lineRule="exact"/>
        <w:ind w:firstLine="560"/>
        <w:rPr>
          <w:rFonts w:ascii="宋体" w:hAnsi="宋体"/>
          <w:color w:val="auto"/>
          <w:sz w:val="28"/>
          <w:szCs w:val="28"/>
          <w:highlight w:val="none"/>
          <w:shd w:val="clear" w:color="auto" w:fill="auto"/>
        </w:rPr>
      </w:pPr>
    </w:p>
    <w:p>
      <w:pPr>
        <w:spacing w:line="360" w:lineRule="exact"/>
        <w:ind w:firstLine="560"/>
        <w:rPr>
          <w:rFonts w:ascii="宋体" w:hAnsi="宋体"/>
          <w:color w:val="auto"/>
          <w:sz w:val="28"/>
          <w:szCs w:val="28"/>
          <w:highlight w:val="none"/>
          <w:shd w:val="clear" w:color="auto" w:fill="auto"/>
        </w:rPr>
      </w:pPr>
    </w:p>
    <w:tbl>
      <w:tblPr>
        <w:tblStyle w:val="17"/>
        <w:tblW w:w="9060" w:type="dxa"/>
        <w:tblInd w:w="0" w:type="dxa"/>
        <w:tblLayout w:type="fixed"/>
        <w:tblCellMar>
          <w:top w:w="0" w:type="dxa"/>
          <w:left w:w="108" w:type="dxa"/>
          <w:bottom w:w="0" w:type="dxa"/>
          <w:right w:w="108" w:type="dxa"/>
        </w:tblCellMar>
      </w:tblPr>
      <w:tblGrid>
        <w:gridCol w:w="4530"/>
        <w:gridCol w:w="4530"/>
      </w:tblGrid>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出让方（甲方）：</w:t>
            </w:r>
          </w:p>
          <w:p>
            <w:pPr>
              <w:spacing w:line="360" w:lineRule="exact"/>
              <w:ind w:firstLine="840" w:firstLineChars="30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（盖章）</w:t>
            </w:r>
          </w:p>
          <w:p>
            <w:pPr>
              <w:spacing w:line="360" w:lineRule="exact"/>
              <w:ind w:firstLine="840" w:firstLineChars="300"/>
              <w:rPr>
                <w:rFonts w:ascii="宋体" w:hAnsi="宋体"/>
                <w:color w:val="auto"/>
                <w:sz w:val="28"/>
                <w:szCs w:val="28"/>
                <w:highlight w:val="none"/>
                <w:shd w:val="clear" w:color="auto" w:fill="auto"/>
              </w:rPr>
            </w:pPr>
          </w:p>
        </w:tc>
        <w:tc>
          <w:tcPr>
            <w:tcW w:w="4530" w:type="dxa"/>
            <w:vAlign w:val="center"/>
          </w:tcPr>
          <w:p>
            <w:pPr>
              <w:spacing w:line="360" w:lineRule="exact"/>
              <w:ind w:firstLine="0"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受让方（乙方）：</w:t>
            </w:r>
          </w:p>
          <w:p>
            <w:pPr>
              <w:spacing w:line="360" w:lineRule="exact"/>
              <w:ind w:firstLine="840" w:firstLineChars="30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（盖章）</w:t>
            </w:r>
          </w:p>
          <w:p>
            <w:pPr>
              <w:spacing w:line="360" w:lineRule="exact"/>
              <w:ind w:firstLine="840" w:firstLineChars="300"/>
              <w:rPr>
                <w:rFonts w:ascii="宋体" w:hAnsi="宋体"/>
                <w:color w:val="auto"/>
                <w:sz w:val="28"/>
                <w:szCs w:val="28"/>
                <w:highlight w:val="none"/>
                <w:shd w:val="clear" w:color="auto" w:fill="auto"/>
              </w:rPr>
            </w:pPr>
          </w:p>
        </w:tc>
      </w:tr>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法定代表人（签字）：</w:t>
            </w:r>
          </w:p>
          <w:p>
            <w:pPr>
              <w:spacing w:line="360" w:lineRule="exact"/>
              <w:ind w:firstLine="0"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或授权代表：</w:t>
            </w:r>
          </w:p>
          <w:p>
            <w:pPr>
              <w:spacing w:line="360" w:lineRule="exact"/>
              <w:ind w:firstLine="0" w:firstLineChars="0"/>
              <w:rPr>
                <w:rFonts w:ascii="宋体" w:hAnsi="宋体"/>
                <w:color w:val="auto"/>
                <w:sz w:val="28"/>
                <w:szCs w:val="28"/>
                <w:highlight w:val="none"/>
                <w:shd w:val="clear" w:color="auto" w:fill="auto"/>
              </w:rPr>
            </w:pPr>
          </w:p>
        </w:tc>
        <w:tc>
          <w:tcPr>
            <w:tcW w:w="4530" w:type="dxa"/>
            <w:vAlign w:val="center"/>
          </w:tcPr>
          <w:p>
            <w:pPr>
              <w:spacing w:line="360" w:lineRule="exact"/>
              <w:ind w:firstLine="0"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法定代表人/执行事务合伙人（签字）：</w:t>
            </w:r>
          </w:p>
          <w:p>
            <w:pPr>
              <w:spacing w:line="360" w:lineRule="exact"/>
              <w:ind w:firstLine="0"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或授权代表：</w:t>
            </w:r>
          </w:p>
          <w:p>
            <w:pPr>
              <w:spacing w:line="360" w:lineRule="exact"/>
              <w:ind w:firstLine="0" w:firstLineChars="0"/>
              <w:rPr>
                <w:rFonts w:ascii="宋体" w:hAnsi="宋体"/>
                <w:color w:val="auto"/>
                <w:sz w:val="28"/>
                <w:szCs w:val="28"/>
                <w:highlight w:val="none"/>
                <w:shd w:val="clear" w:color="auto" w:fill="auto"/>
              </w:rPr>
            </w:pPr>
          </w:p>
        </w:tc>
      </w:tr>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签订时间：    年    月   日</w:t>
            </w:r>
          </w:p>
        </w:tc>
        <w:tc>
          <w:tcPr>
            <w:tcW w:w="4530" w:type="dxa"/>
            <w:vAlign w:val="center"/>
          </w:tcPr>
          <w:p>
            <w:pPr>
              <w:spacing w:line="360" w:lineRule="exact"/>
              <w:ind w:firstLine="0"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签订时间：    年  月   日</w:t>
            </w:r>
          </w:p>
        </w:tc>
      </w:tr>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签订地点：</w:t>
            </w:r>
          </w:p>
        </w:tc>
        <w:tc>
          <w:tcPr>
            <w:tcW w:w="4530" w:type="dxa"/>
            <w:vAlign w:val="center"/>
          </w:tcPr>
          <w:p>
            <w:pPr>
              <w:spacing w:line="360" w:lineRule="exact"/>
              <w:ind w:firstLine="0" w:firstLineChars="0"/>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rPr>
              <w:t>签订地点：</w:t>
            </w:r>
          </w:p>
        </w:tc>
      </w:tr>
      <w:tr>
        <w:tblPrEx>
          <w:tblCellMar>
            <w:top w:w="0" w:type="dxa"/>
            <w:left w:w="108" w:type="dxa"/>
            <w:bottom w:w="0" w:type="dxa"/>
            <w:right w:w="108" w:type="dxa"/>
          </w:tblCellMar>
        </w:tblPrEx>
        <w:trPr>
          <w:trHeight w:val="1569" w:hRule="atLeast"/>
        </w:trPr>
        <w:tc>
          <w:tcPr>
            <w:tcW w:w="4530" w:type="dxa"/>
            <w:vAlign w:val="center"/>
          </w:tcPr>
          <w:p>
            <w:pPr>
              <w:spacing w:line="360" w:lineRule="exact"/>
              <w:ind w:firstLine="0" w:firstLineChars="0"/>
              <w:rPr>
                <w:rFonts w:ascii="宋体" w:hAnsi="宋体"/>
                <w:color w:val="auto"/>
                <w:sz w:val="28"/>
                <w:szCs w:val="28"/>
                <w:highlight w:val="none"/>
                <w:shd w:val="clear" w:color="auto" w:fill="auto"/>
              </w:rPr>
            </w:pPr>
          </w:p>
        </w:tc>
        <w:tc>
          <w:tcPr>
            <w:tcW w:w="4530" w:type="dxa"/>
            <w:vAlign w:val="center"/>
          </w:tcPr>
          <w:p>
            <w:pPr>
              <w:spacing w:line="360" w:lineRule="exact"/>
              <w:ind w:firstLine="0" w:firstLineChars="0"/>
              <w:rPr>
                <w:rFonts w:ascii="宋体" w:hAnsi="宋体"/>
                <w:color w:val="auto"/>
                <w:sz w:val="28"/>
                <w:szCs w:val="28"/>
                <w:highlight w:val="none"/>
                <w:shd w:val="clear" w:color="auto" w:fill="auto"/>
              </w:rPr>
            </w:pPr>
          </w:p>
        </w:tc>
      </w:tr>
    </w:tbl>
    <w:p>
      <w:pPr>
        <w:spacing w:line="360" w:lineRule="exact"/>
        <w:ind w:firstLine="560"/>
        <w:rPr>
          <w:rFonts w:ascii="宋体" w:hAnsi="宋体"/>
          <w:color w:val="auto"/>
          <w:sz w:val="28"/>
          <w:szCs w:val="28"/>
          <w:highlight w:val="none"/>
          <w:shd w:val="clear" w:color="auto" w:fill="auto"/>
        </w:rPr>
      </w:pPr>
    </w:p>
    <w:p>
      <w:pPr>
        <w:spacing w:line="348" w:lineRule="auto"/>
        <w:ind w:firstLine="420"/>
        <w:rPr>
          <w:color w:val="auto"/>
          <w:highlight w:val="none"/>
          <w:shd w:val="clear" w:color="auto" w:fill="auto"/>
        </w:rPr>
      </w:pPr>
    </w:p>
    <w:p>
      <w:pPr>
        <w:tabs>
          <w:tab w:val="left" w:pos="3780"/>
        </w:tabs>
        <w:spacing w:line="420" w:lineRule="exact"/>
        <w:ind w:firstLine="560"/>
        <w:rPr>
          <w:rFonts w:ascii="宋体" w:hAnsi="宋体"/>
          <w:color w:val="auto"/>
          <w:sz w:val="28"/>
          <w:szCs w:val="28"/>
          <w:highlight w:val="none"/>
          <w:shd w:val="clear" w:color="auto" w:fill="auto"/>
        </w:rPr>
      </w:pPr>
      <w:r>
        <w:rPr>
          <w:rFonts w:ascii="宋体" w:hAnsi="宋体"/>
          <w:color w:val="auto"/>
          <w:sz w:val="28"/>
          <w:szCs w:val="28"/>
          <w:highlight w:val="none"/>
          <w:shd w:val="clear" w:color="auto" w:fill="auto"/>
        </w:rPr>
        <w:t xml:space="preserve"> </w:t>
      </w:r>
    </w:p>
    <w:p>
      <w:pPr>
        <w:tabs>
          <w:tab w:val="left" w:pos="3780"/>
        </w:tabs>
        <w:spacing w:line="420" w:lineRule="exact"/>
        <w:ind w:firstLine="560"/>
        <w:jc w:val="left"/>
        <w:rPr>
          <w:rFonts w:ascii="宋体" w:hAnsi="宋体"/>
          <w:color w:val="auto"/>
          <w:sz w:val="28"/>
          <w:szCs w:val="28"/>
          <w:highlight w:val="none"/>
          <w:shd w:val="clear" w:color="auto" w:fill="auto"/>
        </w:rPr>
      </w:pPr>
    </w:p>
    <w:p>
      <w:pPr>
        <w:tabs>
          <w:tab w:val="left" w:pos="3780"/>
        </w:tabs>
        <w:spacing w:line="420" w:lineRule="exact"/>
        <w:ind w:firstLine="560"/>
        <w:jc w:val="left"/>
        <w:rPr>
          <w:rFonts w:ascii="宋体" w:hAnsi="宋体"/>
          <w:color w:val="auto"/>
          <w:sz w:val="28"/>
          <w:szCs w:val="28"/>
          <w:highlight w:val="none"/>
          <w:shd w:val="clear" w:color="auto" w:fill="auto"/>
        </w:rPr>
      </w:pPr>
    </w:p>
    <w:p>
      <w:pPr>
        <w:pStyle w:val="4"/>
        <w:spacing w:before="100" w:beforeAutospacing="1" w:after="100" w:afterAutospacing="1" w:line="360" w:lineRule="auto"/>
        <w:jc w:val="center"/>
        <w:rPr>
          <w:b w:val="0"/>
          <w:color w:val="auto"/>
          <w:sz w:val="36"/>
          <w:highlight w:val="none"/>
          <w:shd w:val="clear" w:color="auto" w:fill="auto"/>
        </w:rPr>
      </w:pPr>
      <w:bookmarkStart w:id="34" w:name="_Toc14224"/>
      <w:bookmarkStart w:id="35" w:name="_Toc31811"/>
      <w:r>
        <w:rPr>
          <w:color w:val="auto"/>
          <w:sz w:val="36"/>
          <w:highlight w:val="none"/>
          <w:shd w:val="clear" w:color="auto" w:fill="auto"/>
        </w:rPr>
        <w:br w:type="page"/>
      </w:r>
    </w:p>
    <w:p>
      <w:pPr>
        <w:pStyle w:val="4"/>
        <w:spacing w:before="100" w:beforeAutospacing="1" w:after="100" w:afterAutospacing="1" w:line="360" w:lineRule="auto"/>
        <w:jc w:val="center"/>
        <w:rPr>
          <w:color w:val="auto"/>
          <w:sz w:val="36"/>
          <w:highlight w:val="none"/>
          <w:shd w:val="clear" w:color="auto" w:fill="auto"/>
        </w:rPr>
      </w:pPr>
      <w:bookmarkStart w:id="36" w:name="_Toc99379232"/>
      <w:r>
        <w:rPr>
          <w:rFonts w:hint="eastAsia"/>
          <w:color w:val="auto"/>
          <w:sz w:val="36"/>
          <w:highlight w:val="none"/>
          <w:shd w:val="clear" w:color="auto" w:fill="auto"/>
        </w:rPr>
        <w:t>转让股权相关信息</w:t>
      </w:r>
      <w:bookmarkEnd w:id="34"/>
      <w:bookmarkEnd w:id="35"/>
      <w:bookmarkEnd w:id="36"/>
    </w:p>
    <w:tbl>
      <w:tblPr>
        <w:tblStyle w:val="17"/>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7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tcPr>
          <w:p>
            <w:pPr>
              <w:ind w:firstLine="0" w:firstLineChars="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项目名称</w:t>
            </w:r>
          </w:p>
        </w:tc>
        <w:tc>
          <w:tcPr>
            <w:tcW w:w="7864" w:type="dxa"/>
          </w:tcPr>
          <w:p>
            <w:p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浙江海正甦力康生物科技有限公司17,362,702元注册资本（代表浙江海正甦力康生物科技有限公司</w:t>
            </w:r>
            <w:r>
              <w:rPr>
                <w:rFonts w:ascii="宋体" w:hAnsi="宋体" w:cs="宋体"/>
                <w:color w:val="auto"/>
                <w:szCs w:val="21"/>
                <w:highlight w:val="none"/>
                <w:shd w:val="clear" w:color="auto" w:fill="auto"/>
              </w:rPr>
              <w:t>34.72</w:t>
            </w:r>
            <w:r>
              <w:rPr>
                <w:rFonts w:hint="eastAsia" w:ascii="宋体" w:hAnsi="宋体" w:cs="宋体"/>
                <w:color w:val="auto"/>
                <w:szCs w:val="21"/>
                <w:highlight w:val="none"/>
                <w:shd w:val="clear" w:color="auto" w:fill="auto"/>
              </w:rPr>
              <w:t>%股权）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tcPr>
          <w:p>
            <w:pPr>
              <w:ind w:firstLine="0" w:firstLineChars="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项目编号</w:t>
            </w:r>
          </w:p>
        </w:tc>
        <w:tc>
          <w:tcPr>
            <w:tcW w:w="7864" w:type="dxa"/>
          </w:tcPr>
          <w:p>
            <w:p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台交所挂〔2022〕</w:t>
            </w:r>
            <w:r>
              <w:rPr>
                <w:rFonts w:ascii="宋体" w:hAnsi="宋体" w:cs="宋体"/>
                <w:color w:val="auto"/>
                <w:szCs w:val="21"/>
                <w:highlight w:val="none"/>
                <w:shd w:val="clear" w:color="auto" w:fill="auto"/>
              </w:rPr>
              <w:t>12</w:t>
            </w:r>
            <w:r>
              <w:rPr>
                <w:rFonts w:hint="eastAsia" w:ascii="宋体" w:hAnsi="宋体" w:cs="宋体"/>
                <w:color w:val="auto"/>
                <w:szCs w:val="21"/>
                <w:highlight w:val="none"/>
                <w:shd w:val="clear" w:color="auto" w:fill="auto"/>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tcPr>
          <w:p>
            <w:pPr>
              <w:ind w:firstLine="0" w:firstLineChars="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转让底价</w:t>
            </w:r>
          </w:p>
        </w:tc>
        <w:tc>
          <w:tcPr>
            <w:tcW w:w="7864" w:type="dxa"/>
          </w:tcPr>
          <w:p>
            <w:pPr>
              <w:ind w:firstLine="420"/>
              <w:rPr>
                <w:rFonts w:ascii="宋体" w:hAnsi="宋体" w:cs="宋体"/>
                <w:color w:val="auto"/>
                <w:szCs w:val="21"/>
                <w:highlight w:val="none"/>
                <w:shd w:val="clear" w:color="auto" w:fill="auto"/>
              </w:rPr>
            </w:pPr>
            <w:r>
              <w:rPr>
                <w:rFonts w:ascii="宋体" w:hAnsi="宋体" w:cs="宋体"/>
                <w:color w:val="auto"/>
                <w:szCs w:val="21"/>
                <w:highlight w:val="none"/>
                <w:shd w:val="clear" w:color="auto" w:fill="auto"/>
              </w:rPr>
              <w:t>47,650,200</w:t>
            </w:r>
            <w:r>
              <w:rPr>
                <w:rFonts w:hint="eastAsia" w:ascii="宋体" w:hAnsi="宋体" w:cs="宋体"/>
                <w:color w:val="auto"/>
                <w:szCs w:val="21"/>
                <w:highlight w:val="none"/>
                <w:shd w:val="clear" w:color="auto" w:fill="auto"/>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tcPr>
          <w:p>
            <w:pPr>
              <w:ind w:firstLine="0" w:firstLineChars="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地域</w:t>
            </w:r>
          </w:p>
        </w:tc>
        <w:tc>
          <w:tcPr>
            <w:tcW w:w="7864" w:type="dxa"/>
          </w:tcPr>
          <w:p>
            <w:p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台州市</w:t>
            </w:r>
          </w:p>
        </w:tc>
      </w:tr>
    </w:tbl>
    <w:p>
      <w:pPr>
        <w:ind w:firstLine="0" w:firstLineChars="0"/>
        <w:rPr>
          <w:rFonts w:ascii="宋体" w:hAnsi="宋体" w:cs="宋体"/>
          <w:color w:val="auto"/>
          <w:szCs w:val="21"/>
          <w:highlight w:val="none"/>
          <w:shd w:val="clear" w:color="auto" w:fill="auto"/>
        </w:rPr>
      </w:pPr>
    </w:p>
    <w:tbl>
      <w:tblPr>
        <w:tblStyle w:val="17"/>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891"/>
        <w:gridCol w:w="706"/>
        <w:gridCol w:w="1609"/>
        <w:gridCol w:w="1224"/>
        <w:gridCol w:w="3328"/>
        <w:gridCol w:w="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1177" w:type="dxa"/>
            <w:vMerge w:val="restart"/>
            <w:vAlign w:val="center"/>
          </w:tcPr>
          <w:p>
            <w:pPr>
              <w:ind w:firstLine="0" w:firstLineChars="0"/>
              <w:jc w:val="center"/>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基本情况</w:t>
            </w:r>
          </w:p>
        </w:tc>
        <w:tc>
          <w:tcPr>
            <w:tcW w:w="1597" w:type="dxa"/>
            <w:gridSpan w:val="2"/>
            <w:vAlign w:val="center"/>
          </w:tcPr>
          <w:p>
            <w:pPr>
              <w:ind w:firstLine="0" w:firstLineChars="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申请人名称</w:t>
            </w:r>
          </w:p>
        </w:tc>
        <w:tc>
          <w:tcPr>
            <w:tcW w:w="6269" w:type="dxa"/>
            <w:gridSpan w:val="4"/>
          </w:tcPr>
          <w:p>
            <w:pPr>
              <w:ind w:firstLine="0" w:firstLineChars="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浙江海正药业股份有限公司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color w:val="auto"/>
                <w:szCs w:val="21"/>
                <w:highlight w:val="none"/>
                <w:shd w:val="clear" w:color="auto" w:fill="auto"/>
              </w:rPr>
            </w:pPr>
          </w:p>
        </w:tc>
        <w:tc>
          <w:tcPr>
            <w:tcW w:w="1597" w:type="dxa"/>
            <w:gridSpan w:val="2"/>
            <w:vAlign w:val="center"/>
          </w:tcPr>
          <w:p>
            <w:pPr>
              <w:ind w:firstLine="0" w:firstLineChars="0"/>
              <w:jc w:val="left"/>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标的企业名称</w:t>
            </w:r>
          </w:p>
        </w:tc>
        <w:tc>
          <w:tcPr>
            <w:tcW w:w="6269" w:type="dxa"/>
            <w:gridSpan w:val="4"/>
          </w:tcPr>
          <w:p>
            <w:pPr>
              <w:ind w:firstLine="0" w:firstLineChars="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浙江海正甦力康生物科技有限公司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color w:val="auto"/>
                <w:szCs w:val="21"/>
                <w:highlight w:val="none"/>
                <w:shd w:val="clear" w:color="auto" w:fill="auto"/>
              </w:rPr>
            </w:pPr>
          </w:p>
        </w:tc>
        <w:tc>
          <w:tcPr>
            <w:tcW w:w="1597" w:type="dxa"/>
            <w:gridSpan w:val="2"/>
            <w:vAlign w:val="center"/>
          </w:tcPr>
          <w:p>
            <w:pPr>
              <w:ind w:firstLine="0" w:firstLineChars="0"/>
              <w:jc w:val="left"/>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企业类型</w:t>
            </w:r>
          </w:p>
        </w:tc>
        <w:tc>
          <w:tcPr>
            <w:tcW w:w="6269" w:type="dxa"/>
            <w:gridSpan w:val="4"/>
          </w:tcPr>
          <w:p>
            <w:pPr>
              <w:ind w:firstLine="0" w:firstLineChars="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有限责任公司（自然人投资或控股）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color w:val="auto"/>
                <w:szCs w:val="21"/>
                <w:highlight w:val="none"/>
                <w:shd w:val="clear" w:color="auto" w:fill="auto"/>
              </w:rPr>
            </w:pPr>
          </w:p>
        </w:tc>
        <w:tc>
          <w:tcPr>
            <w:tcW w:w="1597" w:type="dxa"/>
            <w:gridSpan w:val="2"/>
            <w:vAlign w:val="center"/>
          </w:tcPr>
          <w:p>
            <w:pPr>
              <w:ind w:firstLine="0" w:firstLineChars="0"/>
              <w:jc w:val="left"/>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所属行业</w:t>
            </w:r>
          </w:p>
        </w:tc>
        <w:tc>
          <w:tcPr>
            <w:tcW w:w="6269" w:type="dxa"/>
            <w:gridSpan w:val="4"/>
          </w:tcPr>
          <w:p>
            <w:pPr>
              <w:ind w:firstLine="0" w:firstLineChars="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color w:val="auto"/>
                <w:szCs w:val="21"/>
                <w:highlight w:val="none"/>
                <w:shd w:val="clear" w:color="auto" w:fill="auto"/>
              </w:rPr>
            </w:pPr>
          </w:p>
        </w:tc>
        <w:tc>
          <w:tcPr>
            <w:tcW w:w="1597" w:type="dxa"/>
            <w:gridSpan w:val="2"/>
            <w:vAlign w:val="center"/>
          </w:tcPr>
          <w:p>
            <w:pPr>
              <w:ind w:firstLine="0" w:firstLineChars="0"/>
              <w:jc w:val="left"/>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经营范围</w:t>
            </w:r>
          </w:p>
        </w:tc>
        <w:tc>
          <w:tcPr>
            <w:tcW w:w="6269" w:type="dxa"/>
            <w:gridSpan w:val="4"/>
          </w:tcPr>
          <w:p>
            <w:pPr>
              <w:ind w:firstLine="0" w:firstLineChars="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生物技术开发、技术服务、技术咨询、技术转让，企业管理咨询，货物进出口，化妆品、日用品、文具用品、第二类医疗器械、工艺品销售，食品生产，预包装食品（不含冷藏冷冻食品）、保健食品、婴幼儿配方乳粉、其他婴幼儿配方食品销售（凭有效许可证经营）。（分支机构经营场所设在台州市椒江区外沙路46号）（法律、行政法规禁止经营的项目除外，法律、行政法规规定限制经营的项目取得许可证后方可经营）（依法须经批准的项目，经相关部门批准后方可开展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color w:val="auto"/>
                <w:szCs w:val="21"/>
                <w:highlight w:val="none"/>
                <w:shd w:val="clear" w:color="auto" w:fill="auto"/>
              </w:rPr>
            </w:pPr>
          </w:p>
        </w:tc>
        <w:tc>
          <w:tcPr>
            <w:tcW w:w="1597" w:type="dxa"/>
            <w:gridSpan w:val="2"/>
            <w:vAlign w:val="center"/>
          </w:tcPr>
          <w:p>
            <w:pPr>
              <w:ind w:firstLine="0" w:firstLineChars="0"/>
              <w:jc w:val="left"/>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法定代表人</w:t>
            </w:r>
          </w:p>
        </w:tc>
        <w:tc>
          <w:tcPr>
            <w:tcW w:w="1609" w:type="dxa"/>
            <w:vAlign w:val="center"/>
          </w:tcPr>
          <w:p>
            <w:pPr>
              <w:ind w:firstLine="407" w:firstLineChars="194"/>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李岳</w:t>
            </w:r>
          </w:p>
        </w:tc>
        <w:tc>
          <w:tcPr>
            <w:tcW w:w="1224" w:type="dxa"/>
            <w:vAlign w:val="center"/>
          </w:tcPr>
          <w:p>
            <w:pPr>
              <w:ind w:firstLine="0" w:firstLineChars="0"/>
              <w:jc w:val="center"/>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成立日期</w:t>
            </w:r>
          </w:p>
        </w:tc>
        <w:tc>
          <w:tcPr>
            <w:tcW w:w="3436" w:type="dxa"/>
            <w:gridSpan w:val="2"/>
            <w:vAlign w:val="center"/>
          </w:tcPr>
          <w:p>
            <w:pPr>
              <w:ind w:firstLine="199" w:firstLineChars="95"/>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20</w:t>
            </w:r>
            <w:r>
              <w:rPr>
                <w:rFonts w:ascii="宋体" w:hAnsi="宋体" w:cs="宋体"/>
                <w:color w:val="auto"/>
                <w:szCs w:val="21"/>
                <w:highlight w:val="none"/>
                <w:shd w:val="clear" w:color="auto" w:fill="auto"/>
              </w:rPr>
              <w:t>15</w:t>
            </w:r>
            <w:r>
              <w:rPr>
                <w:rFonts w:hint="eastAsia" w:ascii="宋体" w:hAnsi="宋体" w:cs="宋体"/>
                <w:color w:val="auto"/>
                <w:szCs w:val="21"/>
                <w:highlight w:val="none"/>
                <w:shd w:val="clear" w:color="auto" w:fill="auto"/>
              </w:rPr>
              <w:t>年</w:t>
            </w:r>
            <w:r>
              <w:rPr>
                <w:rFonts w:ascii="宋体" w:hAnsi="宋体" w:cs="宋体"/>
                <w:color w:val="auto"/>
                <w:szCs w:val="21"/>
                <w:highlight w:val="none"/>
                <w:shd w:val="clear" w:color="auto" w:fill="auto"/>
              </w:rPr>
              <w:t>10</w:t>
            </w:r>
            <w:r>
              <w:rPr>
                <w:rFonts w:hint="eastAsia" w:ascii="宋体" w:hAnsi="宋体" w:cs="宋体"/>
                <w:color w:val="auto"/>
                <w:szCs w:val="21"/>
                <w:highlight w:val="none"/>
                <w:shd w:val="clear" w:color="auto" w:fill="auto"/>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color w:val="auto"/>
                <w:szCs w:val="21"/>
                <w:highlight w:val="none"/>
                <w:shd w:val="clear" w:color="auto" w:fill="auto"/>
              </w:rPr>
            </w:pPr>
          </w:p>
        </w:tc>
        <w:tc>
          <w:tcPr>
            <w:tcW w:w="1597" w:type="dxa"/>
            <w:gridSpan w:val="2"/>
            <w:vAlign w:val="center"/>
          </w:tcPr>
          <w:p>
            <w:pPr>
              <w:ind w:firstLine="0" w:firstLineChars="0"/>
              <w:jc w:val="left"/>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注册资本</w:t>
            </w:r>
          </w:p>
        </w:tc>
        <w:tc>
          <w:tcPr>
            <w:tcW w:w="1609" w:type="dxa"/>
            <w:vAlign w:val="center"/>
          </w:tcPr>
          <w:p>
            <w:pPr>
              <w:ind w:firstLine="92" w:firstLineChars="44"/>
              <w:jc w:val="center"/>
              <w:rPr>
                <w:rFonts w:ascii="宋体" w:hAnsi="宋体" w:cs="宋体"/>
                <w:color w:val="auto"/>
                <w:szCs w:val="21"/>
                <w:highlight w:val="none"/>
                <w:shd w:val="clear" w:color="auto" w:fill="auto"/>
              </w:rPr>
            </w:pPr>
            <w:r>
              <w:rPr>
                <w:rFonts w:ascii="宋体" w:hAnsi="宋体" w:cs="宋体"/>
                <w:color w:val="auto"/>
                <w:szCs w:val="21"/>
                <w:highlight w:val="none"/>
                <w:shd w:val="clear" w:color="auto" w:fill="auto"/>
              </w:rPr>
              <w:t>5</w:t>
            </w:r>
            <w:r>
              <w:rPr>
                <w:rFonts w:hint="eastAsia" w:ascii="宋体" w:hAnsi="宋体" w:cs="宋体"/>
                <w:color w:val="auto"/>
                <w:szCs w:val="21"/>
                <w:highlight w:val="none"/>
                <w:shd w:val="clear" w:color="auto" w:fill="auto"/>
              </w:rPr>
              <w:t>0</w:t>
            </w:r>
            <w:r>
              <w:rPr>
                <w:rFonts w:ascii="宋体" w:hAnsi="宋体" w:cs="宋体"/>
                <w:color w:val="auto"/>
                <w:szCs w:val="21"/>
                <w:highlight w:val="none"/>
                <w:shd w:val="clear" w:color="auto" w:fill="auto"/>
              </w:rPr>
              <w:t>00</w:t>
            </w:r>
            <w:r>
              <w:rPr>
                <w:rFonts w:hint="eastAsia" w:ascii="宋体" w:hAnsi="宋体" w:cs="宋体"/>
                <w:color w:val="auto"/>
                <w:szCs w:val="21"/>
                <w:highlight w:val="none"/>
                <w:shd w:val="clear" w:color="auto" w:fill="auto"/>
              </w:rPr>
              <w:t>万元</w:t>
            </w:r>
            <w:r>
              <w:rPr>
                <w:rFonts w:ascii="宋体" w:hAnsi="宋体" w:cs="宋体"/>
                <w:color w:val="auto"/>
                <w:szCs w:val="21"/>
                <w:highlight w:val="none"/>
                <w:shd w:val="clear" w:color="auto" w:fill="auto"/>
              </w:rPr>
              <w:t>人民币</w:t>
            </w:r>
          </w:p>
        </w:tc>
        <w:tc>
          <w:tcPr>
            <w:tcW w:w="1224" w:type="dxa"/>
            <w:vAlign w:val="center"/>
          </w:tcPr>
          <w:p>
            <w:pPr>
              <w:ind w:firstLine="0" w:firstLineChars="0"/>
              <w:jc w:val="center"/>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注册地</w:t>
            </w:r>
          </w:p>
        </w:tc>
        <w:tc>
          <w:tcPr>
            <w:tcW w:w="3436" w:type="dxa"/>
            <w:gridSpan w:val="2"/>
            <w:vAlign w:val="center"/>
          </w:tcPr>
          <w:p>
            <w:pPr>
              <w:ind w:firstLine="0" w:firstLineChars="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台州市椒江区工人东路293号301室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77" w:type="dxa"/>
            <w:vMerge w:val="continue"/>
          </w:tcPr>
          <w:p>
            <w:pPr>
              <w:ind w:firstLine="420"/>
              <w:rPr>
                <w:rFonts w:ascii="宋体" w:hAnsi="宋体" w:cs="宋体"/>
                <w:color w:val="auto"/>
                <w:szCs w:val="21"/>
                <w:highlight w:val="none"/>
                <w:shd w:val="clear" w:color="auto" w:fill="auto"/>
              </w:rPr>
            </w:pPr>
          </w:p>
        </w:tc>
        <w:tc>
          <w:tcPr>
            <w:tcW w:w="1597" w:type="dxa"/>
            <w:gridSpan w:val="2"/>
            <w:vMerge w:val="restart"/>
            <w:vAlign w:val="center"/>
          </w:tcPr>
          <w:p>
            <w:pPr>
              <w:ind w:firstLine="0" w:firstLineChars="0"/>
              <w:jc w:val="left"/>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土地、建筑</w:t>
            </w:r>
          </w:p>
        </w:tc>
        <w:tc>
          <w:tcPr>
            <w:tcW w:w="1609" w:type="dxa"/>
          </w:tcPr>
          <w:p>
            <w:p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占地面积</w:t>
            </w:r>
          </w:p>
        </w:tc>
        <w:tc>
          <w:tcPr>
            <w:tcW w:w="4660" w:type="dxa"/>
            <w:gridSpan w:val="3"/>
            <w:vAlign w:val="center"/>
          </w:tcPr>
          <w:p>
            <w:pPr>
              <w:ind w:firstLine="0" w:firstLineChars="0"/>
              <w:jc w:val="center"/>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77" w:type="dxa"/>
            <w:vMerge w:val="continue"/>
          </w:tcPr>
          <w:p>
            <w:pPr>
              <w:ind w:firstLine="420"/>
              <w:rPr>
                <w:rFonts w:ascii="宋体" w:hAnsi="宋体" w:cs="宋体"/>
                <w:color w:val="auto"/>
                <w:szCs w:val="21"/>
                <w:highlight w:val="none"/>
                <w:shd w:val="clear" w:color="auto" w:fill="auto"/>
              </w:rPr>
            </w:pPr>
          </w:p>
        </w:tc>
        <w:tc>
          <w:tcPr>
            <w:tcW w:w="1597" w:type="dxa"/>
            <w:gridSpan w:val="2"/>
            <w:vMerge w:val="continue"/>
            <w:vAlign w:val="center"/>
          </w:tcPr>
          <w:p>
            <w:pPr>
              <w:ind w:firstLine="420"/>
              <w:jc w:val="left"/>
              <w:rPr>
                <w:rFonts w:ascii="宋体" w:hAnsi="宋体" w:cs="宋体"/>
                <w:color w:val="auto"/>
                <w:szCs w:val="21"/>
                <w:highlight w:val="none"/>
                <w:shd w:val="clear" w:color="auto" w:fill="auto"/>
              </w:rPr>
            </w:pPr>
          </w:p>
        </w:tc>
        <w:tc>
          <w:tcPr>
            <w:tcW w:w="1609" w:type="dxa"/>
          </w:tcPr>
          <w:p>
            <w:p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建筑面积</w:t>
            </w:r>
          </w:p>
        </w:tc>
        <w:tc>
          <w:tcPr>
            <w:tcW w:w="4660" w:type="dxa"/>
            <w:gridSpan w:val="3"/>
            <w:vAlign w:val="center"/>
          </w:tcPr>
          <w:p>
            <w:pPr>
              <w:ind w:firstLine="0" w:firstLineChars="0"/>
              <w:jc w:val="center"/>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77" w:type="dxa"/>
            <w:vMerge w:val="continue"/>
          </w:tcPr>
          <w:p>
            <w:pPr>
              <w:ind w:firstLine="420"/>
              <w:rPr>
                <w:rFonts w:ascii="宋体" w:hAnsi="宋体" w:cs="宋体"/>
                <w:color w:val="auto"/>
                <w:szCs w:val="21"/>
                <w:highlight w:val="none"/>
                <w:shd w:val="clear" w:color="auto" w:fill="auto"/>
              </w:rPr>
            </w:pPr>
          </w:p>
        </w:tc>
        <w:tc>
          <w:tcPr>
            <w:tcW w:w="1597" w:type="dxa"/>
            <w:gridSpan w:val="2"/>
            <w:vMerge w:val="continue"/>
            <w:vAlign w:val="center"/>
          </w:tcPr>
          <w:p>
            <w:pPr>
              <w:ind w:firstLine="420"/>
              <w:jc w:val="left"/>
              <w:rPr>
                <w:rFonts w:ascii="宋体" w:hAnsi="宋体" w:cs="宋体"/>
                <w:color w:val="auto"/>
                <w:szCs w:val="21"/>
                <w:highlight w:val="none"/>
                <w:shd w:val="clear" w:color="auto" w:fill="auto"/>
              </w:rPr>
            </w:pPr>
          </w:p>
        </w:tc>
        <w:tc>
          <w:tcPr>
            <w:tcW w:w="1609" w:type="dxa"/>
          </w:tcPr>
          <w:p>
            <w:p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土地面积</w:t>
            </w:r>
          </w:p>
        </w:tc>
        <w:tc>
          <w:tcPr>
            <w:tcW w:w="4660" w:type="dxa"/>
            <w:gridSpan w:val="3"/>
          </w:tcPr>
          <w:p>
            <w:pPr>
              <w:ind w:firstLine="0" w:firstLineChars="0"/>
              <w:jc w:val="center"/>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color w:val="auto"/>
                <w:szCs w:val="21"/>
                <w:highlight w:val="none"/>
                <w:shd w:val="clear" w:color="auto" w:fill="auto"/>
              </w:rPr>
            </w:pPr>
          </w:p>
        </w:tc>
        <w:tc>
          <w:tcPr>
            <w:tcW w:w="1597" w:type="dxa"/>
            <w:gridSpan w:val="2"/>
            <w:vAlign w:val="center"/>
          </w:tcPr>
          <w:p>
            <w:pPr>
              <w:ind w:firstLine="0" w:firstLineChars="0"/>
              <w:jc w:val="left"/>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人员情况</w:t>
            </w:r>
          </w:p>
        </w:tc>
        <w:tc>
          <w:tcPr>
            <w:tcW w:w="6269" w:type="dxa"/>
            <w:gridSpan w:val="4"/>
          </w:tcPr>
          <w:p>
            <w:p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职工人数：</w:t>
            </w:r>
            <w:r>
              <w:rPr>
                <w:rFonts w:ascii="宋体" w:hAnsi="宋体" w:cs="宋体"/>
                <w:color w:val="auto"/>
                <w:szCs w:val="21"/>
                <w:highlight w:val="none"/>
                <w:shd w:val="clear" w:color="auto" w:fill="auto"/>
              </w:rPr>
              <w:t xml:space="preserve"> 52 </w:t>
            </w:r>
            <w:r>
              <w:rPr>
                <w:rFonts w:hint="eastAsia" w:ascii="宋体" w:hAnsi="宋体" w:cs="宋体"/>
                <w:color w:val="auto"/>
                <w:szCs w:val="21"/>
                <w:highlight w:val="none"/>
                <w:shd w:val="clear" w:color="auto" w:fill="auto"/>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4" w:hRule="atLeast"/>
        </w:trPr>
        <w:tc>
          <w:tcPr>
            <w:tcW w:w="1177" w:type="dxa"/>
            <w:vMerge w:val="continue"/>
          </w:tcPr>
          <w:p>
            <w:pPr>
              <w:ind w:firstLine="420"/>
              <w:rPr>
                <w:rFonts w:ascii="宋体" w:hAnsi="宋体" w:cs="宋体"/>
                <w:color w:val="auto"/>
                <w:szCs w:val="21"/>
                <w:highlight w:val="none"/>
                <w:shd w:val="clear" w:color="auto" w:fill="auto"/>
              </w:rPr>
            </w:pPr>
          </w:p>
        </w:tc>
        <w:tc>
          <w:tcPr>
            <w:tcW w:w="1597" w:type="dxa"/>
            <w:gridSpan w:val="2"/>
            <w:vAlign w:val="center"/>
          </w:tcPr>
          <w:p>
            <w:pPr>
              <w:ind w:firstLine="0" w:firstLineChars="0"/>
              <w:jc w:val="left"/>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标的企业概述</w:t>
            </w:r>
          </w:p>
        </w:tc>
        <w:tc>
          <w:tcPr>
            <w:tcW w:w="6269" w:type="dxa"/>
            <w:gridSpan w:val="4"/>
          </w:tcPr>
          <w:p>
            <w:p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1、标的企业股东持股情况如下：浙江海正药业股份有限公司出资</w:t>
            </w:r>
            <w:r>
              <w:rPr>
                <w:rFonts w:ascii="宋体" w:hAnsi="宋体" w:cs="宋体"/>
                <w:color w:val="auto"/>
                <w:szCs w:val="21"/>
                <w:highlight w:val="none"/>
                <w:shd w:val="clear" w:color="auto" w:fill="auto"/>
              </w:rPr>
              <w:t>45,500,000</w:t>
            </w:r>
            <w:r>
              <w:rPr>
                <w:rFonts w:hint="eastAsia" w:ascii="宋体" w:hAnsi="宋体" w:cs="宋体"/>
                <w:color w:val="auto"/>
                <w:szCs w:val="21"/>
                <w:highlight w:val="none"/>
                <w:shd w:val="clear" w:color="auto" w:fill="auto"/>
              </w:rPr>
              <w:t>元（现金加实物出资），持股比例</w:t>
            </w:r>
            <w:r>
              <w:rPr>
                <w:rFonts w:ascii="宋体" w:hAnsi="宋体" w:cs="宋体"/>
                <w:color w:val="auto"/>
                <w:szCs w:val="21"/>
                <w:highlight w:val="none"/>
                <w:shd w:val="clear" w:color="auto" w:fill="auto"/>
              </w:rPr>
              <w:t>91</w:t>
            </w:r>
            <w:r>
              <w:rPr>
                <w:rFonts w:hint="eastAsia" w:ascii="宋体" w:hAnsi="宋体" w:cs="宋体"/>
                <w:color w:val="auto"/>
                <w:szCs w:val="21"/>
                <w:highlight w:val="none"/>
                <w:shd w:val="clear" w:color="auto" w:fill="auto"/>
              </w:rPr>
              <w:t>%；王玲萍出资</w:t>
            </w:r>
            <w:r>
              <w:rPr>
                <w:rFonts w:ascii="宋体" w:hAnsi="宋体" w:cs="宋体"/>
                <w:color w:val="auto"/>
                <w:szCs w:val="21"/>
                <w:highlight w:val="none"/>
                <w:shd w:val="clear" w:color="auto" w:fill="auto"/>
              </w:rPr>
              <w:t>1,147,500</w:t>
            </w:r>
            <w:r>
              <w:rPr>
                <w:rFonts w:hint="eastAsia" w:ascii="宋体" w:hAnsi="宋体" w:cs="宋体"/>
                <w:color w:val="auto"/>
                <w:szCs w:val="21"/>
                <w:highlight w:val="none"/>
                <w:shd w:val="clear" w:color="auto" w:fill="auto"/>
              </w:rPr>
              <w:t>元，持股比例</w:t>
            </w:r>
            <w:r>
              <w:rPr>
                <w:rFonts w:ascii="宋体" w:hAnsi="宋体" w:cs="宋体"/>
                <w:color w:val="auto"/>
                <w:szCs w:val="21"/>
                <w:highlight w:val="none"/>
                <w:shd w:val="clear" w:color="auto" w:fill="auto"/>
              </w:rPr>
              <w:t>2.295</w:t>
            </w:r>
            <w:r>
              <w:rPr>
                <w:rFonts w:hint="eastAsia" w:ascii="宋体" w:hAnsi="宋体" w:cs="宋体"/>
                <w:color w:val="auto"/>
                <w:szCs w:val="21"/>
                <w:highlight w:val="none"/>
                <w:shd w:val="clear" w:color="auto" w:fill="auto"/>
              </w:rPr>
              <w:t>%；张鑫出资</w:t>
            </w:r>
            <w:r>
              <w:rPr>
                <w:rFonts w:ascii="宋体" w:hAnsi="宋体" w:cs="宋体"/>
                <w:color w:val="auto"/>
                <w:szCs w:val="21"/>
                <w:highlight w:val="none"/>
                <w:shd w:val="clear" w:color="auto" w:fill="auto"/>
              </w:rPr>
              <w:t>1,057,500</w:t>
            </w:r>
            <w:r>
              <w:rPr>
                <w:rFonts w:hint="eastAsia" w:ascii="宋体" w:hAnsi="宋体" w:cs="宋体"/>
                <w:color w:val="auto"/>
                <w:szCs w:val="21"/>
                <w:highlight w:val="none"/>
                <w:shd w:val="clear" w:color="auto" w:fill="auto"/>
              </w:rPr>
              <w:t>元，持股比例</w:t>
            </w:r>
            <w:r>
              <w:rPr>
                <w:rFonts w:ascii="宋体" w:hAnsi="宋体" w:cs="宋体"/>
                <w:color w:val="auto"/>
                <w:szCs w:val="21"/>
                <w:highlight w:val="none"/>
                <w:shd w:val="clear" w:color="auto" w:fill="auto"/>
              </w:rPr>
              <w:t>2.115</w:t>
            </w:r>
            <w:r>
              <w:rPr>
                <w:rFonts w:hint="eastAsia" w:ascii="宋体" w:hAnsi="宋体" w:cs="宋体"/>
                <w:color w:val="auto"/>
                <w:szCs w:val="21"/>
                <w:highlight w:val="none"/>
                <w:shd w:val="clear" w:color="auto" w:fill="auto"/>
              </w:rPr>
              <w:t>%；阮文龙出资</w:t>
            </w:r>
            <w:r>
              <w:rPr>
                <w:rFonts w:ascii="宋体" w:hAnsi="宋体" w:cs="宋体"/>
                <w:color w:val="auto"/>
                <w:szCs w:val="21"/>
                <w:highlight w:val="none"/>
                <w:shd w:val="clear" w:color="auto" w:fill="auto"/>
              </w:rPr>
              <w:t>1,170,000</w:t>
            </w:r>
            <w:r>
              <w:rPr>
                <w:rFonts w:hint="eastAsia" w:ascii="宋体" w:hAnsi="宋体" w:cs="宋体"/>
                <w:color w:val="auto"/>
                <w:szCs w:val="21"/>
                <w:highlight w:val="none"/>
                <w:shd w:val="clear" w:color="auto" w:fill="auto"/>
              </w:rPr>
              <w:t>元，持股比例</w:t>
            </w:r>
            <w:r>
              <w:rPr>
                <w:rFonts w:ascii="宋体" w:hAnsi="宋体" w:cs="宋体"/>
                <w:color w:val="auto"/>
                <w:szCs w:val="21"/>
                <w:highlight w:val="none"/>
                <w:shd w:val="clear" w:color="auto" w:fill="auto"/>
              </w:rPr>
              <w:t>2.340</w:t>
            </w:r>
            <w:r>
              <w:rPr>
                <w:rFonts w:hint="eastAsia" w:ascii="宋体" w:hAnsi="宋体" w:cs="宋体"/>
                <w:color w:val="auto"/>
                <w:szCs w:val="21"/>
                <w:highlight w:val="none"/>
                <w:shd w:val="clear" w:color="auto" w:fill="auto"/>
              </w:rPr>
              <w:t>%；邵宜出资</w:t>
            </w:r>
            <w:r>
              <w:rPr>
                <w:rFonts w:ascii="宋体" w:hAnsi="宋体" w:cs="宋体"/>
                <w:color w:val="auto"/>
                <w:szCs w:val="21"/>
                <w:highlight w:val="none"/>
                <w:shd w:val="clear" w:color="auto" w:fill="auto"/>
              </w:rPr>
              <w:t>1,125,000</w:t>
            </w:r>
            <w:r>
              <w:rPr>
                <w:rFonts w:hint="eastAsia" w:ascii="宋体" w:hAnsi="宋体" w:cs="宋体"/>
                <w:color w:val="auto"/>
                <w:szCs w:val="21"/>
                <w:highlight w:val="none"/>
                <w:shd w:val="clear" w:color="auto" w:fill="auto"/>
              </w:rPr>
              <w:t>元，持股比例</w:t>
            </w:r>
            <w:r>
              <w:rPr>
                <w:rFonts w:ascii="宋体" w:hAnsi="宋体" w:cs="宋体"/>
                <w:color w:val="auto"/>
                <w:szCs w:val="21"/>
                <w:highlight w:val="none"/>
                <w:shd w:val="clear" w:color="auto" w:fill="auto"/>
              </w:rPr>
              <w:t>2.250</w:t>
            </w:r>
            <w:r>
              <w:rPr>
                <w:rFonts w:hint="eastAsia" w:ascii="宋体" w:hAnsi="宋体" w:cs="宋体"/>
                <w:color w:val="auto"/>
                <w:szCs w:val="21"/>
                <w:highlight w:val="none"/>
                <w:shd w:val="clear" w:color="auto" w:fill="auto"/>
              </w:rPr>
              <w:t>%。</w:t>
            </w:r>
          </w:p>
          <w:p>
            <w:p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2、公司经营状况：截止20</w:t>
            </w:r>
            <w:r>
              <w:rPr>
                <w:rFonts w:ascii="宋体" w:hAnsi="宋体" w:cs="宋体"/>
                <w:color w:val="auto"/>
                <w:szCs w:val="21"/>
                <w:highlight w:val="none"/>
                <w:shd w:val="clear" w:color="auto" w:fill="auto"/>
              </w:rPr>
              <w:t>21</w:t>
            </w:r>
            <w:r>
              <w:rPr>
                <w:rFonts w:hint="eastAsia" w:ascii="宋体" w:hAnsi="宋体" w:cs="宋体"/>
                <w:color w:val="auto"/>
                <w:szCs w:val="21"/>
                <w:highlight w:val="none"/>
                <w:shd w:val="clear" w:color="auto" w:fill="auto"/>
              </w:rPr>
              <w:t>年</w:t>
            </w:r>
            <w:r>
              <w:rPr>
                <w:rFonts w:ascii="宋体" w:hAnsi="宋体" w:cs="宋体"/>
                <w:color w:val="auto"/>
                <w:szCs w:val="21"/>
                <w:highlight w:val="none"/>
                <w:shd w:val="clear" w:color="auto" w:fill="auto"/>
              </w:rPr>
              <w:t>9</w:t>
            </w:r>
            <w:r>
              <w:rPr>
                <w:rFonts w:hint="eastAsia" w:ascii="宋体" w:hAnsi="宋体" w:cs="宋体"/>
                <w:color w:val="auto"/>
                <w:szCs w:val="21"/>
                <w:highlight w:val="none"/>
                <w:shd w:val="clear" w:color="auto" w:fill="auto"/>
              </w:rPr>
              <w:t>月30日，公司账面总资产</w:t>
            </w:r>
            <w:r>
              <w:rPr>
                <w:rFonts w:ascii="宋体" w:hAnsi="宋体" w:cs="宋体"/>
                <w:color w:val="auto"/>
                <w:szCs w:val="21"/>
                <w:highlight w:val="none"/>
                <w:shd w:val="clear" w:color="auto" w:fill="auto"/>
              </w:rPr>
              <w:t>80,547,397.58</w:t>
            </w:r>
            <w:r>
              <w:rPr>
                <w:rFonts w:hint="eastAsia" w:ascii="宋体" w:hAnsi="宋体" w:cs="宋体"/>
                <w:color w:val="auto"/>
                <w:szCs w:val="21"/>
                <w:highlight w:val="none"/>
                <w:shd w:val="clear" w:color="auto" w:fill="auto"/>
              </w:rPr>
              <w:t>元，账面总负债</w:t>
            </w:r>
            <w:r>
              <w:rPr>
                <w:rFonts w:ascii="宋体" w:hAnsi="宋体" w:cs="宋体"/>
                <w:color w:val="auto"/>
                <w:szCs w:val="21"/>
                <w:highlight w:val="none"/>
                <w:shd w:val="clear" w:color="auto" w:fill="auto"/>
              </w:rPr>
              <w:t>23,967,802.61</w:t>
            </w:r>
            <w:r>
              <w:rPr>
                <w:rFonts w:hint="eastAsia" w:ascii="宋体" w:hAnsi="宋体" w:cs="宋体"/>
                <w:color w:val="auto"/>
                <w:szCs w:val="21"/>
                <w:highlight w:val="none"/>
                <w:shd w:val="clear" w:color="auto" w:fill="auto"/>
              </w:rPr>
              <w:t>元，账面净资产</w:t>
            </w:r>
            <w:r>
              <w:rPr>
                <w:rFonts w:ascii="宋体" w:hAnsi="宋体" w:cs="宋体"/>
                <w:color w:val="auto"/>
                <w:szCs w:val="21"/>
                <w:highlight w:val="none"/>
                <w:shd w:val="clear" w:color="auto" w:fill="auto"/>
              </w:rPr>
              <w:t>56,579,594.97</w:t>
            </w:r>
            <w:r>
              <w:rPr>
                <w:rFonts w:hint="eastAsia" w:ascii="宋体" w:hAnsi="宋体" w:cs="宋体"/>
                <w:color w:val="auto"/>
                <w:szCs w:val="21"/>
                <w:highlight w:val="none"/>
                <w:shd w:val="clear" w:color="auto" w:fill="auto"/>
              </w:rPr>
              <w:t>元。</w:t>
            </w:r>
          </w:p>
          <w:p>
            <w:pPr>
              <w:ind w:firstLine="420"/>
              <w:rPr>
                <w:rFonts w:ascii="宋体" w:hAnsi="宋体" w:cs="宋体"/>
                <w:color w:val="auto"/>
                <w:szCs w:val="21"/>
                <w:highlight w:val="none"/>
                <w:u w:val="single"/>
                <w:shd w:val="clear" w:color="auto" w:fill="auto"/>
              </w:rPr>
            </w:pPr>
            <w:r>
              <w:rPr>
                <w:rFonts w:hint="eastAsia" w:ascii="宋体" w:hAnsi="宋体" w:cs="宋体"/>
                <w:color w:val="auto"/>
                <w:szCs w:val="21"/>
                <w:highlight w:val="none"/>
                <w:shd w:val="clear" w:color="auto" w:fill="auto"/>
              </w:rPr>
              <w:t>3、标的企业股东是否有优先购买权：</w:t>
            </w:r>
            <w:r>
              <w:rPr>
                <w:rFonts w:hint="eastAsia" w:ascii="宋体" w:hAnsi="宋体" w:cs="宋体"/>
                <w:color w:val="auto"/>
                <w:szCs w:val="21"/>
                <w:highlight w:val="none"/>
                <w:u w:val="single"/>
                <w:shd w:val="clear" w:color="auto" w:fill="auto"/>
              </w:rPr>
              <w:t>已放弃</w:t>
            </w:r>
          </w:p>
          <w:p>
            <w:pPr>
              <w:ind w:firstLine="420"/>
              <w:rPr>
                <w:rFonts w:ascii="宋体" w:hAnsi="宋体" w:cs="宋体"/>
                <w:color w:val="auto"/>
                <w:szCs w:val="21"/>
                <w:highlight w:val="none"/>
                <w:u w:val="single"/>
                <w:shd w:val="clear" w:color="auto" w:fill="auto"/>
              </w:rPr>
            </w:pPr>
            <w:r>
              <w:rPr>
                <w:rFonts w:hint="eastAsia" w:ascii="宋体" w:hAnsi="宋体" w:cs="宋体"/>
                <w:color w:val="auto"/>
                <w:szCs w:val="21"/>
                <w:highlight w:val="none"/>
                <w:shd w:val="clear" w:color="auto" w:fill="auto"/>
              </w:rPr>
              <w:t>4、企业管理层是否参与受让:</w:t>
            </w:r>
            <w:r>
              <w:rPr>
                <w:rFonts w:hint="eastAsia" w:ascii="宋体" w:hAnsi="宋体" w:cs="宋体"/>
                <w:color w:val="auto"/>
                <w:szCs w:val="21"/>
                <w:highlight w:val="none"/>
                <w:u w:val="single"/>
                <w:shd w:val="clear" w:color="auto" w:fill="auto"/>
              </w:rPr>
              <w:t>否</w:t>
            </w:r>
          </w:p>
          <w:p>
            <w:p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5、其它信息披露：</w:t>
            </w:r>
          </w:p>
          <w:p>
            <w:pPr>
              <w:numPr>
                <w:ilvl w:val="0"/>
                <w:numId w:val="12"/>
              </w:num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本次股权转让完成后，标的企业职工的劳动合同继续有效，其劳动关系、社会保险及住房公积金关系保持不变。</w:t>
            </w:r>
          </w:p>
          <w:p>
            <w:pPr>
              <w:numPr>
                <w:ilvl w:val="0"/>
                <w:numId w:val="12"/>
              </w:num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本次股权转让完成后，标的企业所有债权、债务依然由标的企业承继。</w:t>
            </w:r>
          </w:p>
          <w:p>
            <w:pPr>
              <w:numPr>
                <w:ilvl w:val="0"/>
                <w:numId w:val="12"/>
              </w:num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资产评估基准日（2021年9月30日）到工商变更完成日期间的损益处理方式：标的企业不再进行审计清算，因正常经营产生的损益由</w:t>
            </w:r>
            <w:r>
              <w:rPr>
                <w:rFonts w:hint="eastAsia" w:ascii="宋体" w:hAnsi="宋体" w:cs="宋体"/>
                <w:color w:val="auto"/>
                <w:szCs w:val="21"/>
                <w:highlight w:val="none"/>
                <w:shd w:val="clear" w:color="auto" w:fill="auto"/>
                <w:lang w:val="en-US" w:eastAsia="zh-CN"/>
              </w:rPr>
              <w:t>股权转让后的</w:t>
            </w:r>
            <w:r>
              <w:rPr>
                <w:rFonts w:hint="eastAsia" w:ascii="宋体" w:hAnsi="宋体" w:cs="宋体"/>
                <w:color w:val="auto"/>
                <w:szCs w:val="21"/>
                <w:highlight w:val="none"/>
                <w:shd w:val="clear" w:color="auto" w:fill="auto"/>
              </w:rPr>
              <w:t>所有股东按持股比例享有或承担。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8" w:type="dxa"/>
          <w:trHeight w:val="2409" w:hRule="atLeast"/>
        </w:trPr>
        <w:tc>
          <w:tcPr>
            <w:tcW w:w="2068" w:type="dxa"/>
            <w:gridSpan w:val="2"/>
            <w:vAlign w:val="center"/>
          </w:tcPr>
          <w:p>
            <w:pPr>
              <w:ind w:firstLine="420"/>
              <w:jc w:val="center"/>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公告挂牌</w:t>
            </w:r>
          </w:p>
        </w:tc>
        <w:tc>
          <w:tcPr>
            <w:tcW w:w="6867" w:type="dxa"/>
            <w:gridSpan w:val="4"/>
          </w:tcPr>
          <w:p>
            <w:pPr>
              <w:ind w:firstLine="0" w:firstLineChars="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1、公告挂牌期：正式挂牌时间自20</w:t>
            </w:r>
            <w:r>
              <w:rPr>
                <w:rFonts w:ascii="宋体" w:hAnsi="宋体" w:cs="宋体"/>
                <w:color w:val="auto"/>
                <w:szCs w:val="21"/>
                <w:highlight w:val="none"/>
                <w:shd w:val="clear" w:color="auto" w:fill="auto"/>
              </w:rPr>
              <w:t>22</w:t>
            </w:r>
            <w:r>
              <w:rPr>
                <w:rFonts w:hint="eastAsia" w:ascii="宋体" w:hAnsi="宋体" w:cs="宋体"/>
                <w:color w:val="auto"/>
                <w:szCs w:val="21"/>
                <w:highlight w:val="none"/>
                <w:shd w:val="clear" w:color="auto" w:fill="auto"/>
              </w:rPr>
              <w:t>年</w:t>
            </w:r>
            <w:r>
              <w:rPr>
                <w:rFonts w:ascii="宋体" w:hAnsi="宋体" w:cs="宋体"/>
                <w:color w:val="auto"/>
                <w:szCs w:val="21"/>
                <w:highlight w:val="none"/>
                <w:shd w:val="clear" w:color="auto" w:fill="auto"/>
              </w:rPr>
              <w:t>4</w:t>
            </w:r>
            <w:r>
              <w:rPr>
                <w:rFonts w:hint="eastAsia" w:ascii="宋体" w:hAnsi="宋体" w:cs="宋体"/>
                <w:color w:val="auto"/>
                <w:szCs w:val="21"/>
                <w:highlight w:val="none"/>
                <w:shd w:val="clear" w:color="auto" w:fill="auto"/>
              </w:rPr>
              <w:t>月</w:t>
            </w:r>
            <w:r>
              <w:rPr>
                <w:rFonts w:ascii="宋体" w:hAnsi="宋体" w:cs="宋体"/>
                <w:color w:val="auto"/>
                <w:szCs w:val="21"/>
                <w:highlight w:val="none"/>
                <w:shd w:val="clear" w:color="auto" w:fill="auto"/>
              </w:rPr>
              <w:t>22</w:t>
            </w:r>
            <w:r>
              <w:rPr>
                <w:rFonts w:hint="eastAsia" w:ascii="宋体" w:hAnsi="宋体" w:cs="宋体"/>
                <w:color w:val="auto"/>
                <w:szCs w:val="21"/>
                <w:highlight w:val="none"/>
                <w:shd w:val="clear" w:color="auto" w:fill="auto"/>
              </w:rPr>
              <w:t>日公告日</w:t>
            </w:r>
            <w:r>
              <w:rPr>
                <w:rFonts w:hint="eastAsia" w:ascii="宋体" w:hAnsi="宋体"/>
                <w:color w:val="auto"/>
                <w:highlight w:val="none"/>
                <w:shd w:val="clear" w:color="auto" w:fill="auto"/>
              </w:rPr>
              <w:t>（即挂牌起始日）至</w:t>
            </w:r>
            <w:r>
              <w:rPr>
                <w:rFonts w:hint="eastAsia" w:ascii="宋体" w:hAnsi="宋体" w:cs="宋体"/>
                <w:color w:val="auto"/>
                <w:szCs w:val="21"/>
                <w:highlight w:val="none"/>
                <w:shd w:val="clear" w:color="auto" w:fill="auto"/>
              </w:rPr>
              <w:t>20</w:t>
            </w:r>
            <w:r>
              <w:rPr>
                <w:rFonts w:ascii="宋体" w:hAnsi="宋体" w:cs="宋体"/>
                <w:color w:val="auto"/>
                <w:szCs w:val="21"/>
                <w:highlight w:val="none"/>
                <w:shd w:val="clear" w:color="auto" w:fill="auto"/>
              </w:rPr>
              <w:t>22</w:t>
            </w:r>
            <w:r>
              <w:rPr>
                <w:rFonts w:hint="eastAsia" w:ascii="宋体" w:hAnsi="宋体" w:cs="宋体"/>
                <w:color w:val="auto"/>
                <w:szCs w:val="21"/>
                <w:highlight w:val="none"/>
                <w:shd w:val="clear" w:color="auto" w:fill="auto"/>
              </w:rPr>
              <w:t>年</w:t>
            </w:r>
            <w:r>
              <w:rPr>
                <w:rFonts w:ascii="宋体" w:hAnsi="宋体" w:cs="宋体"/>
                <w:color w:val="auto"/>
                <w:szCs w:val="21"/>
                <w:highlight w:val="none"/>
                <w:shd w:val="clear" w:color="auto" w:fill="auto"/>
              </w:rPr>
              <w:t>5</w:t>
            </w:r>
            <w:r>
              <w:rPr>
                <w:rFonts w:hint="eastAsia" w:ascii="宋体" w:hAnsi="宋体" w:cs="宋体"/>
                <w:color w:val="auto"/>
                <w:szCs w:val="21"/>
                <w:highlight w:val="none"/>
                <w:shd w:val="clear" w:color="auto" w:fill="auto"/>
              </w:rPr>
              <w:t>月</w:t>
            </w:r>
            <w:r>
              <w:rPr>
                <w:rFonts w:ascii="宋体" w:hAnsi="宋体" w:cs="宋体"/>
                <w:color w:val="auto"/>
                <w:szCs w:val="21"/>
                <w:highlight w:val="none"/>
                <w:shd w:val="clear" w:color="auto" w:fill="auto"/>
              </w:rPr>
              <w:t>20</w:t>
            </w:r>
            <w:r>
              <w:rPr>
                <w:rFonts w:hint="eastAsia" w:ascii="宋体" w:hAnsi="宋体" w:cs="宋体"/>
                <w:color w:val="auto"/>
                <w:szCs w:val="21"/>
                <w:highlight w:val="none"/>
                <w:shd w:val="clear" w:color="auto" w:fill="auto"/>
              </w:rPr>
              <w:t>日下午4时整止。</w:t>
            </w:r>
          </w:p>
          <w:p>
            <w:pPr>
              <w:ind w:firstLine="0" w:firstLineChars="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2、本次股权转让公告发布的同时，标的公司浙江海正甦力康生物科技有限公司同步发布增资项目公告（台交所挂〔2022〕</w:t>
            </w:r>
            <w:r>
              <w:rPr>
                <w:rFonts w:ascii="宋体" w:hAnsi="宋体" w:cs="宋体"/>
                <w:color w:val="auto"/>
                <w:szCs w:val="21"/>
                <w:highlight w:val="none"/>
                <w:shd w:val="clear" w:color="auto" w:fill="auto"/>
              </w:rPr>
              <w:t>11</w:t>
            </w:r>
            <w:r>
              <w:rPr>
                <w:rFonts w:hint="eastAsia" w:ascii="宋体" w:hAnsi="宋体" w:cs="宋体"/>
                <w:color w:val="auto"/>
                <w:szCs w:val="21"/>
                <w:highlight w:val="none"/>
                <w:shd w:val="clear" w:color="auto" w:fill="auto"/>
              </w:rPr>
              <w:t>号）,竞买人资格条件、交易条件、与转让相关的其他条件以增资公告为准，本转让项目不单独接受竞买人办理受让意向登记手续，竞买人须满足“浙江海正甦力康生物科技有限公司增资项目”的资格条件，并承诺接受所有增资条件，成为增资项目的意向投资方。</w:t>
            </w:r>
          </w:p>
          <w:p>
            <w:pPr>
              <w:ind w:firstLine="0" w:firstLineChars="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3、意向投资方需缴纳保证金5</w:t>
            </w:r>
            <w:r>
              <w:rPr>
                <w:rFonts w:ascii="宋体" w:hAnsi="宋体" w:cs="宋体"/>
                <w:color w:val="auto"/>
                <w:szCs w:val="21"/>
                <w:highlight w:val="none"/>
                <w:shd w:val="clear" w:color="auto" w:fill="auto"/>
              </w:rPr>
              <w:t>00</w:t>
            </w:r>
            <w:r>
              <w:rPr>
                <w:rFonts w:hint="eastAsia" w:ascii="宋体" w:hAnsi="宋体" w:cs="宋体"/>
                <w:color w:val="auto"/>
                <w:szCs w:val="21"/>
                <w:highlight w:val="none"/>
                <w:shd w:val="clear" w:color="auto" w:fill="auto"/>
              </w:rPr>
              <w:t>万元。</w:t>
            </w:r>
          </w:p>
        </w:tc>
      </w:tr>
    </w:tbl>
    <w:p>
      <w:pPr>
        <w:spacing w:line="360" w:lineRule="auto"/>
        <w:ind w:firstLine="0" w:firstLineChars="0"/>
        <w:jc w:val="left"/>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甦力康主要财务指标</w:t>
      </w:r>
    </w:p>
    <w:p>
      <w:pPr>
        <w:spacing w:line="360" w:lineRule="auto"/>
        <w:ind w:firstLine="0" w:firstLineChars="0"/>
        <w:rPr>
          <w:color w:val="auto"/>
          <w:highlight w:val="none"/>
          <w:shd w:val="clear" w:color="auto" w:fill="auto"/>
        </w:rPr>
      </w:pPr>
      <w:r>
        <w:rPr>
          <w:rFonts w:hint="eastAsia" w:ascii="宋体" w:hAnsi="宋体"/>
          <w:b/>
          <w:color w:val="auto"/>
          <w:sz w:val="24"/>
          <w:szCs w:val="22"/>
          <w:highlight w:val="none"/>
          <w:shd w:val="clear" w:color="auto" w:fill="auto"/>
        </w:rPr>
        <w:t>（单位：人民币元）</w:t>
      </w:r>
    </w:p>
    <w:tbl>
      <w:tblPr>
        <w:tblStyle w:val="17"/>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1606"/>
        <w:gridCol w:w="1838"/>
        <w:gridCol w:w="1679"/>
        <w:gridCol w:w="1651"/>
        <w:gridCol w:w="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cantSplit/>
          <w:trHeight w:val="857" w:hRule="exact"/>
          <w:jc w:val="center"/>
        </w:trPr>
        <w:tc>
          <w:tcPr>
            <w:tcW w:w="2405" w:type="dxa"/>
            <w:vMerge w:val="restart"/>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主要财务指标</w:t>
            </w:r>
          </w:p>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（单位：人民币元）</w:t>
            </w:r>
          </w:p>
        </w:tc>
        <w:tc>
          <w:tcPr>
            <w:tcW w:w="6774" w:type="dxa"/>
            <w:gridSpan w:val="4"/>
            <w:vAlign w:val="center"/>
          </w:tcPr>
          <w:p>
            <w:pPr>
              <w:ind w:firstLine="480" w:firstLineChars="0"/>
              <w:jc w:val="center"/>
              <w:rPr>
                <w:rFonts w:ascii="宋体" w:hAnsi="宋体"/>
                <w:color w:val="auto"/>
                <w:sz w:val="24"/>
                <w:szCs w:val="22"/>
                <w:highlight w:val="none"/>
                <w:shd w:val="clear" w:color="auto" w:fill="auto"/>
              </w:rPr>
            </w:pPr>
            <w:r>
              <w:rPr>
                <w:rFonts w:hint="eastAsia" w:ascii="宋体" w:hAnsi="宋体"/>
                <w:color w:val="auto"/>
                <w:sz w:val="24"/>
                <w:szCs w:val="22"/>
                <w:highlight w:val="none"/>
                <w:shd w:val="clear" w:color="auto" w:fill="auto"/>
              </w:rPr>
              <w:t>以下数据出自企业20</w:t>
            </w:r>
            <w:r>
              <w:rPr>
                <w:rFonts w:ascii="宋体" w:hAnsi="宋体"/>
                <w:color w:val="auto"/>
                <w:sz w:val="24"/>
                <w:szCs w:val="22"/>
                <w:highlight w:val="none"/>
                <w:shd w:val="clear" w:color="auto" w:fill="auto"/>
              </w:rPr>
              <w:t>21</w:t>
            </w:r>
            <w:r>
              <w:rPr>
                <w:rFonts w:hint="eastAsia" w:ascii="宋体" w:hAnsi="宋体"/>
                <w:color w:val="auto"/>
                <w:sz w:val="24"/>
                <w:szCs w:val="22"/>
                <w:highlight w:val="none"/>
                <w:shd w:val="clear" w:color="auto" w:fill="auto"/>
              </w:rPr>
              <w:t>年1-</w:t>
            </w:r>
            <w:r>
              <w:rPr>
                <w:rFonts w:ascii="宋体" w:hAnsi="宋体"/>
                <w:color w:val="auto"/>
                <w:sz w:val="24"/>
                <w:szCs w:val="22"/>
                <w:highlight w:val="none"/>
                <w:shd w:val="clear" w:color="auto" w:fill="auto"/>
              </w:rPr>
              <w:t>9</w:t>
            </w:r>
            <w:r>
              <w:rPr>
                <w:rFonts w:hint="eastAsia" w:ascii="宋体" w:hAnsi="宋体"/>
                <w:color w:val="auto"/>
                <w:sz w:val="24"/>
                <w:szCs w:val="22"/>
                <w:highlight w:val="none"/>
                <w:shd w:val="clear" w:color="auto" w:fill="auto"/>
              </w:rPr>
              <w:t>月审计报告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405" w:type="dxa"/>
            <w:vMerge w:val="continue"/>
            <w:vAlign w:val="center"/>
          </w:tcPr>
          <w:p>
            <w:pPr>
              <w:ind w:firstLine="482" w:firstLineChars="0"/>
              <w:jc w:val="center"/>
              <w:rPr>
                <w:rFonts w:ascii="宋体" w:hAnsi="宋体"/>
                <w:b/>
                <w:color w:val="auto"/>
                <w:sz w:val="24"/>
                <w:szCs w:val="22"/>
                <w:highlight w:val="none"/>
                <w:shd w:val="clear" w:color="auto" w:fill="auto"/>
              </w:rPr>
            </w:pPr>
          </w:p>
        </w:tc>
        <w:tc>
          <w:tcPr>
            <w:tcW w:w="1606" w:type="dxa"/>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年度日期</w:t>
            </w:r>
          </w:p>
        </w:tc>
        <w:tc>
          <w:tcPr>
            <w:tcW w:w="1838" w:type="dxa"/>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资产总计</w:t>
            </w:r>
          </w:p>
        </w:tc>
        <w:tc>
          <w:tcPr>
            <w:tcW w:w="1679" w:type="dxa"/>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负债总计</w:t>
            </w:r>
          </w:p>
        </w:tc>
        <w:tc>
          <w:tcPr>
            <w:tcW w:w="1670" w:type="dxa"/>
            <w:gridSpan w:val="2"/>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405" w:type="dxa"/>
            <w:vMerge w:val="continue"/>
            <w:vAlign w:val="center"/>
          </w:tcPr>
          <w:p>
            <w:pPr>
              <w:ind w:firstLine="482" w:firstLineChars="0"/>
              <w:jc w:val="center"/>
              <w:rPr>
                <w:rFonts w:ascii="宋体" w:hAnsi="宋体"/>
                <w:b/>
                <w:color w:val="auto"/>
                <w:sz w:val="24"/>
                <w:szCs w:val="22"/>
                <w:highlight w:val="none"/>
                <w:shd w:val="clear" w:color="auto" w:fill="auto"/>
              </w:rPr>
            </w:pPr>
          </w:p>
        </w:tc>
        <w:tc>
          <w:tcPr>
            <w:tcW w:w="1606" w:type="dxa"/>
            <w:vMerge w:val="restart"/>
            <w:vAlign w:val="center"/>
          </w:tcPr>
          <w:p>
            <w:pPr>
              <w:ind w:firstLine="0" w:firstLineChars="0"/>
              <w:jc w:val="center"/>
              <w:rPr>
                <w:rFonts w:ascii="宋体" w:hAnsi="宋体"/>
                <w:color w:val="auto"/>
                <w:sz w:val="24"/>
                <w:szCs w:val="22"/>
                <w:highlight w:val="none"/>
                <w:u w:val="single"/>
                <w:shd w:val="clear" w:color="auto" w:fill="auto"/>
              </w:rPr>
            </w:pPr>
            <w:r>
              <w:rPr>
                <w:rFonts w:hint="eastAsia" w:ascii="宋体" w:hAnsi="宋体"/>
                <w:color w:val="auto"/>
                <w:szCs w:val="22"/>
                <w:highlight w:val="none"/>
                <w:shd w:val="clear" w:color="auto" w:fill="auto"/>
              </w:rPr>
              <w:t>20</w:t>
            </w:r>
            <w:r>
              <w:rPr>
                <w:rFonts w:ascii="宋体" w:hAnsi="宋体"/>
                <w:color w:val="auto"/>
                <w:szCs w:val="22"/>
                <w:highlight w:val="none"/>
                <w:shd w:val="clear" w:color="auto" w:fill="auto"/>
              </w:rPr>
              <w:t>21</w:t>
            </w:r>
            <w:r>
              <w:rPr>
                <w:rFonts w:hint="eastAsia" w:ascii="宋体" w:hAnsi="宋体"/>
                <w:color w:val="auto"/>
                <w:szCs w:val="22"/>
                <w:highlight w:val="none"/>
                <w:shd w:val="clear" w:color="auto" w:fill="auto"/>
              </w:rPr>
              <w:t>年</w:t>
            </w:r>
            <w:r>
              <w:rPr>
                <w:rFonts w:ascii="宋体" w:hAnsi="宋体"/>
                <w:color w:val="auto"/>
                <w:szCs w:val="22"/>
                <w:highlight w:val="none"/>
                <w:shd w:val="clear" w:color="auto" w:fill="auto"/>
              </w:rPr>
              <w:t>9</w:t>
            </w:r>
            <w:r>
              <w:rPr>
                <w:rFonts w:hint="eastAsia" w:ascii="宋体" w:hAnsi="宋体"/>
                <w:color w:val="auto"/>
                <w:szCs w:val="22"/>
                <w:highlight w:val="none"/>
                <w:shd w:val="clear" w:color="auto" w:fill="auto"/>
              </w:rPr>
              <w:t>月3</w:t>
            </w:r>
            <w:r>
              <w:rPr>
                <w:rFonts w:ascii="宋体" w:hAnsi="宋体"/>
                <w:color w:val="auto"/>
                <w:szCs w:val="22"/>
                <w:highlight w:val="none"/>
                <w:shd w:val="clear" w:color="auto" w:fill="auto"/>
              </w:rPr>
              <w:t>0</w:t>
            </w:r>
            <w:r>
              <w:rPr>
                <w:rFonts w:hint="eastAsia" w:ascii="宋体" w:hAnsi="宋体"/>
                <w:color w:val="auto"/>
                <w:szCs w:val="22"/>
                <w:highlight w:val="none"/>
                <w:shd w:val="clear" w:color="auto" w:fill="auto"/>
              </w:rPr>
              <w:t>日</w:t>
            </w:r>
          </w:p>
        </w:tc>
        <w:tc>
          <w:tcPr>
            <w:tcW w:w="1838" w:type="dxa"/>
            <w:vAlign w:val="center"/>
          </w:tcPr>
          <w:p>
            <w:pPr>
              <w:ind w:firstLine="0" w:firstLineChars="0"/>
              <w:jc w:val="center"/>
              <w:rPr>
                <w:rFonts w:ascii="宋体" w:hAnsi="宋体" w:cs="宋体"/>
                <w:color w:val="auto"/>
                <w:sz w:val="20"/>
                <w:szCs w:val="18"/>
                <w:highlight w:val="none"/>
                <w:shd w:val="clear" w:color="auto" w:fill="auto"/>
              </w:rPr>
            </w:pPr>
            <w:r>
              <w:rPr>
                <w:rFonts w:ascii="宋体" w:hAnsi="宋体" w:cs="宋体"/>
                <w:color w:val="auto"/>
                <w:sz w:val="20"/>
                <w:szCs w:val="18"/>
                <w:highlight w:val="none"/>
                <w:shd w:val="clear" w:color="auto" w:fill="auto"/>
              </w:rPr>
              <w:t>80,547,397.58</w:t>
            </w:r>
          </w:p>
        </w:tc>
        <w:tc>
          <w:tcPr>
            <w:tcW w:w="1679" w:type="dxa"/>
            <w:vAlign w:val="center"/>
          </w:tcPr>
          <w:p>
            <w:pPr>
              <w:ind w:firstLine="0" w:firstLineChars="0"/>
              <w:jc w:val="center"/>
              <w:rPr>
                <w:rFonts w:ascii="宋体" w:hAnsi="宋体" w:cs="宋体"/>
                <w:color w:val="auto"/>
                <w:sz w:val="20"/>
                <w:szCs w:val="18"/>
                <w:highlight w:val="none"/>
                <w:shd w:val="clear" w:color="auto" w:fill="auto"/>
              </w:rPr>
            </w:pPr>
            <w:r>
              <w:rPr>
                <w:rFonts w:ascii="宋体" w:hAnsi="宋体" w:cs="宋体"/>
                <w:color w:val="auto"/>
                <w:sz w:val="20"/>
                <w:szCs w:val="18"/>
                <w:highlight w:val="none"/>
                <w:shd w:val="clear" w:color="auto" w:fill="auto"/>
              </w:rPr>
              <w:t>23,967,802.61</w:t>
            </w:r>
          </w:p>
        </w:tc>
        <w:tc>
          <w:tcPr>
            <w:tcW w:w="1670" w:type="dxa"/>
            <w:gridSpan w:val="2"/>
            <w:vAlign w:val="center"/>
          </w:tcPr>
          <w:p>
            <w:pPr>
              <w:ind w:firstLine="0" w:firstLineChars="0"/>
              <w:jc w:val="center"/>
              <w:rPr>
                <w:rFonts w:ascii="宋体" w:hAnsi="宋体" w:cs="宋体"/>
                <w:color w:val="auto"/>
                <w:sz w:val="20"/>
                <w:szCs w:val="18"/>
                <w:highlight w:val="none"/>
                <w:shd w:val="clear" w:color="auto" w:fill="auto"/>
              </w:rPr>
            </w:pPr>
            <w:r>
              <w:rPr>
                <w:rFonts w:ascii="宋体" w:hAnsi="宋体" w:cs="宋体"/>
                <w:color w:val="auto"/>
                <w:sz w:val="20"/>
                <w:szCs w:val="18"/>
                <w:highlight w:val="none"/>
                <w:shd w:val="clear" w:color="auto" w:fill="auto"/>
              </w:rPr>
              <w:t>56,579,594.97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405" w:type="dxa"/>
            <w:vMerge w:val="continue"/>
            <w:shd w:val="clear" w:color="auto" w:fill="auto"/>
            <w:vAlign w:val="center"/>
          </w:tcPr>
          <w:p>
            <w:pPr>
              <w:ind w:firstLine="482" w:firstLineChars="0"/>
              <w:jc w:val="center"/>
              <w:rPr>
                <w:rFonts w:ascii="宋体" w:hAnsi="宋体"/>
                <w:b/>
                <w:color w:val="auto"/>
                <w:sz w:val="24"/>
                <w:szCs w:val="22"/>
                <w:highlight w:val="none"/>
                <w:shd w:val="clear" w:color="auto" w:fill="auto"/>
              </w:rPr>
            </w:pPr>
          </w:p>
        </w:tc>
        <w:tc>
          <w:tcPr>
            <w:tcW w:w="1606" w:type="dxa"/>
            <w:vMerge w:val="continue"/>
            <w:shd w:val="clear" w:color="auto" w:fill="auto"/>
            <w:vAlign w:val="center"/>
          </w:tcPr>
          <w:p>
            <w:pPr>
              <w:ind w:firstLine="0" w:firstLineChars="0"/>
              <w:jc w:val="center"/>
              <w:rPr>
                <w:rFonts w:ascii="宋体" w:hAnsi="宋体"/>
                <w:color w:val="auto"/>
                <w:sz w:val="24"/>
                <w:szCs w:val="22"/>
                <w:highlight w:val="none"/>
                <w:u w:val="single"/>
                <w:shd w:val="clear" w:color="auto" w:fill="auto"/>
              </w:rPr>
            </w:pPr>
          </w:p>
        </w:tc>
        <w:tc>
          <w:tcPr>
            <w:tcW w:w="1838" w:type="dxa"/>
            <w:shd w:val="clear" w:color="auto" w:fill="auto"/>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营业收入</w:t>
            </w:r>
          </w:p>
        </w:tc>
        <w:tc>
          <w:tcPr>
            <w:tcW w:w="1679" w:type="dxa"/>
            <w:shd w:val="clear" w:color="auto" w:fill="FFFFFF"/>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利润总额</w:t>
            </w:r>
          </w:p>
        </w:tc>
        <w:tc>
          <w:tcPr>
            <w:tcW w:w="1670" w:type="dxa"/>
            <w:gridSpan w:val="2"/>
            <w:shd w:val="clear" w:color="auto" w:fill="FFFFFF"/>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405" w:type="dxa"/>
            <w:vMerge w:val="continue"/>
            <w:shd w:val="clear" w:color="auto" w:fill="auto"/>
            <w:vAlign w:val="center"/>
          </w:tcPr>
          <w:p>
            <w:pPr>
              <w:ind w:firstLine="482" w:firstLineChars="0"/>
              <w:jc w:val="center"/>
              <w:rPr>
                <w:rFonts w:ascii="宋体" w:hAnsi="宋体"/>
                <w:b/>
                <w:color w:val="auto"/>
                <w:sz w:val="24"/>
                <w:szCs w:val="22"/>
                <w:highlight w:val="none"/>
                <w:shd w:val="clear" w:color="auto" w:fill="auto"/>
              </w:rPr>
            </w:pPr>
          </w:p>
        </w:tc>
        <w:tc>
          <w:tcPr>
            <w:tcW w:w="1606" w:type="dxa"/>
            <w:vMerge w:val="continue"/>
            <w:shd w:val="clear" w:color="auto" w:fill="auto"/>
            <w:vAlign w:val="center"/>
          </w:tcPr>
          <w:p>
            <w:pPr>
              <w:ind w:firstLine="0" w:firstLineChars="0"/>
              <w:jc w:val="center"/>
              <w:rPr>
                <w:rFonts w:ascii="宋体" w:hAnsi="宋体"/>
                <w:color w:val="auto"/>
                <w:sz w:val="24"/>
                <w:szCs w:val="22"/>
                <w:highlight w:val="none"/>
                <w:u w:val="single"/>
                <w:shd w:val="clear" w:color="auto" w:fill="auto"/>
              </w:rPr>
            </w:pPr>
          </w:p>
        </w:tc>
        <w:tc>
          <w:tcPr>
            <w:tcW w:w="1838" w:type="dxa"/>
            <w:shd w:val="clear" w:color="auto" w:fill="auto"/>
            <w:vAlign w:val="center"/>
          </w:tcPr>
          <w:p>
            <w:pPr>
              <w:ind w:firstLine="0" w:firstLineChars="0"/>
              <w:jc w:val="center"/>
              <w:rPr>
                <w:rFonts w:ascii="宋体" w:hAnsi="宋体" w:cs="宋体"/>
                <w:color w:val="auto"/>
                <w:sz w:val="20"/>
                <w:szCs w:val="18"/>
                <w:highlight w:val="none"/>
                <w:shd w:val="clear" w:color="auto" w:fill="auto"/>
              </w:rPr>
            </w:pPr>
            <w:r>
              <w:rPr>
                <w:rFonts w:ascii="宋体" w:hAnsi="宋体" w:cs="宋体"/>
                <w:color w:val="auto"/>
                <w:sz w:val="20"/>
                <w:szCs w:val="18"/>
                <w:highlight w:val="none"/>
                <w:shd w:val="clear" w:color="auto" w:fill="auto"/>
              </w:rPr>
              <w:t>1,327,981.95</w:t>
            </w:r>
          </w:p>
        </w:tc>
        <w:tc>
          <w:tcPr>
            <w:tcW w:w="1679" w:type="dxa"/>
            <w:shd w:val="clear" w:color="auto" w:fill="FFFFFF"/>
          </w:tcPr>
          <w:p>
            <w:pPr>
              <w:ind w:firstLine="0" w:firstLineChars="0"/>
              <w:jc w:val="center"/>
              <w:rPr>
                <w:rFonts w:ascii="宋体" w:hAnsi="宋体" w:cs="宋体"/>
                <w:color w:val="auto"/>
                <w:sz w:val="20"/>
                <w:szCs w:val="18"/>
                <w:highlight w:val="none"/>
                <w:shd w:val="clear" w:color="auto" w:fill="auto"/>
              </w:rPr>
            </w:pPr>
            <w:r>
              <w:rPr>
                <w:rFonts w:ascii="宋体" w:hAnsi="宋体" w:cs="宋体"/>
                <w:color w:val="auto"/>
                <w:sz w:val="20"/>
                <w:szCs w:val="18"/>
                <w:highlight w:val="none"/>
                <w:shd w:val="clear" w:color="auto" w:fill="auto"/>
              </w:rPr>
              <w:t>-14,146,048.39</w:t>
            </w:r>
          </w:p>
        </w:tc>
        <w:tc>
          <w:tcPr>
            <w:tcW w:w="1670" w:type="dxa"/>
            <w:gridSpan w:val="2"/>
            <w:shd w:val="clear" w:color="auto" w:fill="FFFFFF"/>
          </w:tcPr>
          <w:p>
            <w:pPr>
              <w:ind w:firstLine="0" w:firstLineChars="0"/>
              <w:jc w:val="center"/>
              <w:rPr>
                <w:rFonts w:ascii="宋体" w:hAnsi="宋体" w:cs="宋体"/>
                <w:color w:val="auto"/>
                <w:sz w:val="20"/>
                <w:szCs w:val="18"/>
                <w:highlight w:val="none"/>
                <w:shd w:val="clear" w:color="auto" w:fill="auto"/>
              </w:rPr>
            </w:pPr>
            <w:r>
              <w:rPr>
                <w:rFonts w:ascii="宋体" w:hAnsi="宋体" w:cs="宋体"/>
                <w:color w:val="auto"/>
                <w:sz w:val="20"/>
                <w:szCs w:val="18"/>
                <w:highlight w:val="none"/>
                <w:shd w:val="clear" w:color="auto" w:fill="auto"/>
              </w:rPr>
              <w:t>-14,146,048.39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cantSplit/>
          <w:trHeight w:val="429" w:hRule="exact"/>
          <w:jc w:val="center"/>
        </w:trPr>
        <w:tc>
          <w:tcPr>
            <w:tcW w:w="2405" w:type="dxa"/>
            <w:vMerge w:val="continue"/>
            <w:shd w:val="clear" w:color="auto" w:fill="auto"/>
            <w:vAlign w:val="center"/>
          </w:tcPr>
          <w:p>
            <w:pPr>
              <w:ind w:firstLine="482" w:firstLineChars="0"/>
              <w:jc w:val="center"/>
              <w:rPr>
                <w:rFonts w:ascii="宋体" w:hAnsi="宋体"/>
                <w:b/>
                <w:color w:val="auto"/>
                <w:sz w:val="24"/>
                <w:szCs w:val="22"/>
                <w:highlight w:val="none"/>
                <w:shd w:val="clear" w:color="auto" w:fill="auto"/>
              </w:rPr>
            </w:pPr>
          </w:p>
        </w:tc>
        <w:tc>
          <w:tcPr>
            <w:tcW w:w="1606" w:type="dxa"/>
            <w:shd w:val="clear" w:color="auto" w:fill="auto"/>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审计机构</w:t>
            </w:r>
          </w:p>
        </w:tc>
        <w:tc>
          <w:tcPr>
            <w:tcW w:w="5168" w:type="dxa"/>
            <w:gridSpan w:val="3"/>
            <w:shd w:val="clear" w:color="auto" w:fill="FFFFFF"/>
            <w:vAlign w:val="center"/>
          </w:tcPr>
          <w:p>
            <w:pPr>
              <w:ind w:firstLine="0" w:firstLineChars="0"/>
              <w:jc w:val="center"/>
              <w:rPr>
                <w:rFonts w:ascii="宋体" w:hAnsi="宋体"/>
                <w:color w:val="auto"/>
                <w:sz w:val="24"/>
                <w:szCs w:val="22"/>
                <w:highlight w:val="none"/>
                <w:shd w:val="clear" w:color="auto" w:fill="auto"/>
              </w:rPr>
            </w:pPr>
            <w:r>
              <w:rPr>
                <w:rFonts w:hint="eastAsia" w:ascii="宋体" w:hAnsi="宋体"/>
                <w:color w:val="auto"/>
                <w:sz w:val="24"/>
                <w:szCs w:val="22"/>
                <w:highlight w:val="none"/>
                <w:shd w:val="clear" w:color="auto" w:fill="auto"/>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 w:type="dxa"/>
          <w:cantSplit/>
          <w:trHeight w:val="429" w:hRule="exact"/>
          <w:jc w:val="center"/>
        </w:trPr>
        <w:tc>
          <w:tcPr>
            <w:tcW w:w="2405" w:type="dxa"/>
            <w:vMerge w:val="continue"/>
            <w:shd w:val="clear" w:color="auto" w:fill="auto"/>
            <w:vAlign w:val="center"/>
          </w:tcPr>
          <w:p>
            <w:pPr>
              <w:ind w:firstLine="482" w:firstLineChars="0"/>
              <w:jc w:val="center"/>
              <w:rPr>
                <w:rFonts w:ascii="宋体" w:hAnsi="宋体"/>
                <w:b/>
                <w:color w:val="auto"/>
                <w:sz w:val="24"/>
                <w:szCs w:val="22"/>
                <w:highlight w:val="none"/>
                <w:shd w:val="clear" w:color="auto" w:fill="auto"/>
              </w:rPr>
            </w:pPr>
          </w:p>
        </w:tc>
        <w:tc>
          <w:tcPr>
            <w:tcW w:w="6774" w:type="dxa"/>
            <w:gridSpan w:val="4"/>
            <w:shd w:val="clear" w:color="auto" w:fill="FFFFFF"/>
            <w:vAlign w:val="center"/>
          </w:tcPr>
          <w:p>
            <w:pPr>
              <w:ind w:firstLine="0" w:firstLineChars="0"/>
              <w:jc w:val="center"/>
              <w:rPr>
                <w:rFonts w:ascii="宋体" w:hAnsi="宋体"/>
                <w:color w:val="auto"/>
                <w:sz w:val="24"/>
                <w:szCs w:val="22"/>
                <w:highlight w:val="none"/>
                <w:shd w:val="clear" w:color="auto" w:fill="auto"/>
              </w:rPr>
            </w:pPr>
            <w:r>
              <w:rPr>
                <w:rFonts w:hint="eastAsia" w:ascii="宋体" w:hAnsi="宋体"/>
                <w:color w:val="auto"/>
                <w:sz w:val="24"/>
                <w:szCs w:val="22"/>
                <w:highlight w:val="none"/>
                <w:shd w:val="clear" w:color="auto" w:fill="auto"/>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405" w:type="dxa"/>
            <w:vMerge w:val="continue"/>
            <w:shd w:val="clear" w:color="auto" w:fill="auto"/>
            <w:vAlign w:val="center"/>
          </w:tcPr>
          <w:p>
            <w:pPr>
              <w:ind w:firstLine="480" w:firstLineChars="0"/>
              <w:jc w:val="center"/>
              <w:rPr>
                <w:rFonts w:ascii="宋体" w:hAnsi="宋体"/>
                <w:color w:val="auto"/>
                <w:sz w:val="24"/>
                <w:szCs w:val="22"/>
                <w:highlight w:val="none"/>
                <w:shd w:val="clear" w:color="auto" w:fill="auto"/>
              </w:rPr>
            </w:pPr>
          </w:p>
        </w:tc>
        <w:tc>
          <w:tcPr>
            <w:tcW w:w="1606" w:type="dxa"/>
            <w:shd w:val="clear" w:color="auto" w:fill="auto"/>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报表日期</w:t>
            </w:r>
          </w:p>
        </w:tc>
        <w:tc>
          <w:tcPr>
            <w:tcW w:w="1838" w:type="dxa"/>
            <w:shd w:val="clear" w:color="auto" w:fill="auto"/>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资产总计</w:t>
            </w:r>
          </w:p>
        </w:tc>
        <w:tc>
          <w:tcPr>
            <w:tcW w:w="1679" w:type="dxa"/>
            <w:shd w:val="clear" w:color="auto" w:fill="FFFFFF"/>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负债总计</w:t>
            </w:r>
          </w:p>
        </w:tc>
        <w:tc>
          <w:tcPr>
            <w:tcW w:w="1670" w:type="dxa"/>
            <w:gridSpan w:val="2"/>
            <w:shd w:val="clear" w:color="auto" w:fill="FFFFFF"/>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exact"/>
          <w:jc w:val="center"/>
        </w:trPr>
        <w:tc>
          <w:tcPr>
            <w:tcW w:w="2405" w:type="dxa"/>
            <w:vMerge w:val="continue"/>
            <w:shd w:val="clear" w:color="auto" w:fill="auto"/>
            <w:vAlign w:val="center"/>
          </w:tcPr>
          <w:p>
            <w:pPr>
              <w:ind w:firstLine="480" w:firstLineChars="0"/>
              <w:rPr>
                <w:rFonts w:ascii="宋体" w:hAnsi="宋体"/>
                <w:color w:val="auto"/>
                <w:sz w:val="24"/>
                <w:szCs w:val="22"/>
                <w:highlight w:val="none"/>
                <w:shd w:val="clear" w:color="auto" w:fill="auto"/>
              </w:rPr>
            </w:pPr>
          </w:p>
        </w:tc>
        <w:tc>
          <w:tcPr>
            <w:tcW w:w="1606" w:type="dxa"/>
            <w:shd w:val="clear" w:color="auto" w:fill="auto"/>
            <w:vAlign w:val="center"/>
          </w:tcPr>
          <w:p>
            <w:pPr>
              <w:ind w:firstLine="0" w:firstLineChars="0"/>
              <w:jc w:val="center"/>
              <w:rPr>
                <w:rFonts w:ascii="宋体" w:hAnsi="宋体"/>
                <w:color w:val="auto"/>
                <w:sz w:val="24"/>
                <w:szCs w:val="22"/>
                <w:highlight w:val="none"/>
                <w:shd w:val="clear" w:color="auto" w:fill="auto"/>
              </w:rPr>
            </w:pPr>
            <w:r>
              <w:rPr>
                <w:rFonts w:hint="eastAsia" w:ascii="宋体" w:hAnsi="宋体"/>
                <w:color w:val="auto"/>
                <w:szCs w:val="22"/>
                <w:highlight w:val="none"/>
                <w:shd w:val="clear" w:color="auto" w:fill="auto"/>
              </w:rPr>
              <w:t>20</w:t>
            </w:r>
            <w:r>
              <w:rPr>
                <w:rFonts w:ascii="宋体" w:hAnsi="宋体"/>
                <w:color w:val="auto"/>
                <w:szCs w:val="22"/>
                <w:highlight w:val="none"/>
                <w:shd w:val="clear" w:color="auto" w:fill="auto"/>
              </w:rPr>
              <w:t>21</w:t>
            </w:r>
            <w:r>
              <w:rPr>
                <w:rFonts w:hint="eastAsia" w:ascii="宋体" w:hAnsi="宋体"/>
                <w:color w:val="auto"/>
                <w:szCs w:val="22"/>
                <w:highlight w:val="none"/>
                <w:shd w:val="clear" w:color="auto" w:fill="auto"/>
              </w:rPr>
              <w:t>年</w:t>
            </w:r>
            <w:r>
              <w:rPr>
                <w:rFonts w:ascii="宋体" w:hAnsi="宋体"/>
                <w:color w:val="auto"/>
                <w:szCs w:val="22"/>
                <w:highlight w:val="none"/>
                <w:shd w:val="clear" w:color="auto" w:fill="auto"/>
              </w:rPr>
              <w:t>9</w:t>
            </w:r>
            <w:r>
              <w:rPr>
                <w:rFonts w:hint="eastAsia" w:ascii="宋体" w:hAnsi="宋体"/>
                <w:color w:val="auto"/>
                <w:szCs w:val="22"/>
                <w:highlight w:val="none"/>
                <w:shd w:val="clear" w:color="auto" w:fill="auto"/>
              </w:rPr>
              <w:t>月30日</w:t>
            </w:r>
          </w:p>
        </w:tc>
        <w:tc>
          <w:tcPr>
            <w:tcW w:w="1838" w:type="dxa"/>
            <w:shd w:val="clear" w:color="auto" w:fill="auto"/>
            <w:vAlign w:val="center"/>
          </w:tcPr>
          <w:p>
            <w:pPr>
              <w:ind w:firstLine="0" w:firstLineChars="0"/>
              <w:jc w:val="center"/>
              <w:rPr>
                <w:rFonts w:ascii="宋体" w:hAnsi="宋体"/>
                <w:color w:val="auto"/>
                <w:sz w:val="24"/>
                <w:szCs w:val="22"/>
                <w:highlight w:val="none"/>
                <w:shd w:val="clear" w:color="auto" w:fill="auto"/>
              </w:rPr>
            </w:pPr>
            <w:r>
              <w:rPr>
                <w:rFonts w:ascii="宋体" w:hAnsi="宋体" w:cs="宋体"/>
                <w:color w:val="auto"/>
                <w:sz w:val="20"/>
                <w:szCs w:val="18"/>
                <w:highlight w:val="none"/>
                <w:shd w:val="clear" w:color="auto" w:fill="auto"/>
              </w:rPr>
              <w:t>80,547,397.58</w:t>
            </w:r>
          </w:p>
        </w:tc>
        <w:tc>
          <w:tcPr>
            <w:tcW w:w="1679" w:type="dxa"/>
            <w:shd w:val="clear" w:color="auto" w:fill="FFFFFF"/>
            <w:vAlign w:val="center"/>
          </w:tcPr>
          <w:p>
            <w:pPr>
              <w:ind w:firstLine="0" w:firstLineChars="0"/>
              <w:jc w:val="center"/>
              <w:rPr>
                <w:rFonts w:ascii="宋体" w:hAnsi="宋体"/>
                <w:color w:val="auto"/>
                <w:sz w:val="24"/>
                <w:szCs w:val="22"/>
                <w:highlight w:val="none"/>
                <w:shd w:val="clear" w:color="auto" w:fill="auto"/>
              </w:rPr>
            </w:pPr>
            <w:r>
              <w:rPr>
                <w:rFonts w:ascii="宋体" w:hAnsi="宋体" w:cs="宋体"/>
                <w:color w:val="auto"/>
                <w:sz w:val="20"/>
                <w:szCs w:val="18"/>
                <w:highlight w:val="none"/>
                <w:shd w:val="clear" w:color="auto" w:fill="auto"/>
              </w:rPr>
              <w:t>23,967,802.61</w:t>
            </w:r>
          </w:p>
        </w:tc>
        <w:tc>
          <w:tcPr>
            <w:tcW w:w="1670" w:type="dxa"/>
            <w:gridSpan w:val="2"/>
            <w:shd w:val="clear" w:color="auto" w:fill="FFFFFF"/>
            <w:vAlign w:val="center"/>
          </w:tcPr>
          <w:p>
            <w:pPr>
              <w:ind w:firstLine="0" w:firstLineChars="0"/>
              <w:jc w:val="center"/>
              <w:rPr>
                <w:rFonts w:ascii="宋体" w:hAnsi="宋体"/>
                <w:color w:val="auto"/>
                <w:sz w:val="24"/>
                <w:szCs w:val="22"/>
                <w:highlight w:val="none"/>
                <w:shd w:val="clear" w:color="auto" w:fill="auto"/>
              </w:rPr>
            </w:pPr>
            <w:r>
              <w:rPr>
                <w:rFonts w:ascii="宋体" w:hAnsi="宋体" w:cs="宋体"/>
                <w:color w:val="auto"/>
                <w:sz w:val="20"/>
                <w:szCs w:val="18"/>
                <w:highlight w:val="none"/>
                <w:shd w:val="clear" w:color="auto" w:fill="auto"/>
              </w:rPr>
              <w:t>56,579,594.97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405" w:type="dxa"/>
            <w:vMerge w:val="continue"/>
            <w:shd w:val="clear" w:color="auto" w:fill="auto"/>
            <w:vAlign w:val="center"/>
          </w:tcPr>
          <w:p>
            <w:pPr>
              <w:ind w:firstLine="480" w:firstLineChars="0"/>
              <w:rPr>
                <w:rFonts w:ascii="宋体" w:hAnsi="宋体"/>
                <w:color w:val="auto"/>
                <w:sz w:val="24"/>
                <w:szCs w:val="22"/>
                <w:highlight w:val="none"/>
                <w:shd w:val="clear" w:color="auto" w:fill="auto"/>
              </w:rPr>
            </w:pPr>
          </w:p>
        </w:tc>
        <w:tc>
          <w:tcPr>
            <w:tcW w:w="1606" w:type="dxa"/>
            <w:shd w:val="clear" w:color="auto" w:fill="auto"/>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报表类型</w:t>
            </w:r>
          </w:p>
        </w:tc>
        <w:tc>
          <w:tcPr>
            <w:tcW w:w="1838" w:type="dxa"/>
            <w:shd w:val="clear" w:color="auto" w:fill="auto"/>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营业收入</w:t>
            </w:r>
          </w:p>
        </w:tc>
        <w:tc>
          <w:tcPr>
            <w:tcW w:w="1679" w:type="dxa"/>
            <w:shd w:val="clear" w:color="auto" w:fill="FFFFFF"/>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利润总额</w:t>
            </w:r>
          </w:p>
        </w:tc>
        <w:tc>
          <w:tcPr>
            <w:tcW w:w="1670" w:type="dxa"/>
            <w:gridSpan w:val="2"/>
            <w:shd w:val="clear" w:color="auto" w:fill="FFFFFF"/>
            <w:vAlign w:val="center"/>
          </w:tcPr>
          <w:p>
            <w:pPr>
              <w:ind w:firstLine="0" w:firstLineChars="0"/>
              <w:jc w:val="center"/>
              <w:rPr>
                <w:rFonts w:ascii="宋体" w:hAnsi="宋体"/>
                <w:b/>
                <w:color w:val="auto"/>
                <w:sz w:val="24"/>
                <w:szCs w:val="22"/>
                <w:highlight w:val="none"/>
                <w:shd w:val="clear" w:color="auto" w:fill="auto"/>
              </w:rPr>
            </w:pPr>
            <w:r>
              <w:rPr>
                <w:rFonts w:hint="eastAsia" w:ascii="宋体" w:hAnsi="宋体"/>
                <w:b/>
                <w:color w:val="auto"/>
                <w:sz w:val="24"/>
                <w:szCs w:val="22"/>
                <w:highlight w:val="none"/>
                <w:shd w:val="clear" w:color="auto" w:fill="auto"/>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9" w:hRule="exact"/>
          <w:jc w:val="center"/>
        </w:trPr>
        <w:tc>
          <w:tcPr>
            <w:tcW w:w="2405" w:type="dxa"/>
            <w:vMerge w:val="continue"/>
            <w:shd w:val="clear" w:color="auto" w:fill="auto"/>
            <w:vAlign w:val="center"/>
          </w:tcPr>
          <w:p>
            <w:pPr>
              <w:ind w:firstLine="480" w:firstLineChars="0"/>
              <w:rPr>
                <w:rFonts w:ascii="宋体" w:hAnsi="宋体"/>
                <w:color w:val="auto"/>
                <w:sz w:val="24"/>
                <w:szCs w:val="22"/>
                <w:highlight w:val="none"/>
                <w:shd w:val="clear" w:color="auto" w:fill="auto"/>
              </w:rPr>
            </w:pPr>
          </w:p>
        </w:tc>
        <w:tc>
          <w:tcPr>
            <w:tcW w:w="1606" w:type="dxa"/>
            <w:shd w:val="clear" w:color="auto" w:fill="auto"/>
            <w:vAlign w:val="center"/>
          </w:tcPr>
          <w:p>
            <w:pPr>
              <w:ind w:firstLine="0" w:firstLineChars="0"/>
              <w:jc w:val="center"/>
              <w:rPr>
                <w:rFonts w:ascii="宋体" w:hAnsi="宋体"/>
                <w:color w:val="auto"/>
                <w:sz w:val="24"/>
                <w:szCs w:val="22"/>
                <w:highlight w:val="none"/>
                <w:shd w:val="clear" w:color="auto" w:fill="auto"/>
              </w:rPr>
            </w:pPr>
          </w:p>
        </w:tc>
        <w:tc>
          <w:tcPr>
            <w:tcW w:w="1838" w:type="dxa"/>
            <w:shd w:val="clear" w:color="auto" w:fill="auto"/>
            <w:vAlign w:val="center"/>
          </w:tcPr>
          <w:p>
            <w:pPr>
              <w:ind w:firstLine="0" w:firstLineChars="0"/>
              <w:jc w:val="center"/>
              <w:rPr>
                <w:rFonts w:ascii="宋体" w:hAnsi="宋体"/>
                <w:color w:val="auto"/>
                <w:sz w:val="24"/>
                <w:szCs w:val="22"/>
                <w:highlight w:val="none"/>
                <w:shd w:val="clear" w:color="auto" w:fill="auto"/>
              </w:rPr>
            </w:pPr>
            <w:r>
              <w:rPr>
                <w:rFonts w:ascii="宋体" w:hAnsi="宋体" w:cs="宋体"/>
                <w:color w:val="auto"/>
                <w:sz w:val="20"/>
                <w:szCs w:val="18"/>
                <w:highlight w:val="none"/>
                <w:shd w:val="clear" w:color="auto" w:fill="auto"/>
              </w:rPr>
              <w:t>1,327,981.95</w:t>
            </w:r>
          </w:p>
        </w:tc>
        <w:tc>
          <w:tcPr>
            <w:tcW w:w="1679" w:type="dxa"/>
            <w:shd w:val="clear" w:color="auto" w:fill="FFFFFF"/>
          </w:tcPr>
          <w:p>
            <w:pPr>
              <w:ind w:firstLine="0" w:firstLineChars="0"/>
              <w:jc w:val="center"/>
              <w:rPr>
                <w:rFonts w:ascii="宋体" w:hAnsi="宋体"/>
                <w:color w:val="auto"/>
                <w:sz w:val="24"/>
                <w:szCs w:val="22"/>
                <w:highlight w:val="none"/>
                <w:shd w:val="clear" w:color="auto" w:fill="auto"/>
              </w:rPr>
            </w:pPr>
            <w:r>
              <w:rPr>
                <w:rFonts w:ascii="宋体" w:hAnsi="宋体" w:cs="宋体"/>
                <w:color w:val="auto"/>
                <w:sz w:val="20"/>
                <w:szCs w:val="18"/>
                <w:highlight w:val="none"/>
                <w:shd w:val="clear" w:color="auto" w:fill="auto"/>
              </w:rPr>
              <w:t>-14,146,048.39</w:t>
            </w:r>
          </w:p>
        </w:tc>
        <w:tc>
          <w:tcPr>
            <w:tcW w:w="1670" w:type="dxa"/>
            <w:gridSpan w:val="2"/>
            <w:shd w:val="clear" w:color="auto" w:fill="FFFFFF"/>
          </w:tcPr>
          <w:p>
            <w:pPr>
              <w:ind w:firstLine="0" w:firstLineChars="0"/>
              <w:jc w:val="center"/>
              <w:rPr>
                <w:rFonts w:ascii="宋体" w:hAnsi="宋体"/>
                <w:color w:val="auto"/>
                <w:sz w:val="24"/>
                <w:szCs w:val="22"/>
                <w:highlight w:val="none"/>
                <w:shd w:val="clear" w:color="auto" w:fill="auto"/>
              </w:rPr>
            </w:pPr>
            <w:r>
              <w:rPr>
                <w:rFonts w:ascii="宋体" w:hAnsi="宋体" w:cs="宋体"/>
                <w:color w:val="auto"/>
                <w:sz w:val="20"/>
                <w:szCs w:val="18"/>
                <w:highlight w:val="none"/>
                <w:shd w:val="clear" w:color="auto" w:fill="auto"/>
              </w:rPr>
              <w:t>-14,146,048.39</w:t>
            </w:r>
          </w:p>
        </w:tc>
      </w:tr>
    </w:tbl>
    <w:p>
      <w:pPr>
        <w:ind w:firstLine="0" w:firstLineChars="0"/>
        <w:rPr>
          <w:rFonts w:ascii="宋体" w:hAnsi="宋体" w:cs="宋体"/>
          <w:color w:val="auto"/>
          <w:szCs w:val="21"/>
          <w:highlight w:val="none"/>
          <w:shd w:val="clear" w:color="auto" w:fill="auto"/>
        </w:rPr>
      </w:pPr>
    </w:p>
    <w:tbl>
      <w:tblPr>
        <w:tblStyle w:val="17"/>
        <w:tblW w:w="9029" w:type="dxa"/>
        <w:tblInd w:w="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029" w:type="dxa"/>
          </w:tcPr>
          <w:p>
            <w:pPr>
              <w:ind w:firstLine="420"/>
              <w:jc w:val="center"/>
              <w:rPr>
                <w:rFonts w:ascii="宋体" w:hAnsi="宋体" w:cs="宋体"/>
                <w:color w:val="auto"/>
                <w:highlight w:val="none"/>
                <w:shd w:val="clear" w:color="auto" w:fill="auto"/>
              </w:rPr>
            </w:pPr>
            <w:bookmarkStart w:id="37" w:name="待定11"/>
            <w:r>
              <w:rPr>
                <w:rFonts w:hint="eastAsia" w:ascii="宋体" w:hAnsi="宋体" w:cs="宋体"/>
                <w:color w:val="auto"/>
                <w:highlight w:val="none"/>
                <w:shd w:val="clear" w:color="auto" w:fill="auto"/>
              </w:rPr>
              <w:t>产权转让行为的内部决策及批准情况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trPr>
        <w:tc>
          <w:tcPr>
            <w:tcW w:w="9029" w:type="dxa"/>
          </w:tcPr>
          <w:p>
            <w:pPr>
              <w:ind w:left="1365" w:hanging="1365" w:hangingChars="650"/>
              <w:rPr>
                <w:rFonts w:ascii="宋体" w:hAnsi="宋体" w:cs="宋体"/>
                <w:color w:val="auto"/>
                <w:highlight w:val="none"/>
                <w:shd w:val="clear" w:color="auto" w:fill="auto"/>
              </w:rPr>
            </w:pPr>
            <w:r>
              <w:rPr>
                <w:rFonts w:hint="eastAsia" w:ascii="宋体" w:hAnsi="宋体" w:cs="宋体"/>
                <w:color w:val="auto"/>
                <w:highlight w:val="none"/>
                <w:shd w:val="clear" w:color="auto" w:fill="auto"/>
              </w:rPr>
              <w:t>出资监管单位名称：台州市椒江区人民政府国有资产监督管理办公室</w:t>
            </w:r>
          </w:p>
          <w:p>
            <w:pPr>
              <w:ind w:left="1365" w:hanging="1365" w:hangingChars="650"/>
              <w:rPr>
                <w:rFonts w:ascii="宋体" w:hAnsi="宋体" w:cs="宋体"/>
                <w:color w:val="auto"/>
                <w:highlight w:val="none"/>
                <w:shd w:val="clear" w:color="auto" w:fill="auto"/>
              </w:rPr>
            </w:pPr>
            <w:r>
              <w:rPr>
                <w:rFonts w:hint="eastAsia" w:ascii="宋体" w:hAnsi="宋体" w:cs="宋体"/>
                <w:color w:val="auto"/>
                <w:highlight w:val="none"/>
                <w:shd w:val="clear" w:color="auto" w:fill="auto"/>
              </w:rPr>
              <w:t>批复文件号：椒国资办[2022]13号</w:t>
            </w:r>
          </w:p>
          <w:p>
            <w:pPr>
              <w:ind w:left="1365" w:hanging="1365" w:hangingChars="650"/>
              <w:rPr>
                <w:rFonts w:ascii="宋体" w:hAnsi="宋体" w:cs="宋体"/>
                <w:color w:val="auto"/>
                <w:highlight w:val="none"/>
                <w:shd w:val="clear" w:color="auto" w:fill="auto"/>
              </w:rPr>
            </w:pPr>
            <w:r>
              <w:rPr>
                <w:rFonts w:hint="eastAsia" w:ascii="宋体" w:hAnsi="宋体" w:cs="宋体"/>
                <w:color w:val="auto"/>
                <w:highlight w:val="none"/>
                <w:shd w:val="clear" w:color="auto" w:fill="auto"/>
              </w:rPr>
              <w:t>批复主要内容：同意公开挂牌转让及增资。</w:t>
            </w:r>
          </w:p>
          <w:p>
            <w:pPr>
              <w:ind w:left="1365" w:hanging="1365" w:hangingChars="650"/>
              <w:rPr>
                <w:rFonts w:ascii="宋体" w:hAnsi="宋体" w:cs="宋体"/>
                <w:color w:val="auto"/>
                <w:highlight w:val="none"/>
                <w:shd w:val="clear" w:color="auto" w:fill="auto"/>
              </w:rPr>
            </w:pPr>
            <w:r>
              <w:rPr>
                <w:rFonts w:hint="eastAsia" w:ascii="宋体" w:hAnsi="宋体" w:cs="宋体"/>
                <w:color w:val="auto"/>
                <w:highlight w:val="none"/>
                <w:shd w:val="clear" w:color="auto" w:fill="auto"/>
              </w:rPr>
              <w:t>内部决策文件：海正药业第八届董事会第三十九次会议。</w:t>
            </w:r>
          </w:p>
          <w:p>
            <w:pPr>
              <w:ind w:left="1365" w:hanging="1365" w:hangingChars="650"/>
              <w:rPr>
                <w:rFonts w:ascii="宋体" w:hAnsi="宋体" w:cs="宋体"/>
                <w:color w:val="auto"/>
                <w:highlight w:val="none"/>
                <w:shd w:val="clear" w:color="auto" w:fill="auto"/>
              </w:rPr>
            </w:pPr>
            <w:r>
              <w:rPr>
                <w:rFonts w:hint="eastAsia" w:ascii="宋体" w:hAnsi="宋体" w:cs="宋体"/>
                <w:color w:val="auto"/>
                <w:highlight w:val="none"/>
                <w:shd w:val="clear" w:color="auto" w:fill="auto"/>
              </w:rPr>
              <w:t>内部决策文件主要内容：同意公开转让及增资。</w:t>
            </w:r>
          </w:p>
        </w:tc>
      </w:tr>
      <w:bookmarkEnd w:id="37"/>
    </w:tbl>
    <w:p>
      <w:pPr>
        <w:ind w:firstLine="422"/>
        <w:rPr>
          <w:rFonts w:ascii="宋体" w:hAnsi="宋体" w:cs="宋体"/>
          <w:b/>
          <w:color w:val="auto"/>
          <w:szCs w:val="21"/>
          <w:highlight w:val="none"/>
          <w:shd w:val="clear" w:color="auto" w:fill="auto"/>
        </w:rPr>
      </w:pPr>
    </w:p>
    <w:tbl>
      <w:tblPr>
        <w:tblStyle w:val="17"/>
        <w:tblW w:w="9140"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9"/>
        <w:gridCol w:w="3501"/>
        <w:gridCol w:w="4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289" w:type="dxa"/>
            <w:vMerge w:val="restart"/>
            <w:vAlign w:val="center"/>
          </w:tcPr>
          <w:p>
            <w:pPr>
              <w:ind w:firstLine="0" w:firstLineChars="0"/>
              <w:jc w:val="center"/>
              <w:rPr>
                <w:rFonts w:ascii="宋体" w:hAnsi="宋体" w:cs="宋体"/>
                <w:b/>
                <w:color w:val="auto"/>
                <w:szCs w:val="21"/>
                <w:highlight w:val="none"/>
                <w:shd w:val="clear" w:color="auto" w:fill="auto"/>
              </w:rPr>
            </w:pPr>
            <w:r>
              <w:rPr>
                <w:rFonts w:hint="eastAsia" w:ascii="宋体" w:hAnsi="宋体" w:cs="宋体"/>
                <w:b/>
                <w:color w:val="auto"/>
                <w:szCs w:val="21"/>
                <w:highlight w:val="none"/>
                <w:shd w:val="clear" w:color="auto" w:fill="auto"/>
              </w:rPr>
              <w:t>中介机构</w:t>
            </w:r>
          </w:p>
        </w:tc>
        <w:tc>
          <w:tcPr>
            <w:tcW w:w="3501" w:type="dxa"/>
            <w:vAlign w:val="center"/>
          </w:tcPr>
          <w:p>
            <w:pPr>
              <w:ind w:firstLine="422"/>
              <w:jc w:val="center"/>
              <w:rPr>
                <w:rFonts w:ascii="宋体" w:hAnsi="宋体" w:cs="宋体"/>
                <w:b/>
                <w:color w:val="auto"/>
                <w:szCs w:val="21"/>
                <w:highlight w:val="none"/>
                <w:shd w:val="clear" w:color="auto" w:fill="auto"/>
              </w:rPr>
            </w:pPr>
            <w:r>
              <w:rPr>
                <w:rFonts w:hint="eastAsia" w:ascii="宋体" w:hAnsi="宋体" w:cs="宋体"/>
                <w:b/>
                <w:color w:val="auto"/>
                <w:szCs w:val="21"/>
                <w:highlight w:val="none"/>
                <w:shd w:val="clear" w:color="auto" w:fill="auto"/>
              </w:rPr>
              <w:t>律 师 事 务 所</w:t>
            </w:r>
          </w:p>
        </w:tc>
        <w:tc>
          <w:tcPr>
            <w:tcW w:w="4350" w:type="dxa"/>
            <w:vAlign w:val="center"/>
          </w:tcPr>
          <w:p>
            <w:pPr>
              <w:ind w:firstLine="420"/>
              <w:jc w:val="center"/>
              <w:rPr>
                <w:rFonts w:ascii="仿宋_GB2312" w:eastAsia="仿宋_GB2312"/>
                <w:b/>
                <w:color w:val="auto"/>
                <w:sz w:val="24"/>
                <w:highlight w:val="none"/>
                <w:shd w:val="clear" w:color="auto" w:fill="auto"/>
              </w:rPr>
            </w:pPr>
            <w:r>
              <w:rPr>
                <w:rFonts w:hint="eastAsia" w:ascii="宋体" w:hAnsi="宋体" w:cs="宋体"/>
                <w:color w:val="auto"/>
                <w:szCs w:val="21"/>
                <w:highlight w:val="none"/>
                <w:shd w:val="clear" w:color="auto" w:fill="auto"/>
              </w:rPr>
              <w:t>北京德恒（杭州）律师事务所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289" w:type="dxa"/>
            <w:vMerge w:val="continue"/>
            <w:vAlign w:val="center"/>
          </w:tcPr>
          <w:p>
            <w:pPr>
              <w:ind w:firstLine="422"/>
              <w:jc w:val="center"/>
              <w:rPr>
                <w:rFonts w:ascii="宋体" w:hAnsi="宋体" w:cs="宋体"/>
                <w:b/>
                <w:color w:val="auto"/>
                <w:szCs w:val="21"/>
                <w:highlight w:val="none"/>
                <w:shd w:val="clear" w:color="auto" w:fill="auto"/>
              </w:rPr>
            </w:pPr>
          </w:p>
        </w:tc>
        <w:tc>
          <w:tcPr>
            <w:tcW w:w="3501" w:type="dxa"/>
            <w:vAlign w:val="center"/>
          </w:tcPr>
          <w:p>
            <w:pPr>
              <w:ind w:firstLine="422"/>
              <w:jc w:val="center"/>
              <w:rPr>
                <w:rFonts w:ascii="宋体" w:hAnsi="宋体" w:cs="宋体"/>
                <w:b/>
                <w:color w:val="auto"/>
                <w:szCs w:val="21"/>
                <w:highlight w:val="none"/>
                <w:shd w:val="clear" w:color="auto" w:fill="auto"/>
              </w:rPr>
            </w:pPr>
            <w:r>
              <w:rPr>
                <w:rFonts w:hint="eastAsia" w:ascii="宋体" w:hAnsi="宋体" w:cs="宋体"/>
                <w:b/>
                <w:color w:val="auto"/>
                <w:szCs w:val="21"/>
                <w:highlight w:val="none"/>
                <w:shd w:val="clear" w:color="auto" w:fill="auto"/>
              </w:rPr>
              <w:t>会 计 师 事 务 所</w:t>
            </w:r>
          </w:p>
        </w:tc>
        <w:tc>
          <w:tcPr>
            <w:tcW w:w="4350" w:type="dxa"/>
            <w:vAlign w:val="center"/>
          </w:tcPr>
          <w:p>
            <w:pPr>
              <w:ind w:firstLine="420"/>
              <w:jc w:val="center"/>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289" w:type="dxa"/>
            <w:vMerge w:val="continue"/>
            <w:vAlign w:val="center"/>
          </w:tcPr>
          <w:p>
            <w:pPr>
              <w:ind w:firstLine="422"/>
              <w:jc w:val="center"/>
              <w:rPr>
                <w:rFonts w:ascii="宋体" w:hAnsi="宋体" w:cs="宋体"/>
                <w:b/>
                <w:color w:val="auto"/>
                <w:szCs w:val="21"/>
                <w:highlight w:val="none"/>
                <w:shd w:val="clear" w:color="auto" w:fill="auto"/>
              </w:rPr>
            </w:pPr>
          </w:p>
        </w:tc>
        <w:tc>
          <w:tcPr>
            <w:tcW w:w="3501" w:type="dxa"/>
            <w:vAlign w:val="center"/>
          </w:tcPr>
          <w:p>
            <w:pPr>
              <w:ind w:firstLine="422"/>
              <w:jc w:val="center"/>
              <w:rPr>
                <w:rFonts w:ascii="宋体" w:hAnsi="宋体" w:cs="宋体"/>
                <w:b/>
                <w:color w:val="auto"/>
                <w:szCs w:val="21"/>
                <w:highlight w:val="none"/>
                <w:shd w:val="clear" w:color="auto" w:fill="auto"/>
              </w:rPr>
            </w:pPr>
            <w:r>
              <w:rPr>
                <w:rFonts w:hint="eastAsia" w:ascii="宋体" w:hAnsi="宋体" w:cs="宋体"/>
                <w:b/>
                <w:color w:val="auto"/>
                <w:szCs w:val="21"/>
                <w:highlight w:val="none"/>
                <w:shd w:val="clear" w:color="auto" w:fill="auto"/>
              </w:rPr>
              <w:t>评 估 事 务 所</w:t>
            </w:r>
          </w:p>
        </w:tc>
        <w:tc>
          <w:tcPr>
            <w:tcW w:w="4350" w:type="dxa"/>
            <w:vAlign w:val="center"/>
          </w:tcPr>
          <w:p>
            <w:pPr>
              <w:ind w:firstLine="420"/>
              <w:jc w:val="center"/>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坤元资产评估有限公司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289" w:type="dxa"/>
            <w:vMerge w:val="continue"/>
            <w:vAlign w:val="center"/>
          </w:tcPr>
          <w:p>
            <w:pPr>
              <w:ind w:firstLine="422"/>
              <w:jc w:val="center"/>
              <w:rPr>
                <w:rFonts w:ascii="宋体" w:hAnsi="宋体" w:cs="宋体"/>
                <w:b/>
                <w:color w:val="auto"/>
                <w:szCs w:val="21"/>
                <w:highlight w:val="none"/>
                <w:shd w:val="clear" w:color="auto" w:fill="auto"/>
              </w:rPr>
            </w:pPr>
          </w:p>
        </w:tc>
        <w:tc>
          <w:tcPr>
            <w:tcW w:w="3501" w:type="dxa"/>
            <w:vAlign w:val="center"/>
          </w:tcPr>
          <w:p>
            <w:pPr>
              <w:ind w:firstLine="422"/>
              <w:jc w:val="center"/>
              <w:rPr>
                <w:rFonts w:ascii="宋体" w:hAnsi="宋体" w:cs="宋体"/>
                <w:b/>
                <w:color w:val="auto"/>
                <w:szCs w:val="21"/>
                <w:highlight w:val="none"/>
                <w:shd w:val="clear" w:color="auto" w:fill="auto"/>
              </w:rPr>
            </w:pPr>
            <w:r>
              <w:rPr>
                <w:rFonts w:hint="eastAsia" w:ascii="宋体" w:hAnsi="宋体" w:cs="宋体"/>
                <w:b/>
                <w:color w:val="auto"/>
                <w:szCs w:val="21"/>
                <w:highlight w:val="none"/>
                <w:shd w:val="clear" w:color="auto" w:fill="auto"/>
              </w:rPr>
              <w:t>评 估 基 准 日</w:t>
            </w:r>
          </w:p>
        </w:tc>
        <w:tc>
          <w:tcPr>
            <w:tcW w:w="4350" w:type="dxa"/>
            <w:vAlign w:val="center"/>
          </w:tcPr>
          <w:p>
            <w:pPr>
              <w:ind w:firstLine="420"/>
              <w:jc w:val="center"/>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20</w:t>
            </w:r>
            <w:r>
              <w:rPr>
                <w:rFonts w:ascii="宋体" w:hAnsi="宋体" w:cs="宋体"/>
                <w:color w:val="auto"/>
                <w:szCs w:val="21"/>
                <w:highlight w:val="none"/>
                <w:shd w:val="clear" w:color="auto" w:fill="auto"/>
              </w:rPr>
              <w:t>21</w:t>
            </w:r>
            <w:r>
              <w:rPr>
                <w:rFonts w:hint="eastAsia" w:ascii="宋体" w:hAnsi="宋体" w:cs="宋体"/>
                <w:color w:val="auto"/>
                <w:szCs w:val="21"/>
                <w:highlight w:val="none"/>
                <w:shd w:val="clear" w:color="auto" w:fill="auto"/>
              </w:rPr>
              <w:t>年</w:t>
            </w:r>
            <w:r>
              <w:rPr>
                <w:rFonts w:ascii="宋体" w:hAnsi="宋体" w:cs="宋体"/>
                <w:color w:val="auto"/>
                <w:szCs w:val="21"/>
                <w:highlight w:val="none"/>
                <w:shd w:val="clear" w:color="auto" w:fill="auto"/>
              </w:rPr>
              <w:t>9</w:t>
            </w:r>
            <w:r>
              <w:rPr>
                <w:rFonts w:hint="eastAsia" w:ascii="宋体" w:hAnsi="宋体" w:cs="宋体"/>
                <w:color w:val="auto"/>
                <w:szCs w:val="21"/>
                <w:highlight w:val="none"/>
                <w:shd w:val="clear" w:color="auto" w:fill="auto"/>
              </w:rPr>
              <w:t>月</w:t>
            </w:r>
            <w:r>
              <w:rPr>
                <w:rFonts w:ascii="宋体" w:hAnsi="宋体" w:cs="宋体"/>
                <w:color w:val="auto"/>
                <w:szCs w:val="21"/>
                <w:highlight w:val="none"/>
                <w:shd w:val="clear" w:color="auto" w:fill="auto"/>
              </w:rPr>
              <w:t>30</w:t>
            </w:r>
            <w:r>
              <w:rPr>
                <w:rFonts w:hint="eastAsia" w:ascii="宋体" w:hAnsi="宋体" w:cs="宋体"/>
                <w:color w:val="auto"/>
                <w:szCs w:val="21"/>
                <w:highlight w:val="none"/>
                <w:shd w:val="clear" w:color="auto" w:fill="auto"/>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289" w:type="dxa"/>
            <w:vMerge w:val="continue"/>
            <w:vAlign w:val="center"/>
          </w:tcPr>
          <w:p>
            <w:pPr>
              <w:ind w:firstLine="422"/>
              <w:jc w:val="center"/>
              <w:rPr>
                <w:rFonts w:ascii="宋体" w:hAnsi="宋体" w:cs="宋体"/>
                <w:b/>
                <w:color w:val="auto"/>
                <w:szCs w:val="21"/>
                <w:highlight w:val="none"/>
                <w:shd w:val="clear" w:color="auto" w:fill="auto"/>
              </w:rPr>
            </w:pPr>
          </w:p>
        </w:tc>
        <w:tc>
          <w:tcPr>
            <w:tcW w:w="3501" w:type="dxa"/>
            <w:vAlign w:val="center"/>
          </w:tcPr>
          <w:p>
            <w:pPr>
              <w:ind w:firstLine="422"/>
              <w:jc w:val="center"/>
              <w:rPr>
                <w:rFonts w:ascii="宋体" w:hAnsi="宋体" w:cs="宋体"/>
                <w:b/>
                <w:color w:val="auto"/>
                <w:szCs w:val="21"/>
                <w:highlight w:val="none"/>
                <w:shd w:val="clear" w:color="auto" w:fill="auto"/>
              </w:rPr>
            </w:pPr>
            <w:r>
              <w:rPr>
                <w:rFonts w:hint="eastAsia" w:ascii="宋体" w:hAnsi="宋体" w:cs="宋体"/>
                <w:b/>
                <w:color w:val="auto"/>
                <w:szCs w:val="21"/>
                <w:highlight w:val="none"/>
                <w:shd w:val="clear" w:color="auto" w:fill="auto"/>
              </w:rPr>
              <w:t>评估核准（备案）机构</w:t>
            </w:r>
          </w:p>
        </w:tc>
        <w:tc>
          <w:tcPr>
            <w:tcW w:w="4350" w:type="dxa"/>
            <w:vAlign w:val="center"/>
          </w:tcPr>
          <w:p>
            <w:pPr>
              <w:ind w:firstLine="420"/>
              <w:jc w:val="center"/>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台州市椒江区国资办</w:t>
            </w:r>
          </w:p>
          <w:p>
            <w:pPr>
              <w:ind w:firstLine="420"/>
              <w:jc w:val="center"/>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核准□  备案</w:t>
            </w:r>
            <w:r>
              <w:rPr>
                <w:rFonts w:hint="eastAsia" w:ascii="宋体" w:hAnsi="宋体" w:cs="宋体"/>
                <w:color w:val="auto"/>
                <w:szCs w:val="21"/>
                <w:highlight w:val="none"/>
                <w:shd w:val="clear" w:color="auto" w:fill="auto"/>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4" w:hRule="atLeast"/>
        </w:trPr>
        <w:tc>
          <w:tcPr>
            <w:tcW w:w="1289" w:type="dxa"/>
            <w:vAlign w:val="center"/>
          </w:tcPr>
          <w:p>
            <w:pPr>
              <w:ind w:firstLine="0" w:firstLineChars="0"/>
              <w:jc w:val="center"/>
              <w:rPr>
                <w:rFonts w:ascii="宋体" w:hAnsi="宋体" w:cs="宋体"/>
                <w:b/>
                <w:color w:val="auto"/>
                <w:szCs w:val="21"/>
                <w:highlight w:val="none"/>
                <w:shd w:val="clear" w:color="auto" w:fill="auto"/>
              </w:rPr>
            </w:pPr>
            <w:bookmarkStart w:id="38" w:name="待定12" w:colFirst="1" w:colLast="1"/>
            <w:r>
              <w:rPr>
                <w:rFonts w:hint="eastAsia" w:ascii="宋体" w:hAnsi="宋体" w:cs="宋体"/>
                <w:b/>
                <w:color w:val="auto"/>
                <w:szCs w:val="21"/>
                <w:highlight w:val="none"/>
                <w:shd w:val="clear" w:color="auto" w:fill="auto"/>
              </w:rPr>
              <w:t>对受让方的要求</w:t>
            </w:r>
          </w:p>
        </w:tc>
        <w:tc>
          <w:tcPr>
            <w:tcW w:w="7851" w:type="dxa"/>
            <w:gridSpan w:val="2"/>
            <w:vAlign w:val="center"/>
          </w:tcPr>
          <w:p>
            <w:p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1、本次股权转让公告发布的同时，标的公司浙江海正甦力康生物科技有限公司同步发布增资项目公告（台交所挂〔2022〕</w:t>
            </w:r>
            <w:r>
              <w:rPr>
                <w:rFonts w:ascii="宋体" w:hAnsi="宋体" w:cs="宋体"/>
                <w:color w:val="auto"/>
                <w:szCs w:val="21"/>
                <w:highlight w:val="none"/>
                <w:shd w:val="clear" w:color="auto" w:fill="auto"/>
              </w:rPr>
              <w:t>11</w:t>
            </w:r>
            <w:r>
              <w:rPr>
                <w:rFonts w:hint="eastAsia" w:ascii="宋体" w:hAnsi="宋体" w:cs="宋体"/>
                <w:color w:val="auto"/>
                <w:szCs w:val="21"/>
                <w:highlight w:val="none"/>
                <w:shd w:val="clear" w:color="auto" w:fill="auto"/>
              </w:rPr>
              <w:t>号）,意向投资人应符合增资项目的全部资格条件、并承诺接受所有增资条件。意向投资人在获得增资竞买人资格确认并按时缴纳足额保证金后，同时获得本项目的竞买资格，且意向投资人必须足额缴纳本项目的保证金5</w:t>
            </w:r>
            <w:r>
              <w:rPr>
                <w:rFonts w:ascii="宋体" w:hAnsi="宋体" w:cs="宋体"/>
                <w:color w:val="auto"/>
                <w:szCs w:val="21"/>
                <w:highlight w:val="none"/>
                <w:shd w:val="clear" w:color="auto" w:fill="auto"/>
              </w:rPr>
              <w:t>00</w:t>
            </w:r>
            <w:r>
              <w:rPr>
                <w:rFonts w:hint="eastAsia" w:ascii="宋体" w:hAnsi="宋体" w:cs="宋体"/>
                <w:color w:val="auto"/>
                <w:szCs w:val="21"/>
                <w:highlight w:val="none"/>
                <w:shd w:val="clear" w:color="auto" w:fill="auto"/>
              </w:rPr>
              <w:t>万元人民币并参与本项目后续股权转让竞价。</w:t>
            </w:r>
          </w:p>
          <w:p>
            <w:pPr>
              <w:ind w:firstLine="420"/>
              <w:rPr>
                <w:rFonts w:ascii="宋体" w:hAnsi="宋体" w:cs="宋体"/>
                <w:color w:val="auto"/>
                <w:szCs w:val="21"/>
                <w:highlight w:val="none"/>
                <w:shd w:val="clear" w:color="auto" w:fill="auto"/>
              </w:rPr>
            </w:pPr>
            <w:r>
              <w:rPr>
                <w:rFonts w:hint="eastAsia" w:ascii="宋体" w:hAnsi="宋体" w:cs="宋体"/>
                <w:color w:val="auto"/>
                <w:szCs w:val="21"/>
                <w:highlight w:val="none"/>
                <w:shd w:val="clear" w:color="auto" w:fill="auto"/>
              </w:rPr>
              <w:t>2、增资项目确定最终投资人、确定增资价格、确定原股东转让增资人部分股权的成交价格，意向投资人与浙江海正药业股份有限公司签署《股权转让合同》，与标的公司签署《增资协议》。</w:t>
            </w:r>
          </w:p>
        </w:tc>
      </w:tr>
      <w:bookmarkEnd w:id="38"/>
    </w:tbl>
    <w:p>
      <w:pPr>
        <w:pStyle w:val="15"/>
        <w:spacing w:line="460" w:lineRule="exact"/>
        <w:ind w:firstLine="562"/>
        <w:rPr>
          <w:rFonts w:ascii="宋体" w:hAnsi="宋体" w:cs="宋体"/>
          <w:bCs w:val="0"/>
          <w:color w:val="auto"/>
          <w:highlight w:val="none"/>
          <w:shd w:val="clear" w:color="auto" w:fill="auto"/>
        </w:rPr>
      </w:pPr>
      <w:r>
        <w:rPr>
          <w:rFonts w:ascii="宋体" w:hAnsi="宋体"/>
          <w:color w:val="auto"/>
          <w:sz w:val="28"/>
          <w:szCs w:val="28"/>
          <w:highlight w:val="none"/>
          <w:shd w:val="clear" w:color="auto" w:fill="auto"/>
        </w:rPr>
        <w:br w:type="page"/>
      </w:r>
      <w:bookmarkStart w:id="39" w:name="_Toc16468"/>
      <w:bookmarkStart w:id="40" w:name="_Toc99379233"/>
      <w:bookmarkStart w:id="41" w:name="_Toc17342"/>
      <w:bookmarkStart w:id="42" w:name="_Toc16709"/>
      <w:r>
        <w:rPr>
          <w:rFonts w:hint="eastAsia" w:ascii="宋体" w:hAnsi="宋体" w:cs="宋体"/>
          <w:bCs w:val="0"/>
          <w:color w:val="auto"/>
          <w:spacing w:val="12"/>
          <w:highlight w:val="none"/>
          <w:shd w:val="clear" w:color="auto" w:fill="auto"/>
        </w:rPr>
        <w:t>台州市产权交易所有限公司</w:t>
      </w:r>
      <w:r>
        <w:rPr>
          <w:rFonts w:hint="eastAsia" w:ascii="宋体" w:hAnsi="宋体" w:cs="宋体"/>
          <w:bCs w:val="0"/>
          <w:color w:val="auto"/>
          <w:highlight w:val="none"/>
          <w:shd w:val="clear" w:color="auto" w:fill="auto"/>
        </w:rPr>
        <w:br w:type="textWrapping"/>
      </w:r>
      <w:r>
        <w:rPr>
          <w:rFonts w:hint="eastAsia" w:ascii="宋体" w:hAnsi="宋体" w:cs="宋体"/>
          <w:bCs w:val="0"/>
          <w:color w:val="auto"/>
          <w:spacing w:val="12"/>
          <w:highlight w:val="none"/>
          <w:shd w:val="clear" w:color="auto" w:fill="auto"/>
        </w:rPr>
        <w:t>简  介</w:t>
      </w:r>
      <w:bookmarkEnd w:id="39"/>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有限公司是浙江省人民政府批准，浙江省国资委认定，具有国有产权转让资质，立足台州，面向全国，依法从事企事业产权交易的专业性机构，是集物权、债权、股权、知识产权等一体的综合性交易平台，是整个台州地区唯一的中国企业国有产权交易机构协会会员，也是长江流域产权交易共同市场理事单位，为台州市目前规模最大的产权交易机构。</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台州市产权交易所有限公司为全市各类国有资本的流动、国企采购、非上市民营企业的产权转让、公共资源交易以及其他各类产权交易提供服务。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台州市产权交易所有限公司的业务领域为：</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1.国有企业、企事业单位的国有产权转让服务（股权、房屋、设备、债权、知识产权等）；</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2.各类企业增资服务；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3.非上市民营企业的产权转让服务（股权、房屋、设备、债权、知识产权等）；</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4.房屋租赁服务；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5.国企采购服务；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6.招商引资服务；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7.项目合作及投融资服务；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8.各种相关的培训、咨询业务。</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有限公司依据国家政策法规的规定，遵循“公开、公平、公正”的原则，通过区域性产权市场的构建，着力推动国有企业的并购重组和招商引资；促进国资与民资、外资与内资、有形资产与无形资产有效嫁接与融合；实现各类产权跨行业、跨地区、跨所有制的有序流动，提升区域经济竞争力。</w:t>
      </w:r>
    </w:p>
    <w:p>
      <w:pPr>
        <w:spacing w:line="460" w:lineRule="exact"/>
        <w:ind w:firstLine="480"/>
        <w:rPr>
          <w:rFonts w:ascii="宋体" w:hAnsi="宋体" w:cs="宋体"/>
          <w:color w:val="auto"/>
          <w:sz w:val="24"/>
          <w:highlight w:val="none"/>
          <w:shd w:val="clear" w:color="auto" w:fill="auto"/>
        </w:rPr>
      </w:pPr>
      <w:r>
        <w:rPr>
          <w:rFonts w:hint="eastAsia" w:ascii="宋体" w:hAnsi="宋体" w:cs="宋体"/>
          <w:color w:val="auto"/>
          <w:sz w:val="24"/>
          <w:highlight w:val="none"/>
          <w:shd w:val="clear" w:color="auto" w:fill="auto"/>
        </w:rPr>
        <w:t>台州市产权交易所通过对产权交易的成功运作，事实证明产权“阳光交易”，程序规范化，操作市场化，能更好地满足企业在资产盘活、增资扩股、资源引进、融资等多方面的需求，实现国有资产的保值增值。</w:t>
      </w:r>
    </w:p>
    <w:p>
      <w:pPr>
        <w:spacing w:line="460" w:lineRule="exact"/>
        <w:ind w:firstLine="480"/>
        <w:rPr>
          <w:rFonts w:ascii="宋体" w:hAnsi="宋体" w:cs="宋体"/>
          <w:color w:val="auto"/>
          <w:sz w:val="28"/>
          <w:szCs w:val="28"/>
          <w:highlight w:val="none"/>
          <w:shd w:val="clear" w:color="auto" w:fill="auto"/>
        </w:rPr>
      </w:pPr>
      <w:r>
        <w:rPr>
          <w:rFonts w:hint="eastAsia" w:ascii="宋体" w:hAnsi="宋体" w:cs="宋体"/>
          <w:color w:val="auto"/>
          <w:sz w:val="24"/>
          <w:highlight w:val="none"/>
          <w:shd w:val="clear" w:color="auto" w:fill="auto"/>
        </w:rPr>
        <w:t>台州市产权交易所有限公司位于台州市市府大道777号浙江民泰商业银行五楼，邮编：318000，电话：0576-88685180，传真：0576-88685177，网址:www.tzpre.com。</w:t>
      </w:r>
    </w:p>
    <w:bookmarkEnd w:id="40"/>
    <w:bookmarkEnd w:id="41"/>
    <w:bookmarkEnd w:id="42"/>
    <w:p>
      <w:pPr>
        <w:spacing w:line="348" w:lineRule="auto"/>
        <w:ind w:firstLine="480"/>
        <w:rPr>
          <w:color w:val="auto"/>
          <w:highlight w:val="none"/>
          <w:shd w:val="clear" w:color="auto" w:fill="auto"/>
        </w:rPr>
      </w:pPr>
    </w:p>
    <w:sectPr>
      <w:footerReference r:id="rId10" w:type="default"/>
      <w:pgSz w:w="11906" w:h="16838"/>
      <w:pgMar w:top="1440" w:right="1531" w:bottom="898" w:left="1531" w:header="851" w:footer="765"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43"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95910" cy="15303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95910" cy="153035"/>
                      </a:xfrm>
                      <a:prstGeom prst="rect">
                        <a:avLst/>
                      </a:prstGeom>
                      <a:noFill/>
                      <a:ln>
                        <a:noFill/>
                      </a:ln>
                    </wps:spPr>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13</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05pt;width:23.3pt;mso-position-horizontal:center;mso-position-horizontal-relative:margin;mso-wrap-style:none;z-index:251659264;mso-width-relative:page;mso-height-relative:page;" filled="f" stroked="f" coordsize="21600,21600" o:gfxdata="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cHuB00QAA&#10;AAMBAAAPAAAAAAAAAAEAIAAAACIAAABkcnMvZG93bnJldi54bWxQSwECFAAUAAAACACHTuJAbVsv&#10;DewBAAC0AwAADgAAAAAAAAABACAAAAAgAQAAZHJzL2Uyb0RvYy54bWxQSwUGAAAAAAYABgBZAQAA&#10;fgUAAAAA&#10;">
              <v:fill on="f" focussize="0,0"/>
              <v:stroke on="f"/>
              <v:imagedata o:title=""/>
              <o:lock v:ext="edit" aspectratio="f"/>
              <v:textbox inset="0mm,0mm,0mm,0mm"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13</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A4485C"/>
    <w:multiLevelType w:val="singleLevel"/>
    <w:tmpl w:val="8EA4485C"/>
    <w:lvl w:ilvl="0" w:tentative="0">
      <w:start w:val="1"/>
      <w:numFmt w:val="decimalEnclosedCircleChinese"/>
      <w:suff w:val="nothing"/>
      <w:lvlText w:val="%1　"/>
      <w:lvlJc w:val="left"/>
      <w:pPr>
        <w:ind w:left="0" w:firstLine="400"/>
      </w:pPr>
      <w:rPr>
        <w:rFonts w:hint="eastAsia"/>
      </w:rPr>
    </w:lvl>
  </w:abstractNum>
  <w:abstractNum w:abstractNumId="1">
    <w:nsid w:val="96BE987C"/>
    <w:multiLevelType w:val="singleLevel"/>
    <w:tmpl w:val="96BE987C"/>
    <w:lvl w:ilvl="0" w:tentative="0">
      <w:start w:val="4"/>
      <w:numFmt w:val="decimal"/>
      <w:suff w:val="nothing"/>
      <w:lvlText w:val="%1、"/>
      <w:lvlJc w:val="left"/>
    </w:lvl>
  </w:abstractNum>
  <w:abstractNum w:abstractNumId="2">
    <w:nsid w:val="03127D76"/>
    <w:multiLevelType w:val="multilevel"/>
    <w:tmpl w:val="03127D76"/>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CB331C0"/>
    <w:multiLevelType w:val="multilevel"/>
    <w:tmpl w:val="1CB331C0"/>
    <w:lvl w:ilvl="0" w:tentative="0">
      <w:start w:val="1"/>
      <w:numFmt w:val="japaneseCounting"/>
      <w:lvlText w:val="%1、"/>
      <w:lvlJc w:val="left"/>
      <w:pPr>
        <w:tabs>
          <w:tab w:val="left" w:pos="900"/>
        </w:tabs>
        <w:ind w:left="900" w:hanging="480"/>
      </w:pPr>
      <w:rPr>
        <w:rFonts w:hint="default"/>
        <w:lang w:val="en-US"/>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2A9676A7"/>
    <w:multiLevelType w:val="multilevel"/>
    <w:tmpl w:val="2A9676A7"/>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FA0EF3A"/>
    <w:multiLevelType w:val="singleLevel"/>
    <w:tmpl w:val="2FA0EF3A"/>
    <w:lvl w:ilvl="0" w:tentative="0">
      <w:start w:val="2"/>
      <w:numFmt w:val="decimal"/>
      <w:suff w:val="nothing"/>
      <w:lvlText w:val="%1、"/>
      <w:lvlJc w:val="left"/>
    </w:lvl>
  </w:abstractNum>
  <w:abstractNum w:abstractNumId="6">
    <w:nsid w:val="34667914"/>
    <w:multiLevelType w:val="multilevel"/>
    <w:tmpl w:val="34667914"/>
    <w:lvl w:ilvl="0" w:tentative="0">
      <w:start w:val="1"/>
      <w:numFmt w:val="chineseCountingThousand"/>
      <w:lvlText w:val="第%1条"/>
      <w:lvlJc w:val="left"/>
      <w:pPr>
        <w:ind w:left="982" w:hanging="420"/>
      </w:pPr>
      <w:rPr>
        <w:rFonts w:hint="default"/>
        <w:b/>
      </w:rPr>
    </w:lvl>
    <w:lvl w:ilvl="1" w:tentative="0">
      <w:start w:val="1"/>
      <w:numFmt w:val="chineseCountingThousand"/>
      <w:lvlText w:val="第%2条"/>
      <w:lvlJc w:val="left"/>
      <w:pPr>
        <w:ind w:left="1402" w:hanging="420"/>
      </w:pPr>
      <w:rPr>
        <w:rFonts w:hint="default"/>
        <w:b/>
      </w:r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7">
    <w:nsid w:val="3F5B4AF4"/>
    <w:multiLevelType w:val="singleLevel"/>
    <w:tmpl w:val="3F5B4AF4"/>
    <w:lvl w:ilvl="0" w:tentative="0">
      <w:start w:val="1"/>
      <w:numFmt w:val="decimal"/>
      <w:suff w:val="nothing"/>
      <w:lvlText w:val="%1、"/>
      <w:lvlJc w:val="left"/>
    </w:lvl>
  </w:abstractNum>
  <w:abstractNum w:abstractNumId="8">
    <w:nsid w:val="4A4A7152"/>
    <w:multiLevelType w:val="singleLevel"/>
    <w:tmpl w:val="4A4A7152"/>
    <w:lvl w:ilvl="0" w:tentative="0">
      <w:start w:val="4"/>
      <w:numFmt w:val="chineseCounting"/>
      <w:suff w:val="nothing"/>
      <w:lvlText w:val="%1、"/>
      <w:lvlJc w:val="left"/>
      <w:rPr>
        <w:rFonts w:hint="eastAsia"/>
      </w:rPr>
    </w:lvl>
  </w:abstractNum>
  <w:abstractNum w:abstractNumId="9">
    <w:nsid w:val="4D713390"/>
    <w:multiLevelType w:val="multilevel"/>
    <w:tmpl w:val="4D713390"/>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7727DB9"/>
    <w:multiLevelType w:val="multilevel"/>
    <w:tmpl w:val="57727DB9"/>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AAB7D90"/>
    <w:multiLevelType w:val="singleLevel"/>
    <w:tmpl w:val="5AAB7D90"/>
    <w:lvl w:ilvl="0" w:tentative="0">
      <w:start w:val="3"/>
      <w:numFmt w:val="decimal"/>
      <w:suff w:val="nothing"/>
      <w:lvlText w:val="%1、"/>
      <w:lvlJc w:val="left"/>
    </w:lvl>
  </w:abstractNum>
  <w:num w:numId="1">
    <w:abstractNumId w:val="3"/>
  </w:num>
  <w:num w:numId="2">
    <w:abstractNumId w:val="8"/>
  </w:num>
  <w:num w:numId="3">
    <w:abstractNumId w:val="7"/>
  </w:num>
  <w:num w:numId="4">
    <w:abstractNumId w:val="5"/>
  </w:num>
  <w:num w:numId="5">
    <w:abstractNumId w:val="11"/>
  </w:num>
  <w:num w:numId="6">
    <w:abstractNumId w:val="1"/>
  </w:num>
  <w:num w:numId="7">
    <w:abstractNumId w:val="6"/>
  </w:num>
  <w:num w:numId="8">
    <w:abstractNumId w:val="9"/>
  </w:num>
  <w:num w:numId="9">
    <w:abstractNumId w:val="10"/>
  </w:num>
  <w:num w:numId="10">
    <w:abstractNumId w:val="2"/>
  </w:num>
  <w:num w:numId="11">
    <w:abstractNumId w:val="4"/>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EA4"/>
    <w:rsid w:val="00004570"/>
    <w:rsid w:val="00005C08"/>
    <w:rsid w:val="000100E9"/>
    <w:rsid w:val="000113A9"/>
    <w:rsid w:val="00011CC3"/>
    <w:rsid w:val="00012229"/>
    <w:rsid w:val="00016FF9"/>
    <w:rsid w:val="000231FA"/>
    <w:rsid w:val="000269A0"/>
    <w:rsid w:val="00030E04"/>
    <w:rsid w:val="00030FDD"/>
    <w:rsid w:val="00035CD1"/>
    <w:rsid w:val="00042AE4"/>
    <w:rsid w:val="00044073"/>
    <w:rsid w:val="00044671"/>
    <w:rsid w:val="00044EEF"/>
    <w:rsid w:val="00047308"/>
    <w:rsid w:val="0004738D"/>
    <w:rsid w:val="0005023E"/>
    <w:rsid w:val="00051756"/>
    <w:rsid w:val="00051E1B"/>
    <w:rsid w:val="00053F41"/>
    <w:rsid w:val="00055B16"/>
    <w:rsid w:val="00061267"/>
    <w:rsid w:val="00063229"/>
    <w:rsid w:val="000728F0"/>
    <w:rsid w:val="00076964"/>
    <w:rsid w:val="000821AA"/>
    <w:rsid w:val="000824F7"/>
    <w:rsid w:val="00083111"/>
    <w:rsid w:val="0008333A"/>
    <w:rsid w:val="000834BF"/>
    <w:rsid w:val="0008505F"/>
    <w:rsid w:val="0009119C"/>
    <w:rsid w:val="000914BF"/>
    <w:rsid w:val="0009243F"/>
    <w:rsid w:val="00092941"/>
    <w:rsid w:val="0009400B"/>
    <w:rsid w:val="00095C5D"/>
    <w:rsid w:val="000A1810"/>
    <w:rsid w:val="000A2955"/>
    <w:rsid w:val="000B0A55"/>
    <w:rsid w:val="000B4100"/>
    <w:rsid w:val="000B57BE"/>
    <w:rsid w:val="000C2ED3"/>
    <w:rsid w:val="000D2808"/>
    <w:rsid w:val="000D41E8"/>
    <w:rsid w:val="000D6918"/>
    <w:rsid w:val="000D748B"/>
    <w:rsid w:val="000E4509"/>
    <w:rsid w:val="000E5B35"/>
    <w:rsid w:val="000F0D6B"/>
    <w:rsid w:val="000F17D6"/>
    <w:rsid w:val="000F222B"/>
    <w:rsid w:val="000F2B25"/>
    <w:rsid w:val="000F4BDE"/>
    <w:rsid w:val="000F4FC2"/>
    <w:rsid w:val="000F70AB"/>
    <w:rsid w:val="000F72D0"/>
    <w:rsid w:val="00107782"/>
    <w:rsid w:val="00111EEF"/>
    <w:rsid w:val="00123207"/>
    <w:rsid w:val="0013072D"/>
    <w:rsid w:val="00130F44"/>
    <w:rsid w:val="001411F8"/>
    <w:rsid w:val="00152B1C"/>
    <w:rsid w:val="00160D07"/>
    <w:rsid w:val="00172A27"/>
    <w:rsid w:val="001732B4"/>
    <w:rsid w:val="0017552D"/>
    <w:rsid w:val="001774DC"/>
    <w:rsid w:val="00181778"/>
    <w:rsid w:val="00184A00"/>
    <w:rsid w:val="00185282"/>
    <w:rsid w:val="0018635B"/>
    <w:rsid w:val="001906A5"/>
    <w:rsid w:val="0019344B"/>
    <w:rsid w:val="001A3B5F"/>
    <w:rsid w:val="001A552C"/>
    <w:rsid w:val="001A6562"/>
    <w:rsid w:val="001A6B32"/>
    <w:rsid w:val="001B1846"/>
    <w:rsid w:val="001B1BB0"/>
    <w:rsid w:val="001B2579"/>
    <w:rsid w:val="001B2DFA"/>
    <w:rsid w:val="001C382C"/>
    <w:rsid w:val="001C7035"/>
    <w:rsid w:val="001D384B"/>
    <w:rsid w:val="001D5770"/>
    <w:rsid w:val="001E212A"/>
    <w:rsid w:val="001E22AF"/>
    <w:rsid w:val="001E607A"/>
    <w:rsid w:val="001E6520"/>
    <w:rsid w:val="001E6994"/>
    <w:rsid w:val="001F08E4"/>
    <w:rsid w:val="001F1090"/>
    <w:rsid w:val="001F1744"/>
    <w:rsid w:val="001F45F7"/>
    <w:rsid w:val="001F686F"/>
    <w:rsid w:val="00203894"/>
    <w:rsid w:val="00205BDD"/>
    <w:rsid w:val="0020610C"/>
    <w:rsid w:val="00206C5F"/>
    <w:rsid w:val="00206FA1"/>
    <w:rsid w:val="002109C2"/>
    <w:rsid w:val="002251F8"/>
    <w:rsid w:val="0022652F"/>
    <w:rsid w:val="002311A2"/>
    <w:rsid w:val="002338A9"/>
    <w:rsid w:val="00233B14"/>
    <w:rsid w:val="00233D48"/>
    <w:rsid w:val="00243FE1"/>
    <w:rsid w:val="002474DB"/>
    <w:rsid w:val="0025217E"/>
    <w:rsid w:val="002549FC"/>
    <w:rsid w:val="00267889"/>
    <w:rsid w:val="00273684"/>
    <w:rsid w:val="00273818"/>
    <w:rsid w:val="00274F2C"/>
    <w:rsid w:val="0027743F"/>
    <w:rsid w:val="00280D4E"/>
    <w:rsid w:val="00286A13"/>
    <w:rsid w:val="00290B7C"/>
    <w:rsid w:val="00291931"/>
    <w:rsid w:val="002921CB"/>
    <w:rsid w:val="002A0B21"/>
    <w:rsid w:val="002A1D9D"/>
    <w:rsid w:val="002B271D"/>
    <w:rsid w:val="002B4616"/>
    <w:rsid w:val="002B5154"/>
    <w:rsid w:val="002C30D6"/>
    <w:rsid w:val="002C363A"/>
    <w:rsid w:val="002C7A8B"/>
    <w:rsid w:val="002D35BE"/>
    <w:rsid w:val="002D6F6D"/>
    <w:rsid w:val="002D7C8A"/>
    <w:rsid w:val="002E4108"/>
    <w:rsid w:val="002F271F"/>
    <w:rsid w:val="002F3A35"/>
    <w:rsid w:val="002F51DF"/>
    <w:rsid w:val="002F798F"/>
    <w:rsid w:val="002F7FDE"/>
    <w:rsid w:val="00303B50"/>
    <w:rsid w:val="00311FBA"/>
    <w:rsid w:val="00317318"/>
    <w:rsid w:val="00321650"/>
    <w:rsid w:val="003244F2"/>
    <w:rsid w:val="00330648"/>
    <w:rsid w:val="0033220C"/>
    <w:rsid w:val="00334804"/>
    <w:rsid w:val="00337FB6"/>
    <w:rsid w:val="003415BD"/>
    <w:rsid w:val="0034479B"/>
    <w:rsid w:val="00353443"/>
    <w:rsid w:val="00360B62"/>
    <w:rsid w:val="00363B40"/>
    <w:rsid w:val="003667E5"/>
    <w:rsid w:val="00380F2A"/>
    <w:rsid w:val="00383370"/>
    <w:rsid w:val="00384DF0"/>
    <w:rsid w:val="0038651E"/>
    <w:rsid w:val="00392AEC"/>
    <w:rsid w:val="0039580F"/>
    <w:rsid w:val="003A1C58"/>
    <w:rsid w:val="003A3B6C"/>
    <w:rsid w:val="003A79E9"/>
    <w:rsid w:val="003A7E15"/>
    <w:rsid w:val="003B02FE"/>
    <w:rsid w:val="003B1430"/>
    <w:rsid w:val="003B3363"/>
    <w:rsid w:val="003B5415"/>
    <w:rsid w:val="003B6370"/>
    <w:rsid w:val="003B7C17"/>
    <w:rsid w:val="003D179C"/>
    <w:rsid w:val="003D6C02"/>
    <w:rsid w:val="003D76E3"/>
    <w:rsid w:val="003E287B"/>
    <w:rsid w:val="003E645F"/>
    <w:rsid w:val="003F0A74"/>
    <w:rsid w:val="004008DA"/>
    <w:rsid w:val="004073F2"/>
    <w:rsid w:val="004107F9"/>
    <w:rsid w:val="00414FE1"/>
    <w:rsid w:val="00420AFC"/>
    <w:rsid w:val="00423FEF"/>
    <w:rsid w:val="0042708B"/>
    <w:rsid w:val="004308F6"/>
    <w:rsid w:val="0043234E"/>
    <w:rsid w:val="00441E7D"/>
    <w:rsid w:val="00442BD4"/>
    <w:rsid w:val="00444A32"/>
    <w:rsid w:val="00445501"/>
    <w:rsid w:val="00445ACB"/>
    <w:rsid w:val="00446855"/>
    <w:rsid w:val="00446939"/>
    <w:rsid w:val="00451D40"/>
    <w:rsid w:val="0045749D"/>
    <w:rsid w:val="00462556"/>
    <w:rsid w:val="004643D4"/>
    <w:rsid w:val="00466C23"/>
    <w:rsid w:val="00475476"/>
    <w:rsid w:val="00476299"/>
    <w:rsid w:val="004773C1"/>
    <w:rsid w:val="00477977"/>
    <w:rsid w:val="00480EC4"/>
    <w:rsid w:val="00483EBA"/>
    <w:rsid w:val="00494D25"/>
    <w:rsid w:val="004A24BD"/>
    <w:rsid w:val="004A4D02"/>
    <w:rsid w:val="004B1C67"/>
    <w:rsid w:val="004C0741"/>
    <w:rsid w:val="004C1DF9"/>
    <w:rsid w:val="004C3DC3"/>
    <w:rsid w:val="004C6721"/>
    <w:rsid w:val="004E00AD"/>
    <w:rsid w:val="004E24EF"/>
    <w:rsid w:val="004E4ECF"/>
    <w:rsid w:val="004F63D6"/>
    <w:rsid w:val="004F7EA6"/>
    <w:rsid w:val="005136E2"/>
    <w:rsid w:val="00514204"/>
    <w:rsid w:val="00516AAA"/>
    <w:rsid w:val="00520A30"/>
    <w:rsid w:val="00541110"/>
    <w:rsid w:val="00552BCA"/>
    <w:rsid w:val="005542C7"/>
    <w:rsid w:val="00554476"/>
    <w:rsid w:val="00556151"/>
    <w:rsid w:val="00561389"/>
    <w:rsid w:val="00562536"/>
    <w:rsid w:val="00566176"/>
    <w:rsid w:val="005754A4"/>
    <w:rsid w:val="00576B2C"/>
    <w:rsid w:val="00576CAF"/>
    <w:rsid w:val="00577F67"/>
    <w:rsid w:val="00583742"/>
    <w:rsid w:val="0059039B"/>
    <w:rsid w:val="00595F8F"/>
    <w:rsid w:val="005A308E"/>
    <w:rsid w:val="005A331C"/>
    <w:rsid w:val="005A68FE"/>
    <w:rsid w:val="005B6B2C"/>
    <w:rsid w:val="005C1CFB"/>
    <w:rsid w:val="005C2E41"/>
    <w:rsid w:val="005C6F88"/>
    <w:rsid w:val="005D3834"/>
    <w:rsid w:val="005D66A2"/>
    <w:rsid w:val="005D6A68"/>
    <w:rsid w:val="005D6AFC"/>
    <w:rsid w:val="005E4E59"/>
    <w:rsid w:val="005E5092"/>
    <w:rsid w:val="005E5718"/>
    <w:rsid w:val="005F06C4"/>
    <w:rsid w:val="005F1842"/>
    <w:rsid w:val="00601AFE"/>
    <w:rsid w:val="00601EB5"/>
    <w:rsid w:val="00602183"/>
    <w:rsid w:val="006104A6"/>
    <w:rsid w:val="00613BDA"/>
    <w:rsid w:val="00613C68"/>
    <w:rsid w:val="00615B8A"/>
    <w:rsid w:val="00616F34"/>
    <w:rsid w:val="006234A0"/>
    <w:rsid w:val="00624BBB"/>
    <w:rsid w:val="00627243"/>
    <w:rsid w:val="006325DE"/>
    <w:rsid w:val="00641A8F"/>
    <w:rsid w:val="006572F3"/>
    <w:rsid w:val="00662AB1"/>
    <w:rsid w:val="00663610"/>
    <w:rsid w:val="0066448D"/>
    <w:rsid w:val="0066459F"/>
    <w:rsid w:val="006666B2"/>
    <w:rsid w:val="00671F88"/>
    <w:rsid w:val="00675801"/>
    <w:rsid w:val="00676EFE"/>
    <w:rsid w:val="00683945"/>
    <w:rsid w:val="00693F58"/>
    <w:rsid w:val="00694709"/>
    <w:rsid w:val="006B7891"/>
    <w:rsid w:val="006C1856"/>
    <w:rsid w:val="006C2661"/>
    <w:rsid w:val="006C67FE"/>
    <w:rsid w:val="006D2E21"/>
    <w:rsid w:val="006E1B66"/>
    <w:rsid w:val="006F2B54"/>
    <w:rsid w:val="006F4FCF"/>
    <w:rsid w:val="006F7310"/>
    <w:rsid w:val="007056AE"/>
    <w:rsid w:val="00716329"/>
    <w:rsid w:val="00717C6C"/>
    <w:rsid w:val="0072149E"/>
    <w:rsid w:val="00724D65"/>
    <w:rsid w:val="007356EF"/>
    <w:rsid w:val="00743501"/>
    <w:rsid w:val="00744E0D"/>
    <w:rsid w:val="007458F5"/>
    <w:rsid w:val="00752D42"/>
    <w:rsid w:val="00757383"/>
    <w:rsid w:val="00757E0E"/>
    <w:rsid w:val="007600EB"/>
    <w:rsid w:val="00763DDC"/>
    <w:rsid w:val="00775C53"/>
    <w:rsid w:val="00785FC1"/>
    <w:rsid w:val="00786335"/>
    <w:rsid w:val="00786CA8"/>
    <w:rsid w:val="00786D3A"/>
    <w:rsid w:val="00787947"/>
    <w:rsid w:val="00792174"/>
    <w:rsid w:val="00793581"/>
    <w:rsid w:val="007A13C1"/>
    <w:rsid w:val="007A190E"/>
    <w:rsid w:val="007A3D7D"/>
    <w:rsid w:val="007B6D93"/>
    <w:rsid w:val="007D0A91"/>
    <w:rsid w:val="007D4B8A"/>
    <w:rsid w:val="007D635C"/>
    <w:rsid w:val="007D68CD"/>
    <w:rsid w:val="007D7392"/>
    <w:rsid w:val="007E1DD1"/>
    <w:rsid w:val="007E59F5"/>
    <w:rsid w:val="007E60C1"/>
    <w:rsid w:val="007F0311"/>
    <w:rsid w:val="007F6412"/>
    <w:rsid w:val="007F7693"/>
    <w:rsid w:val="00803220"/>
    <w:rsid w:val="0080779B"/>
    <w:rsid w:val="00810429"/>
    <w:rsid w:val="00822178"/>
    <w:rsid w:val="00823D5C"/>
    <w:rsid w:val="008262EC"/>
    <w:rsid w:val="00831ADD"/>
    <w:rsid w:val="00835105"/>
    <w:rsid w:val="00835A2F"/>
    <w:rsid w:val="00851F7A"/>
    <w:rsid w:val="008551B5"/>
    <w:rsid w:val="00860CF4"/>
    <w:rsid w:val="008737A7"/>
    <w:rsid w:val="00882FF6"/>
    <w:rsid w:val="0088350F"/>
    <w:rsid w:val="008912A0"/>
    <w:rsid w:val="00894904"/>
    <w:rsid w:val="00894A74"/>
    <w:rsid w:val="0089657E"/>
    <w:rsid w:val="00897D74"/>
    <w:rsid w:val="008A0F02"/>
    <w:rsid w:val="008A1CA7"/>
    <w:rsid w:val="008A7333"/>
    <w:rsid w:val="008B0412"/>
    <w:rsid w:val="008B46F3"/>
    <w:rsid w:val="008D1AC9"/>
    <w:rsid w:val="008D3897"/>
    <w:rsid w:val="008D571C"/>
    <w:rsid w:val="008D71A8"/>
    <w:rsid w:val="008E1B7A"/>
    <w:rsid w:val="008E59F5"/>
    <w:rsid w:val="008E659E"/>
    <w:rsid w:val="008E6C8F"/>
    <w:rsid w:val="008F5FEB"/>
    <w:rsid w:val="008F6847"/>
    <w:rsid w:val="008F73C0"/>
    <w:rsid w:val="008F7E67"/>
    <w:rsid w:val="0090434F"/>
    <w:rsid w:val="00905FB5"/>
    <w:rsid w:val="0092377C"/>
    <w:rsid w:val="00931359"/>
    <w:rsid w:val="0093337E"/>
    <w:rsid w:val="009431CE"/>
    <w:rsid w:val="00943DF9"/>
    <w:rsid w:val="00947C8E"/>
    <w:rsid w:val="00950023"/>
    <w:rsid w:val="009532AD"/>
    <w:rsid w:val="0096031B"/>
    <w:rsid w:val="009708E0"/>
    <w:rsid w:val="00977027"/>
    <w:rsid w:val="00980DAF"/>
    <w:rsid w:val="00994531"/>
    <w:rsid w:val="00994D89"/>
    <w:rsid w:val="009A0067"/>
    <w:rsid w:val="009A467B"/>
    <w:rsid w:val="009A497D"/>
    <w:rsid w:val="009B0C61"/>
    <w:rsid w:val="009D2B02"/>
    <w:rsid w:val="009E024B"/>
    <w:rsid w:val="009E36CB"/>
    <w:rsid w:val="009E7B32"/>
    <w:rsid w:val="009F0F7F"/>
    <w:rsid w:val="009F1215"/>
    <w:rsid w:val="009F3794"/>
    <w:rsid w:val="009F3843"/>
    <w:rsid w:val="00A00A95"/>
    <w:rsid w:val="00A050E9"/>
    <w:rsid w:val="00A20883"/>
    <w:rsid w:val="00A21133"/>
    <w:rsid w:val="00A23DC9"/>
    <w:rsid w:val="00A2410C"/>
    <w:rsid w:val="00A3035F"/>
    <w:rsid w:val="00A32784"/>
    <w:rsid w:val="00A34C72"/>
    <w:rsid w:val="00A413CA"/>
    <w:rsid w:val="00A44E7F"/>
    <w:rsid w:val="00A472EF"/>
    <w:rsid w:val="00A47F3B"/>
    <w:rsid w:val="00A500EC"/>
    <w:rsid w:val="00A54333"/>
    <w:rsid w:val="00A56449"/>
    <w:rsid w:val="00A663BF"/>
    <w:rsid w:val="00A66E85"/>
    <w:rsid w:val="00A67B10"/>
    <w:rsid w:val="00A74760"/>
    <w:rsid w:val="00A97B24"/>
    <w:rsid w:val="00AA13CA"/>
    <w:rsid w:val="00AA7E0D"/>
    <w:rsid w:val="00AD1A7D"/>
    <w:rsid w:val="00AD2B0B"/>
    <w:rsid w:val="00AD6028"/>
    <w:rsid w:val="00AE3C82"/>
    <w:rsid w:val="00AE6AD7"/>
    <w:rsid w:val="00AE7FCB"/>
    <w:rsid w:val="00AF4499"/>
    <w:rsid w:val="00AF7F4E"/>
    <w:rsid w:val="00B06B6D"/>
    <w:rsid w:val="00B07CFC"/>
    <w:rsid w:val="00B136F0"/>
    <w:rsid w:val="00B22BE7"/>
    <w:rsid w:val="00B23580"/>
    <w:rsid w:val="00B23DCB"/>
    <w:rsid w:val="00B23E51"/>
    <w:rsid w:val="00B3390F"/>
    <w:rsid w:val="00B4042F"/>
    <w:rsid w:val="00B421ED"/>
    <w:rsid w:val="00B463C3"/>
    <w:rsid w:val="00B506B7"/>
    <w:rsid w:val="00B549C8"/>
    <w:rsid w:val="00B57858"/>
    <w:rsid w:val="00B628A1"/>
    <w:rsid w:val="00B656C6"/>
    <w:rsid w:val="00B67F32"/>
    <w:rsid w:val="00B718F0"/>
    <w:rsid w:val="00B72240"/>
    <w:rsid w:val="00B86DB1"/>
    <w:rsid w:val="00B86DE9"/>
    <w:rsid w:val="00B90BC4"/>
    <w:rsid w:val="00B92A50"/>
    <w:rsid w:val="00B960F5"/>
    <w:rsid w:val="00BA08B8"/>
    <w:rsid w:val="00BA1299"/>
    <w:rsid w:val="00BB1B06"/>
    <w:rsid w:val="00BB3FA7"/>
    <w:rsid w:val="00BB4F9F"/>
    <w:rsid w:val="00BB548D"/>
    <w:rsid w:val="00BB6F95"/>
    <w:rsid w:val="00BD1E38"/>
    <w:rsid w:val="00BD4139"/>
    <w:rsid w:val="00BE0AB6"/>
    <w:rsid w:val="00BE431F"/>
    <w:rsid w:val="00BE4F9E"/>
    <w:rsid w:val="00BE7994"/>
    <w:rsid w:val="00BF1E1E"/>
    <w:rsid w:val="00BF3D8D"/>
    <w:rsid w:val="00BF4BA7"/>
    <w:rsid w:val="00C00383"/>
    <w:rsid w:val="00C03D5D"/>
    <w:rsid w:val="00C109EF"/>
    <w:rsid w:val="00C12AF9"/>
    <w:rsid w:val="00C14E63"/>
    <w:rsid w:val="00C21E6C"/>
    <w:rsid w:val="00C3087D"/>
    <w:rsid w:val="00C30C74"/>
    <w:rsid w:val="00C3306C"/>
    <w:rsid w:val="00C347D1"/>
    <w:rsid w:val="00C46CDE"/>
    <w:rsid w:val="00C538E7"/>
    <w:rsid w:val="00C5467A"/>
    <w:rsid w:val="00C578F0"/>
    <w:rsid w:val="00C57B2A"/>
    <w:rsid w:val="00C6046E"/>
    <w:rsid w:val="00C6585E"/>
    <w:rsid w:val="00C664E3"/>
    <w:rsid w:val="00C673F1"/>
    <w:rsid w:val="00C86A56"/>
    <w:rsid w:val="00C925EC"/>
    <w:rsid w:val="00C97DE6"/>
    <w:rsid w:val="00CA25BB"/>
    <w:rsid w:val="00CA4328"/>
    <w:rsid w:val="00CB393A"/>
    <w:rsid w:val="00CC33D8"/>
    <w:rsid w:val="00CC445A"/>
    <w:rsid w:val="00CD16E5"/>
    <w:rsid w:val="00CD22BB"/>
    <w:rsid w:val="00CD5409"/>
    <w:rsid w:val="00CD6404"/>
    <w:rsid w:val="00CE1FAD"/>
    <w:rsid w:val="00CE223F"/>
    <w:rsid w:val="00CF0A6D"/>
    <w:rsid w:val="00D01E34"/>
    <w:rsid w:val="00D0333F"/>
    <w:rsid w:val="00D04FB8"/>
    <w:rsid w:val="00D10AB9"/>
    <w:rsid w:val="00D11FB1"/>
    <w:rsid w:val="00D1511E"/>
    <w:rsid w:val="00D1655D"/>
    <w:rsid w:val="00D21344"/>
    <w:rsid w:val="00D2459F"/>
    <w:rsid w:val="00D27D72"/>
    <w:rsid w:val="00D342F3"/>
    <w:rsid w:val="00D36A55"/>
    <w:rsid w:val="00D37301"/>
    <w:rsid w:val="00D431B7"/>
    <w:rsid w:val="00D47AD5"/>
    <w:rsid w:val="00D51CF5"/>
    <w:rsid w:val="00D57DE2"/>
    <w:rsid w:val="00D6106F"/>
    <w:rsid w:val="00D64160"/>
    <w:rsid w:val="00D6619F"/>
    <w:rsid w:val="00D67B0C"/>
    <w:rsid w:val="00D72373"/>
    <w:rsid w:val="00D73D85"/>
    <w:rsid w:val="00D7519C"/>
    <w:rsid w:val="00D77044"/>
    <w:rsid w:val="00D81EFD"/>
    <w:rsid w:val="00D83892"/>
    <w:rsid w:val="00D914DF"/>
    <w:rsid w:val="00D92DA1"/>
    <w:rsid w:val="00D945D6"/>
    <w:rsid w:val="00D953BB"/>
    <w:rsid w:val="00DA0308"/>
    <w:rsid w:val="00DA27CD"/>
    <w:rsid w:val="00DA47D0"/>
    <w:rsid w:val="00DB3D1A"/>
    <w:rsid w:val="00DB6F51"/>
    <w:rsid w:val="00DB7AA5"/>
    <w:rsid w:val="00DC6543"/>
    <w:rsid w:val="00DD0CEC"/>
    <w:rsid w:val="00DD1C17"/>
    <w:rsid w:val="00DD5A0C"/>
    <w:rsid w:val="00DE799D"/>
    <w:rsid w:val="00DF0C6B"/>
    <w:rsid w:val="00DF6FEC"/>
    <w:rsid w:val="00E06CA7"/>
    <w:rsid w:val="00E10F45"/>
    <w:rsid w:val="00E12828"/>
    <w:rsid w:val="00E14C86"/>
    <w:rsid w:val="00E204F2"/>
    <w:rsid w:val="00E21A11"/>
    <w:rsid w:val="00E220CD"/>
    <w:rsid w:val="00E25EB3"/>
    <w:rsid w:val="00E269FB"/>
    <w:rsid w:val="00E269FC"/>
    <w:rsid w:val="00E27BED"/>
    <w:rsid w:val="00E3188A"/>
    <w:rsid w:val="00E33409"/>
    <w:rsid w:val="00E334A6"/>
    <w:rsid w:val="00E3743C"/>
    <w:rsid w:val="00E5218B"/>
    <w:rsid w:val="00E54876"/>
    <w:rsid w:val="00E6017F"/>
    <w:rsid w:val="00E61566"/>
    <w:rsid w:val="00E64C8C"/>
    <w:rsid w:val="00E67D7F"/>
    <w:rsid w:val="00E72409"/>
    <w:rsid w:val="00E72F3F"/>
    <w:rsid w:val="00E7791B"/>
    <w:rsid w:val="00E83B12"/>
    <w:rsid w:val="00E844D9"/>
    <w:rsid w:val="00E85573"/>
    <w:rsid w:val="00E85AF8"/>
    <w:rsid w:val="00EA0C6B"/>
    <w:rsid w:val="00EA5DE5"/>
    <w:rsid w:val="00EA6762"/>
    <w:rsid w:val="00EB0662"/>
    <w:rsid w:val="00EB45E9"/>
    <w:rsid w:val="00EC7738"/>
    <w:rsid w:val="00ED08FB"/>
    <w:rsid w:val="00ED1F46"/>
    <w:rsid w:val="00ED2A2F"/>
    <w:rsid w:val="00ED3366"/>
    <w:rsid w:val="00ED69D3"/>
    <w:rsid w:val="00EE0E71"/>
    <w:rsid w:val="00EE2BCB"/>
    <w:rsid w:val="00EE72E3"/>
    <w:rsid w:val="00EF22F7"/>
    <w:rsid w:val="00EF47E1"/>
    <w:rsid w:val="00EF4BC5"/>
    <w:rsid w:val="00EF536C"/>
    <w:rsid w:val="00EF5618"/>
    <w:rsid w:val="00F004DC"/>
    <w:rsid w:val="00F01E79"/>
    <w:rsid w:val="00F07A96"/>
    <w:rsid w:val="00F178DD"/>
    <w:rsid w:val="00F23D41"/>
    <w:rsid w:val="00F3462B"/>
    <w:rsid w:val="00F35A8E"/>
    <w:rsid w:val="00F44299"/>
    <w:rsid w:val="00F44A9B"/>
    <w:rsid w:val="00F47B97"/>
    <w:rsid w:val="00F510F6"/>
    <w:rsid w:val="00F51C7D"/>
    <w:rsid w:val="00F5212E"/>
    <w:rsid w:val="00F547C0"/>
    <w:rsid w:val="00F744D7"/>
    <w:rsid w:val="00F756DC"/>
    <w:rsid w:val="00F767A8"/>
    <w:rsid w:val="00F77EBF"/>
    <w:rsid w:val="00F82AED"/>
    <w:rsid w:val="00F86BA2"/>
    <w:rsid w:val="00F9042D"/>
    <w:rsid w:val="00F928CF"/>
    <w:rsid w:val="00F9465B"/>
    <w:rsid w:val="00FB5D19"/>
    <w:rsid w:val="00FB7AB6"/>
    <w:rsid w:val="00FB7D6B"/>
    <w:rsid w:val="00FC1278"/>
    <w:rsid w:val="00FC3BF6"/>
    <w:rsid w:val="00FC6A5D"/>
    <w:rsid w:val="00FD0D99"/>
    <w:rsid w:val="00FE0F9B"/>
    <w:rsid w:val="00FE1E62"/>
    <w:rsid w:val="00FE5CB5"/>
    <w:rsid w:val="00FF01F7"/>
    <w:rsid w:val="011A5255"/>
    <w:rsid w:val="019849E0"/>
    <w:rsid w:val="021B2E3A"/>
    <w:rsid w:val="02C36E7D"/>
    <w:rsid w:val="02CC18A0"/>
    <w:rsid w:val="03596622"/>
    <w:rsid w:val="037D49A1"/>
    <w:rsid w:val="03A42C8F"/>
    <w:rsid w:val="03AB5609"/>
    <w:rsid w:val="03E40A94"/>
    <w:rsid w:val="0422582F"/>
    <w:rsid w:val="0441390A"/>
    <w:rsid w:val="047B475B"/>
    <w:rsid w:val="048B795B"/>
    <w:rsid w:val="04C554BC"/>
    <w:rsid w:val="04E812CF"/>
    <w:rsid w:val="04F110A3"/>
    <w:rsid w:val="04F34B2A"/>
    <w:rsid w:val="057B74E1"/>
    <w:rsid w:val="05E00B17"/>
    <w:rsid w:val="05EB178E"/>
    <w:rsid w:val="05F44340"/>
    <w:rsid w:val="062C3CDB"/>
    <w:rsid w:val="067F115E"/>
    <w:rsid w:val="06AC0CFD"/>
    <w:rsid w:val="06E42D81"/>
    <w:rsid w:val="06FB1611"/>
    <w:rsid w:val="07071B14"/>
    <w:rsid w:val="08352586"/>
    <w:rsid w:val="08964B42"/>
    <w:rsid w:val="08A60D55"/>
    <w:rsid w:val="094C4E3A"/>
    <w:rsid w:val="095D1AD4"/>
    <w:rsid w:val="09D943BB"/>
    <w:rsid w:val="09DE0F7A"/>
    <w:rsid w:val="0A4A7484"/>
    <w:rsid w:val="0A4B1F9D"/>
    <w:rsid w:val="0A4D3DB0"/>
    <w:rsid w:val="0AAA7360"/>
    <w:rsid w:val="0AE56D7B"/>
    <w:rsid w:val="0AF31DC3"/>
    <w:rsid w:val="0B3705F5"/>
    <w:rsid w:val="0B3D1FE1"/>
    <w:rsid w:val="0BC802E9"/>
    <w:rsid w:val="0BD41778"/>
    <w:rsid w:val="0C2A5FAD"/>
    <w:rsid w:val="0C983675"/>
    <w:rsid w:val="0CF01B2C"/>
    <w:rsid w:val="0D416E2E"/>
    <w:rsid w:val="0D6B128A"/>
    <w:rsid w:val="0DEA21FC"/>
    <w:rsid w:val="0E0315A6"/>
    <w:rsid w:val="0EA74A99"/>
    <w:rsid w:val="0ECB1B16"/>
    <w:rsid w:val="0F2B41E7"/>
    <w:rsid w:val="0F3109D9"/>
    <w:rsid w:val="0F3F0DD5"/>
    <w:rsid w:val="0F5350BB"/>
    <w:rsid w:val="0F8D6445"/>
    <w:rsid w:val="0F943237"/>
    <w:rsid w:val="0F953773"/>
    <w:rsid w:val="105421D6"/>
    <w:rsid w:val="108D72DA"/>
    <w:rsid w:val="11134B92"/>
    <w:rsid w:val="1124702B"/>
    <w:rsid w:val="11354A9E"/>
    <w:rsid w:val="114D02B6"/>
    <w:rsid w:val="11512479"/>
    <w:rsid w:val="11754288"/>
    <w:rsid w:val="120913E9"/>
    <w:rsid w:val="122B34E8"/>
    <w:rsid w:val="12613505"/>
    <w:rsid w:val="12852636"/>
    <w:rsid w:val="12C72BBC"/>
    <w:rsid w:val="13726ECD"/>
    <w:rsid w:val="13B341E1"/>
    <w:rsid w:val="14144A88"/>
    <w:rsid w:val="142D1517"/>
    <w:rsid w:val="144430CC"/>
    <w:rsid w:val="14492AA6"/>
    <w:rsid w:val="149312D1"/>
    <w:rsid w:val="14A20267"/>
    <w:rsid w:val="14BC0E10"/>
    <w:rsid w:val="15203773"/>
    <w:rsid w:val="15D34A26"/>
    <w:rsid w:val="16353371"/>
    <w:rsid w:val="16A84292"/>
    <w:rsid w:val="17053F41"/>
    <w:rsid w:val="1736138F"/>
    <w:rsid w:val="17BB18A6"/>
    <w:rsid w:val="17BC7379"/>
    <w:rsid w:val="17EC403A"/>
    <w:rsid w:val="18B235B3"/>
    <w:rsid w:val="19190F3D"/>
    <w:rsid w:val="19331F1F"/>
    <w:rsid w:val="193D193A"/>
    <w:rsid w:val="195D392C"/>
    <w:rsid w:val="19E27688"/>
    <w:rsid w:val="1A166A87"/>
    <w:rsid w:val="1A1F47EB"/>
    <w:rsid w:val="1A7136C6"/>
    <w:rsid w:val="1ABD725B"/>
    <w:rsid w:val="1ACF4868"/>
    <w:rsid w:val="1AF968B2"/>
    <w:rsid w:val="1B025BA0"/>
    <w:rsid w:val="1B481CCF"/>
    <w:rsid w:val="1B4A2C53"/>
    <w:rsid w:val="1B6B4E81"/>
    <w:rsid w:val="1C63748E"/>
    <w:rsid w:val="1CF30612"/>
    <w:rsid w:val="1D1475EB"/>
    <w:rsid w:val="1D520B55"/>
    <w:rsid w:val="1D5F0807"/>
    <w:rsid w:val="1E07643F"/>
    <w:rsid w:val="1E084BE8"/>
    <w:rsid w:val="1F5708F5"/>
    <w:rsid w:val="1F5B484D"/>
    <w:rsid w:val="1FB44D91"/>
    <w:rsid w:val="20161FFD"/>
    <w:rsid w:val="20600621"/>
    <w:rsid w:val="210F45B2"/>
    <w:rsid w:val="21590CC5"/>
    <w:rsid w:val="21A62FC3"/>
    <w:rsid w:val="22225213"/>
    <w:rsid w:val="22283321"/>
    <w:rsid w:val="2299039F"/>
    <w:rsid w:val="22DB780B"/>
    <w:rsid w:val="2373681F"/>
    <w:rsid w:val="240D14CD"/>
    <w:rsid w:val="241D7307"/>
    <w:rsid w:val="244911F0"/>
    <w:rsid w:val="24B97E49"/>
    <w:rsid w:val="24E060A7"/>
    <w:rsid w:val="24EB2986"/>
    <w:rsid w:val="2502491F"/>
    <w:rsid w:val="26025181"/>
    <w:rsid w:val="2605089D"/>
    <w:rsid w:val="269760D9"/>
    <w:rsid w:val="2714211F"/>
    <w:rsid w:val="280146E7"/>
    <w:rsid w:val="281B425C"/>
    <w:rsid w:val="28484E66"/>
    <w:rsid w:val="28596F80"/>
    <w:rsid w:val="28636E6F"/>
    <w:rsid w:val="287A453F"/>
    <w:rsid w:val="28E330A5"/>
    <w:rsid w:val="293F6E04"/>
    <w:rsid w:val="29933F42"/>
    <w:rsid w:val="299A49BB"/>
    <w:rsid w:val="29C60CD0"/>
    <w:rsid w:val="29D71D83"/>
    <w:rsid w:val="29E662F0"/>
    <w:rsid w:val="2A2655B6"/>
    <w:rsid w:val="2A273037"/>
    <w:rsid w:val="2A3A0BBC"/>
    <w:rsid w:val="2A8640F0"/>
    <w:rsid w:val="2AAE4298"/>
    <w:rsid w:val="2AAE6793"/>
    <w:rsid w:val="2AE15E00"/>
    <w:rsid w:val="2BA37EAE"/>
    <w:rsid w:val="2BFC36AD"/>
    <w:rsid w:val="2C7622EF"/>
    <w:rsid w:val="2C785C0A"/>
    <w:rsid w:val="2CA41DD3"/>
    <w:rsid w:val="2CBF2AC0"/>
    <w:rsid w:val="2D342CBA"/>
    <w:rsid w:val="2D377698"/>
    <w:rsid w:val="2D4F160E"/>
    <w:rsid w:val="2D715C07"/>
    <w:rsid w:val="2D7F711A"/>
    <w:rsid w:val="2DC819DE"/>
    <w:rsid w:val="2DC9628E"/>
    <w:rsid w:val="2DF2511C"/>
    <w:rsid w:val="2EAE30CD"/>
    <w:rsid w:val="2EE229FE"/>
    <w:rsid w:val="2F332780"/>
    <w:rsid w:val="2F5E4F5B"/>
    <w:rsid w:val="2FAB6ACA"/>
    <w:rsid w:val="303F5CE4"/>
    <w:rsid w:val="30997052"/>
    <w:rsid w:val="30A03168"/>
    <w:rsid w:val="30A82D39"/>
    <w:rsid w:val="30D41EAC"/>
    <w:rsid w:val="30DD1A74"/>
    <w:rsid w:val="31461BE6"/>
    <w:rsid w:val="317A7265"/>
    <w:rsid w:val="31D31C79"/>
    <w:rsid w:val="32191F4C"/>
    <w:rsid w:val="32465978"/>
    <w:rsid w:val="328549B8"/>
    <w:rsid w:val="32886F74"/>
    <w:rsid w:val="32C9219B"/>
    <w:rsid w:val="32D21971"/>
    <w:rsid w:val="330D71CD"/>
    <w:rsid w:val="335B4D4D"/>
    <w:rsid w:val="338A15AF"/>
    <w:rsid w:val="33AA4DE5"/>
    <w:rsid w:val="33F73CD2"/>
    <w:rsid w:val="3422263A"/>
    <w:rsid w:val="34230A32"/>
    <w:rsid w:val="342A79A4"/>
    <w:rsid w:val="34A320B1"/>
    <w:rsid w:val="353A1C07"/>
    <w:rsid w:val="359867AF"/>
    <w:rsid w:val="360E4FE9"/>
    <w:rsid w:val="36404E3F"/>
    <w:rsid w:val="36720B63"/>
    <w:rsid w:val="36E42E43"/>
    <w:rsid w:val="37154C7C"/>
    <w:rsid w:val="371B3715"/>
    <w:rsid w:val="37DE5837"/>
    <w:rsid w:val="37F479DA"/>
    <w:rsid w:val="38403803"/>
    <w:rsid w:val="3893636F"/>
    <w:rsid w:val="38AE1BB0"/>
    <w:rsid w:val="38BB482A"/>
    <w:rsid w:val="38D72034"/>
    <w:rsid w:val="39092226"/>
    <w:rsid w:val="39894C58"/>
    <w:rsid w:val="39DB48E0"/>
    <w:rsid w:val="39EE2EC3"/>
    <w:rsid w:val="3A896188"/>
    <w:rsid w:val="3AD8513B"/>
    <w:rsid w:val="3AEE2BBB"/>
    <w:rsid w:val="3AFC3F0B"/>
    <w:rsid w:val="3B0349E7"/>
    <w:rsid w:val="3B3B7D28"/>
    <w:rsid w:val="3B5F79F7"/>
    <w:rsid w:val="3B93114B"/>
    <w:rsid w:val="3BE43226"/>
    <w:rsid w:val="3C61764F"/>
    <w:rsid w:val="3CA05E05"/>
    <w:rsid w:val="3D3739B8"/>
    <w:rsid w:val="3D9872C3"/>
    <w:rsid w:val="3DA15314"/>
    <w:rsid w:val="3E056BB9"/>
    <w:rsid w:val="3E274987"/>
    <w:rsid w:val="3EFC7306"/>
    <w:rsid w:val="3F143969"/>
    <w:rsid w:val="3F21283D"/>
    <w:rsid w:val="3FAF4CB9"/>
    <w:rsid w:val="3FE274BE"/>
    <w:rsid w:val="403A4131"/>
    <w:rsid w:val="40412754"/>
    <w:rsid w:val="40DA4CEC"/>
    <w:rsid w:val="40ED6E7C"/>
    <w:rsid w:val="41845450"/>
    <w:rsid w:val="41F063DC"/>
    <w:rsid w:val="421F5BC6"/>
    <w:rsid w:val="42882131"/>
    <w:rsid w:val="42B54F9E"/>
    <w:rsid w:val="42E84F3B"/>
    <w:rsid w:val="43403596"/>
    <w:rsid w:val="4343436A"/>
    <w:rsid w:val="43775ABD"/>
    <w:rsid w:val="440A3070"/>
    <w:rsid w:val="444B19FD"/>
    <w:rsid w:val="44EB56FC"/>
    <w:rsid w:val="45543701"/>
    <w:rsid w:val="45F53040"/>
    <w:rsid w:val="45F82F61"/>
    <w:rsid w:val="46294B95"/>
    <w:rsid w:val="46895076"/>
    <w:rsid w:val="473F4357"/>
    <w:rsid w:val="47576D71"/>
    <w:rsid w:val="47782AF6"/>
    <w:rsid w:val="47847862"/>
    <w:rsid w:val="47985129"/>
    <w:rsid w:val="488346DD"/>
    <w:rsid w:val="48BD27FA"/>
    <w:rsid w:val="491D348C"/>
    <w:rsid w:val="492130F0"/>
    <w:rsid w:val="4A011096"/>
    <w:rsid w:val="4A677650"/>
    <w:rsid w:val="4AE02880"/>
    <w:rsid w:val="4B012973"/>
    <w:rsid w:val="4B580182"/>
    <w:rsid w:val="4B5D7340"/>
    <w:rsid w:val="4B993CC8"/>
    <w:rsid w:val="4B9E6AC5"/>
    <w:rsid w:val="4BBB1116"/>
    <w:rsid w:val="4BE913AC"/>
    <w:rsid w:val="4BEA681C"/>
    <w:rsid w:val="4BEF27C6"/>
    <w:rsid w:val="4BFB7DC1"/>
    <w:rsid w:val="4C4920B9"/>
    <w:rsid w:val="4CB9236D"/>
    <w:rsid w:val="4CEC55CE"/>
    <w:rsid w:val="4D1D1F4C"/>
    <w:rsid w:val="4D851A20"/>
    <w:rsid w:val="4DBC4A28"/>
    <w:rsid w:val="4E753947"/>
    <w:rsid w:val="4ED34835"/>
    <w:rsid w:val="4EDF6C6B"/>
    <w:rsid w:val="4F254094"/>
    <w:rsid w:val="4F374CC4"/>
    <w:rsid w:val="4FCF6733"/>
    <w:rsid w:val="4FF52BF4"/>
    <w:rsid w:val="502150B0"/>
    <w:rsid w:val="502E46B1"/>
    <w:rsid w:val="50BA02FE"/>
    <w:rsid w:val="50BF7195"/>
    <w:rsid w:val="51525370"/>
    <w:rsid w:val="515677F6"/>
    <w:rsid w:val="51BD5605"/>
    <w:rsid w:val="51D718FA"/>
    <w:rsid w:val="521F4B14"/>
    <w:rsid w:val="52745592"/>
    <w:rsid w:val="52933407"/>
    <w:rsid w:val="53D70C1A"/>
    <w:rsid w:val="53E61FA4"/>
    <w:rsid w:val="53FF079E"/>
    <w:rsid w:val="540B4200"/>
    <w:rsid w:val="54100840"/>
    <w:rsid w:val="54715FEA"/>
    <w:rsid w:val="551510AF"/>
    <w:rsid w:val="55167C62"/>
    <w:rsid w:val="55672106"/>
    <w:rsid w:val="5586691D"/>
    <w:rsid w:val="55A8256D"/>
    <w:rsid w:val="55C238BF"/>
    <w:rsid w:val="55E211BC"/>
    <w:rsid w:val="55E51B76"/>
    <w:rsid w:val="560D0119"/>
    <w:rsid w:val="56193C4E"/>
    <w:rsid w:val="567129F2"/>
    <w:rsid w:val="56764886"/>
    <w:rsid w:val="56ED74A9"/>
    <w:rsid w:val="57206944"/>
    <w:rsid w:val="58090EFA"/>
    <w:rsid w:val="58407AB0"/>
    <w:rsid w:val="584A2FE9"/>
    <w:rsid w:val="587924B3"/>
    <w:rsid w:val="58D43382"/>
    <w:rsid w:val="58F011F8"/>
    <w:rsid w:val="58F802E6"/>
    <w:rsid w:val="59366BF8"/>
    <w:rsid w:val="59506E95"/>
    <w:rsid w:val="59CF144B"/>
    <w:rsid w:val="59F70CFE"/>
    <w:rsid w:val="5A55504B"/>
    <w:rsid w:val="5A70166E"/>
    <w:rsid w:val="5B310CDD"/>
    <w:rsid w:val="5CA4290E"/>
    <w:rsid w:val="5CD90E90"/>
    <w:rsid w:val="5D1715C8"/>
    <w:rsid w:val="5D2B4F05"/>
    <w:rsid w:val="5D7B386B"/>
    <w:rsid w:val="5D7D5225"/>
    <w:rsid w:val="5E0F30AD"/>
    <w:rsid w:val="5E79378D"/>
    <w:rsid w:val="5EA236D3"/>
    <w:rsid w:val="5EB36DEA"/>
    <w:rsid w:val="5EC02868"/>
    <w:rsid w:val="5FCF62BD"/>
    <w:rsid w:val="602C7C64"/>
    <w:rsid w:val="607C4170"/>
    <w:rsid w:val="60A93EA8"/>
    <w:rsid w:val="60D75962"/>
    <w:rsid w:val="60D822FE"/>
    <w:rsid w:val="61130ED3"/>
    <w:rsid w:val="612648DA"/>
    <w:rsid w:val="613D24A4"/>
    <w:rsid w:val="61957F56"/>
    <w:rsid w:val="61BF66C0"/>
    <w:rsid w:val="624A5EA4"/>
    <w:rsid w:val="63933B88"/>
    <w:rsid w:val="63DC5AE3"/>
    <w:rsid w:val="641C0F55"/>
    <w:rsid w:val="642052D3"/>
    <w:rsid w:val="6430100D"/>
    <w:rsid w:val="64657FC6"/>
    <w:rsid w:val="649053C8"/>
    <w:rsid w:val="64DA042A"/>
    <w:rsid w:val="65027A50"/>
    <w:rsid w:val="651A2F6C"/>
    <w:rsid w:val="652E7769"/>
    <w:rsid w:val="65837536"/>
    <w:rsid w:val="65BD5FF9"/>
    <w:rsid w:val="65BE2E26"/>
    <w:rsid w:val="667145FD"/>
    <w:rsid w:val="66AF4687"/>
    <w:rsid w:val="66E42936"/>
    <w:rsid w:val="670B79A6"/>
    <w:rsid w:val="678A3FEA"/>
    <w:rsid w:val="67D27C62"/>
    <w:rsid w:val="687D4B12"/>
    <w:rsid w:val="68C11050"/>
    <w:rsid w:val="68D648A2"/>
    <w:rsid w:val="696049C4"/>
    <w:rsid w:val="6960616F"/>
    <w:rsid w:val="69AC5408"/>
    <w:rsid w:val="69B2569A"/>
    <w:rsid w:val="69EF1F39"/>
    <w:rsid w:val="6A2A0B23"/>
    <w:rsid w:val="6A67569D"/>
    <w:rsid w:val="6A980F46"/>
    <w:rsid w:val="6AB879E2"/>
    <w:rsid w:val="6B7068E0"/>
    <w:rsid w:val="6B7D7195"/>
    <w:rsid w:val="6B8F6404"/>
    <w:rsid w:val="6BC96697"/>
    <w:rsid w:val="6C675EEA"/>
    <w:rsid w:val="6CB61301"/>
    <w:rsid w:val="6CF67383"/>
    <w:rsid w:val="6D2941B9"/>
    <w:rsid w:val="6D4D5460"/>
    <w:rsid w:val="6DE568D8"/>
    <w:rsid w:val="6DFD2FDE"/>
    <w:rsid w:val="6E1C328E"/>
    <w:rsid w:val="6E6955CB"/>
    <w:rsid w:val="6E9409CF"/>
    <w:rsid w:val="6F030322"/>
    <w:rsid w:val="6F046BAA"/>
    <w:rsid w:val="6F24072D"/>
    <w:rsid w:val="6F3166F5"/>
    <w:rsid w:val="6F391EBB"/>
    <w:rsid w:val="6F6822D7"/>
    <w:rsid w:val="6FA220B1"/>
    <w:rsid w:val="700C1760"/>
    <w:rsid w:val="70244C09"/>
    <w:rsid w:val="702618AC"/>
    <w:rsid w:val="70372B56"/>
    <w:rsid w:val="706A0CF3"/>
    <w:rsid w:val="71014D1D"/>
    <w:rsid w:val="714275DF"/>
    <w:rsid w:val="714F266E"/>
    <w:rsid w:val="71F335F0"/>
    <w:rsid w:val="71F8328C"/>
    <w:rsid w:val="72E65F49"/>
    <w:rsid w:val="733B55A6"/>
    <w:rsid w:val="73661CAA"/>
    <w:rsid w:val="73745F52"/>
    <w:rsid w:val="73AC6B66"/>
    <w:rsid w:val="74561364"/>
    <w:rsid w:val="74596753"/>
    <w:rsid w:val="74945B44"/>
    <w:rsid w:val="7510601B"/>
    <w:rsid w:val="75846AEF"/>
    <w:rsid w:val="75935CB7"/>
    <w:rsid w:val="75C03C40"/>
    <w:rsid w:val="7637626D"/>
    <w:rsid w:val="76985EA2"/>
    <w:rsid w:val="76B60492"/>
    <w:rsid w:val="76CE7275"/>
    <w:rsid w:val="77191529"/>
    <w:rsid w:val="775A450A"/>
    <w:rsid w:val="780F284E"/>
    <w:rsid w:val="78A360B7"/>
    <w:rsid w:val="78D62F65"/>
    <w:rsid w:val="78D86DBC"/>
    <w:rsid w:val="791B013F"/>
    <w:rsid w:val="791F7711"/>
    <w:rsid w:val="796075AF"/>
    <w:rsid w:val="798C64C5"/>
    <w:rsid w:val="79E041E8"/>
    <w:rsid w:val="7A2C1281"/>
    <w:rsid w:val="7A5B654D"/>
    <w:rsid w:val="7ADB489D"/>
    <w:rsid w:val="7B564B9E"/>
    <w:rsid w:val="7BE57B0E"/>
    <w:rsid w:val="7C765FBE"/>
    <w:rsid w:val="7C8F3A1C"/>
    <w:rsid w:val="7CE271F0"/>
    <w:rsid w:val="7CF938EA"/>
    <w:rsid w:val="7CFD2CE9"/>
    <w:rsid w:val="7D3753C2"/>
    <w:rsid w:val="7D6C7155"/>
    <w:rsid w:val="7DA03BD7"/>
    <w:rsid w:val="7DB12845"/>
    <w:rsid w:val="7DBA6ED4"/>
    <w:rsid w:val="7E0D38E6"/>
    <w:rsid w:val="7E164309"/>
    <w:rsid w:val="7EB114EF"/>
    <w:rsid w:val="7EFE6E10"/>
    <w:rsid w:val="7F4C4F6B"/>
    <w:rsid w:val="7F8A5E4A"/>
    <w:rsid w:val="7FDB704E"/>
    <w:rsid w:val="7FDE3356"/>
    <w:rsid w:val="7FDF0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6"/>
    <w:qFormat/>
    <w:uiPriority w:val="0"/>
    <w:pPr>
      <w:keepNext/>
      <w:keepLines/>
      <w:spacing w:before="340" w:after="330" w:line="578" w:lineRule="auto"/>
      <w:ind w:firstLine="0" w:firstLineChars="0"/>
      <w:outlineLvl w:val="0"/>
    </w:pPr>
    <w:rPr>
      <w:rFonts w:ascii="Calibri" w:hAnsi="Calibri"/>
      <w:b/>
      <w:bCs/>
      <w:kern w:val="44"/>
      <w:sz w:val="44"/>
      <w:szCs w:val="44"/>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120"/>
      <w:ind w:left="420" w:leftChars="200" w:firstLine="420"/>
    </w:pPr>
  </w:style>
  <w:style w:type="paragraph" w:styleId="3">
    <w:name w:val="Body Text Indent"/>
    <w:basedOn w:val="1"/>
    <w:qFormat/>
    <w:uiPriority w:val="0"/>
    <w:pPr>
      <w:spacing w:line="440" w:lineRule="exact"/>
      <w:ind w:firstLine="720" w:firstLineChars="300"/>
    </w:pPr>
    <w:rPr>
      <w:sz w:val="24"/>
    </w:rPr>
  </w:style>
  <w:style w:type="paragraph" w:styleId="5">
    <w:name w:val="Normal Indent"/>
    <w:basedOn w:val="1"/>
    <w:qFormat/>
    <w:uiPriority w:val="0"/>
    <w:pPr>
      <w:ind w:firstLine="420"/>
    </w:pPr>
    <w:rPr>
      <w:szCs w:val="20"/>
    </w:rPr>
  </w:style>
  <w:style w:type="paragraph" w:styleId="6">
    <w:name w:val="annotation text"/>
    <w:basedOn w:val="1"/>
    <w:link w:val="27"/>
    <w:qFormat/>
    <w:uiPriority w:val="0"/>
    <w:pPr>
      <w:jc w:val="left"/>
    </w:pPr>
  </w:style>
  <w:style w:type="paragraph" w:styleId="7">
    <w:name w:val="Plain Text"/>
    <w:basedOn w:val="1"/>
    <w:link w:val="30"/>
    <w:qFormat/>
    <w:uiPriority w:val="0"/>
    <w:pPr>
      <w:ind w:firstLine="0" w:firstLineChars="0"/>
    </w:pPr>
    <w:rPr>
      <w:rFonts w:ascii="宋体" w:hAnsi="Courier New"/>
    </w:rPr>
  </w:style>
  <w:style w:type="paragraph" w:styleId="8">
    <w:name w:val="Date"/>
    <w:basedOn w:val="1"/>
    <w:next w:val="1"/>
    <w:link w:val="29"/>
    <w:qFormat/>
    <w:uiPriority w:val="0"/>
    <w:pPr>
      <w:ind w:left="100" w:leftChars="2500"/>
    </w:pPr>
  </w:style>
  <w:style w:type="paragraph" w:styleId="9">
    <w:name w:val="Body Text Indent 2"/>
    <w:basedOn w:val="1"/>
    <w:qFormat/>
    <w:uiPriority w:val="0"/>
    <w:pPr>
      <w:spacing w:after="120" w:line="480" w:lineRule="auto"/>
      <w:ind w:left="420" w:leftChars="2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qFormat/>
    <w:uiPriority w:val="39"/>
  </w:style>
  <w:style w:type="paragraph" w:styleId="14">
    <w:name w:val="HTML Preformatted"/>
    <w:basedOn w:val="1"/>
    <w:link w:val="25"/>
    <w:qFormat/>
    <w:uiPriority w:val="0"/>
    <w:rPr>
      <w:rFonts w:ascii="Courier New" w:hAnsi="Courier New"/>
      <w:sz w:val="20"/>
      <w:szCs w:val="20"/>
    </w:rPr>
  </w:style>
  <w:style w:type="paragraph" w:styleId="15">
    <w:name w:val="Title"/>
    <w:basedOn w:val="1"/>
    <w:next w:val="1"/>
    <w:qFormat/>
    <w:uiPriority w:val="0"/>
    <w:pPr>
      <w:spacing w:before="240" w:after="60"/>
      <w:jc w:val="center"/>
      <w:outlineLvl w:val="0"/>
    </w:pPr>
    <w:rPr>
      <w:rFonts w:ascii="Cambria" w:hAnsi="Cambria"/>
      <w:b/>
      <w:bCs/>
      <w:sz w:val="32"/>
      <w:szCs w:val="32"/>
    </w:rPr>
  </w:style>
  <w:style w:type="paragraph" w:styleId="16">
    <w:name w:val="annotation subject"/>
    <w:basedOn w:val="6"/>
    <w:next w:val="6"/>
    <w:link w:val="28"/>
    <w:qFormat/>
    <w:uiPriority w:val="0"/>
    <w:rPr>
      <w:b/>
      <w:bCs/>
    </w:rPr>
  </w:style>
  <w:style w:type="table" w:styleId="18">
    <w:name w:val="Table Grid"/>
    <w:basedOn w:val="17"/>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FollowedHyperlink"/>
    <w:qFormat/>
    <w:uiPriority w:val="0"/>
    <w:rPr>
      <w:color w:val="800080"/>
      <w:u w:val="single"/>
    </w:rPr>
  </w:style>
  <w:style w:type="character" w:styleId="22">
    <w:name w:val="Emphasis"/>
    <w:qFormat/>
    <w:uiPriority w:val="0"/>
    <w:rPr>
      <w:i/>
    </w:rPr>
  </w:style>
  <w:style w:type="character" w:styleId="23">
    <w:name w:val="Hyperlink"/>
    <w:qFormat/>
    <w:uiPriority w:val="99"/>
    <w:rPr>
      <w:color w:val="0000FF"/>
      <w:u w:val="single"/>
    </w:rPr>
  </w:style>
  <w:style w:type="character" w:styleId="24">
    <w:name w:val="annotation reference"/>
    <w:qFormat/>
    <w:uiPriority w:val="0"/>
    <w:rPr>
      <w:sz w:val="21"/>
      <w:szCs w:val="21"/>
    </w:rPr>
  </w:style>
  <w:style w:type="character" w:customStyle="1" w:styleId="25">
    <w:name w:val="HTML 预设格式 字符"/>
    <w:link w:val="14"/>
    <w:qFormat/>
    <w:uiPriority w:val="0"/>
    <w:rPr>
      <w:rFonts w:ascii="Courier New" w:hAnsi="Courier New" w:cs="Courier New"/>
      <w:kern w:val="2"/>
    </w:rPr>
  </w:style>
  <w:style w:type="character" w:customStyle="1" w:styleId="26">
    <w:name w:val="标题 1 字符"/>
    <w:link w:val="4"/>
    <w:qFormat/>
    <w:uiPriority w:val="0"/>
    <w:rPr>
      <w:rFonts w:ascii="Calibri" w:hAnsi="Calibri"/>
      <w:b/>
      <w:bCs/>
      <w:kern w:val="44"/>
      <w:sz w:val="44"/>
      <w:szCs w:val="44"/>
    </w:rPr>
  </w:style>
  <w:style w:type="character" w:customStyle="1" w:styleId="27">
    <w:name w:val="批注文字 字符"/>
    <w:link w:val="6"/>
    <w:qFormat/>
    <w:uiPriority w:val="0"/>
    <w:rPr>
      <w:kern w:val="2"/>
      <w:sz w:val="21"/>
      <w:szCs w:val="24"/>
    </w:rPr>
  </w:style>
  <w:style w:type="character" w:customStyle="1" w:styleId="28">
    <w:name w:val="批注主题 字符"/>
    <w:link w:val="16"/>
    <w:qFormat/>
    <w:uiPriority w:val="0"/>
    <w:rPr>
      <w:b/>
      <w:bCs/>
      <w:kern w:val="2"/>
      <w:sz w:val="21"/>
      <w:szCs w:val="24"/>
    </w:rPr>
  </w:style>
  <w:style w:type="character" w:customStyle="1" w:styleId="29">
    <w:name w:val="日期 字符"/>
    <w:link w:val="8"/>
    <w:qFormat/>
    <w:uiPriority w:val="0"/>
    <w:rPr>
      <w:kern w:val="2"/>
      <w:sz w:val="21"/>
      <w:szCs w:val="24"/>
    </w:rPr>
  </w:style>
  <w:style w:type="character" w:customStyle="1" w:styleId="30">
    <w:name w:val="纯文本 字符"/>
    <w:link w:val="7"/>
    <w:qFormat/>
    <w:uiPriority w:val="0"/>
    <w:rPr>
      <w:rFonts w:ascii="宋体" w:hAnsi="Courier New"/>
      <w:kern w:val="2"/>
      <w:sz w:val="21"/>
      <w:szCs w:val="24"/>
    </w:rPr>
  </w:style>
  <w:style w:type="paragraph" w:customStyle="1" w:styleId="31">
    <w:name w:val="列出段落1"/>
    <w:basedOn w:val="1"/>
    <w:qFormat/>
    <w:uiPriority w:val="99"/>
    <w:pPr>
      <w:ind w:firstLine="420"/>
    </w:pPr>
    <w:rPr>
      <w:rFonts w:ascii="等线" w:hAnsi="等线" w:eastAsia="等线"/>
      <w:szCs w:val="22"/>
    </w:rPr>
  </w:style>
  <w:style w:type="paragraph" w:customStyle="1" w:styleId="32">
    <w:name w:val="Char Char"/>
    <w:basedOn w:val="1"/>
    <w:qFormat/>
    <w:uiPriority w:val="0"/>
  </w:style>
  <w:style w:type="paragraph" w:customStyle="1" w:styleId="33">
    <w:name w:val="正文表格"/>
    <w:basedOn w:val="1"/>
    <w:qFormat/>
    <w:uiPriority w:val="0"/>
    <w:pPr>
      <w:spacing w:before="60" w:after="60"/>
    </w:pPr>
    <w:rPr>
      <w:sz w:val="24"/>
    </w:rPr>
  </w:style>
  <w:style w:type="paragraph" w:customStyle="1" w:styleId="34">
    <w:name w:val="1"/>
    <w:basedOn w:val="1"/>
    <w:next w:val="9"/>
    <w:qFormat/>
    <w:uiPriority w:val="0"/>
    <w:pPr>
      <w:spacing w:before="60" w:after="60"/>
      <w:ind w:firstLine="425"/>
    </w:pPr>
    <w:rPr>
      <w:sz w:val="24"/>
    </w:rPr>
  </w:style>
  <w:style w:type="paragraph" w:customStyle="1" w:styleId="35">
    <w:name w:val="p0"/>
    <w:basedOn w:val="1"/>
    <w:qFormat/>
    <w:uiPriority w:val="0"/>
    <w:pPr>
      <w:widowControl/>
    </w:pPr>
    <w:rPr>
      <w:kern w:val="0"/>
      <w:szCs w:val="21"/>
    </w:rPr>
  </w:style>
  <w:style w:type="paragraph" w:styleId="36">
    <w:name w:val="List Paragraph"/>
    <w:basedOn w:val="1"/>
    <w:qFormat/>
    <w:uiPriority w:val="34"/>
    <w:pPr>
      <w:ind w:firstLine="420"/>
    </w:pPr>
  </w:style>
  <w:style w:type="paragraph" w:customStyle="1" w:styleId="37">
    <w:name w:val="TOC 标题1"/>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A24037-A056-4980-8551-5DA592A51555}">
  <ds:schemaRefs/>
</ds:datastoreItem>
</file>

<file path=customXml/itemProps3.xml><?xml version="1.0" encoding="utf-8"?>
<ds:datastoreItem xmlns:ds="http://schemas.openxmlformats.org/officeDocument/2006/customXml" ds:itemID="{FAA1AC43-33FE-4C2A-AA3E-839A35D7DF1D}">
  <ds:schemaRefs/>
</ds:datastoreItem>
</file>

<file path=docProps/app.xml><?xml version="1.0" encoding="utf-8"?>
<Properties xmlns="http://schemas.openxmlformats.org/officeDocument/2006/extended-properties" xmlns:vt="http://schemas.openxmlformats.org/officeDocument/2006/docPropsVTypes">
  <Template>Normal</Template>
  <Pages>32</Pages>
  <Words>2434</Words>
  <Characters>13879</Characters>
  <Lines>115</Lines>
  <Paragraphs>32</Paragraphs>
  <TotalTime>10</TotalTime>
  <ScaleCrop>false</ScaleCrop>
  <LinksUpToDate>false</LinksUpToDate>
  <CharactersWithSpaces>16281</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2022-04-11T02:01:00Z</dcterms:created>
  <dc:creator>Administrator</dc:creator>
  <cp:lastModifiedBy>多年以后</cp:lastModifiedBy>
  <cp:lastPrinted>2019-07-01T18:06:00Z</cp:lastPrinted>
  <dcterms:modified xsi:type="dcterms:W3CDTF">2022-04-22T00:41:36Z</dcterms:modified>
  <dc:title>浙江丰安生物制药有限公司14.9723%国有法人股权</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71BEAD7DE0F04DAF89E08EF19DD6CA0B</vt:lpwstr>
  </property>
</Properties>
</file>