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977" w:firstLineChars="349"/>
        <w:rPr>
          <w:rFonts w:ascii="宋体" w:hAnsi="宋体"/>
          <w:color w:val="auto"/>
          <w:sz w:val="28"/>
          <w:szCs w:val="28"/>
          <w:highlight w:val="none"/>
        </w:rPr>
      </w:pPr>
      <w:bookmarkStart w:id="0" w:name="_Toc13047"/>
      <w:bookmarkStart w:id="1" w:name="_Toc528773690"/>
      <w:bookmarkStart w:id="2" w:name="_Toc24912"/>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spacing w:line="360" w:lineRule="auto"/>
        <w:ind w:left="8138" w:leftChars="-95" w:right="-395" w:rightChars="-188" w:hanging="8337" w:hangingChars="1654"/>
        <w:jc w:val="center"/>
        <w:rPr>
          <w:rFonts w:hint="default" w:ascii="黑体" w:hAnsi="宋体" w:eastAsia="黑体"/>
          <w:b/>
          <w:color w:val="auto"/>
          <w:spacing w:val="-9"/>
          <w:sz w:val="52"/>
          <w:szCs w:val="48"/>
          <w:highlight w:val="none"/>
          <w:lang w:val="en-US" w:eastAsia="zh-CN"/>
        </w:rPr>
      </w:pPr>
      <w:r>
        <w:rPr>
          <w:rFonts w:hint="eastAsia" w:ascii="黑体" w:hAnsi="宋体" w:eastAsia="黑体"/>
          <w:b/>
          <w:color w:val="auto"/>
          <w:spacing w:val="-9"/>
          <w:sz w:val="52"/>
          <w:szCs w:val="48"/>
          <w:highlight w:val="none"/>
          <w:lang w:eastAsia="zh-CN"/>
        </w:rPr>
        <w:t>台州四强新型建材有限公司</w:t>
      </w:r>
      <w:r>
        <w:rPr>
          <w:rFonts w:hint="eastAsia" w:ascii="黑体" w:hAnsi="宋体" w:eastAsia="黑体"/>
          <w:b/>
          <w:color w:val="auto"/>
          <w:spacing w:val="-9"/>
          <w:sz w:val="52"/>
          <w:szCs w:val="48"/>
          <w:highlight w:val="none"/>
          <w:lang w:val="en-US" w:eastAsia="zh-CN"/>
        </w:rPr>
        <w:t>10%</w:t>
      </w:r>
      <w:r>
        <w:rPr>
          <w:rFonts w:hint="eastAsia" w:ascii="黑体" w:hAnsi="宋体" w:eastAsia="黑体"/>
          <w:b/>
          <w:color w:val="auto"/>
          <w:spacing w:val="-9"/>
          <w:sz w:val="52"/>
          <w:szCs w:val="48"/>
          <w:highlight w:val="none"/>
        </w:rPr>
        <w:t>股权</w:t>
      </w:r>
    </w:p>
    <w:p>
      <w:pPr>
        <w:spacing w:line="360" w:lineRule="auto"/>
        <w:ind w:left="8435" w:leftChars="-95" w:right="-395" w:rightChars="-188" w:hanging="8634" w:hangingChars="1654"/>
        <w:jc w:val="center"/>
        <w:rPr>
          <w:rFonts w:ascii="黑体" w:hAnsi="宋体" w:eastAsia="黑体"/>
          <w:b/>
          <w:color w:val="auto"/>
          <w:sz w:val="52"/>
          <w:szCs w:val="48"/>
          <w:highlight w:val="none"/>
        </w:rPr>
      </w:pPr>
    </w:p>
    <w:p>
      <w:pPr>
        <w:spacing w:line="360" w:lineRule="auto"/>
        <w:ind w:firstLine="964"/>
        <w:jc w:val="center"/>
        <w:rPr>
          <w:rFonts w:ascii="黑体" w:hAnsi="宋体" w:eastAsia="黑体"/>
          <w:b/>
          <w:color w:val="auto"/>
          <w:sz w:val="48"/>
          <w:szCs w:val="48"/>
          <w:highlight w:val="none"/>
        </w:rPr>
      </w:pPr>
    </w:p>
    <w:p>
      <w:pPr>
        <w:spacing w:line="360" w:lineRule="auto"/>
        <w:ind w:firstLine="0" w:firstLineChars="0"/>
        <w:jc w:val="center"/>
        <w:rPr>
          <w:rFonts w:ascii="黑体" w:hAnsi="宋体" w:eastAsia="黑体"/>
          <w:b/>
          <w:color w:val="auto"/>
          <w:sz w:val="68"/>
          <w:szCs w:val="68"/>
          <w:highlight w:val="none"/>
        </w:rPr>
      </w:pPr>
      <w:r>
        <w:rPr>
          <w:rFonts w:hint="eastAsia" w:ascii="黑体" w:hAnsi="宋体" w:eastAsia="黑体"/>
          <w:b/>
          <w:color w:val="auto"/>
          <w:sz w:val="68"/>
          <w:szCs w:val="68"/>
          <w:highlight w:val="none"/>
        </w:rPr>
        <w:t>转 让 文 件</w:t>
      </w:r>
    </w:p>
    <w:p>
      <w:pPr>
        <w:spacing w:line="360" w:lineRule="auto"/>
        <w:ind w:firstLine="643"/>
        <w:jc w:val="center"/>
        <w:rPr>
          <w:rFonts w:ascii="黑体" w:hAnsi="宋体" w:eastAsia="黑体"/>
          <w:b/>
          <w:color w:val="auto"/>
          <w:sz w:val="32"/>
          <w:szCs w:val="32"/>
          <w:highlight w:val="none"/>
        </w:rPr>
      </w:pPr>
    </w:p>
    <w:p>
      <w:pPr>
        <w:spacing w:line="360" w:lineRule="auto"/>
        <w:ind w:firstLine="0" w:firstLineChars="0"/>
        <w:jc w:val="center"/>
        <w:rPr>
          <w:rFonts w:ascii="黑体" w:hAnsi="宋体" w:eastAsia="黑体"/>
          <w:b/>
          <w:color w:val="auto"/>
          <w:sz w:val="32"/>
          <w:szCs w:val="32"/>
          <w:highlight w:val="none"/>
        </w:rPr>
      </w:pPr>
      <w:r>
        <w:rPr>
          <w:rFonts w:hint="eastAsia" w:ascii="黑体" w:hAnsi="宋体" w:eastAsia="黑体"/>
          <w:b/>
          <w:color w:val="auto"/>
          <w:sz w:val="32"/>
          <w:szCs w:val="32"/>
          <w:highlight w:val="none"/>
        </w:rPr>
        <w:t>台交所挂〔</w:t>
      </w:r>
      <w:r>
        <w:rPr>
          <w:rFonts w:hint="eastAsia" w:ascii="黑体" w:hAnsi="宋体" w:eastAsia="黑体"/>
          <w:b/>
          <w:color w:val="auto"/>
          <w:sz w:val="32"/>
          <w:szCs w:val="32"/>
          <w:highlight w:val="none"/>
          <w:lang w:val="en-US" w:eastAsia="zh-CN"/>
        </w:rPr>
        <w:t>2021</w:t>
      </w:r>
      <w:r>
        <w:rPr>
          <w:rFonts w:hint="eastAsia" w:ascii="黑体" w:hAnsi="宋体" w:eastAsia="黑体"/>
          <w:b/>
          <w:color w:val="auto"/>
          <w:sz w:val="32"/>
          <w:szCs w:val="32"/>
          <w:highlight w:val="none"/>
        </w:rPr>
        <w:t>〕</w:t>
      </w:r>
      <w:r>
        <w:rPr>
          <w:rFonts w:hint="eastAsia" w:ascii="黑体" w:hAnsi="宋体" w:eastAsia="黑体"/>
          <w:b/>
          <w:color w:val="auto"/>
          <w:sz w:val="32"/>
          <w:szCs w:val="32"/>
          <w:highlight w:val="none"/>
          <w:lang w:val="en-US" w:eastAsia="zh-CN"/>
        </w:rPr>
        <w:t>34</w:t>
      </w:r>
      <w:r>
        <w:rPr>
          <w:rFonts w:hint="eastAsia" w:ascii="黑体" w:hAnsi="宋体" w:eastAsia="黑体"/>
          <w:b/>
          <w:color w:val="auto"/>
          <w:sz w:val="32"/>
          <w:szCs w:val="32"/>
          <w:highlight w:val="none"/>
        </w:rPr>
        <w:t>号</w:t>
      </w:r>
    </w:p>
    <w:p>
      <w:pPr>
        <w:spacing w:line="360" w:lineRule="auto"/>
        <w:ind w:firstLine="1365"/>
        <w:jc w:val="center"/>
        <w:rPr>
          <w:rFonts w:ascii="黑体" w:hAnsi="宋体" w:eastAsia="黑体"/>
          <w:b/>
          <w:color w:val="auto"/>
          <w:sz w:val="68"/>
          <w:szCs w:val="68"/>
          <w:highlight w:val="none"/>
        </w:rPr>
      </w:pPr>
    </w:p>
    <w:p>
      <w:pPr>
        <w:spacing w:line="360" w:lineRule="auto"/>
        <w:ind w:firstLine="560"/>
        <w:rPr>
          <w:rFonts w:ascii="宋体" w:hAnsi="宋体"/>
          <w:color w:val="auto"/>
          <w:sz w:val="28"/>
          <w:szCs w:val="28"/>
          <w:highlight w:val="none"/>
        </w:rPr>
      </w:pPr>
    </w:p>
    <w:p>
      <w:pPr>
        <w:ind w:firstLine="0" w:firstLineChars="0"/>
        <w:rPr>
          <w:rFonts w:ascii="宋体" w:hAnsi="宋体"/>
          <w:color w:val="auto"/>
          <w:sz w:val="28"/>
          <w:szCs w:val="28"/>
          <w:highlight w:val="none"/>
        </w:rPr>
      </w:pPr>
    </w:p>
    <w:p>
      <w:pPr>
        <w:ind w:firstLine="560"/>
        <w:rPr>
          <w:rFonts w:ascii="宋体" w:hAnsi="宋体"/>
          <w:color w:val="auto"/>
          <w:sz w:val="28"/>
          <w:szCs w:val="28"/>
          <w:highlight w:val="none"/>
        </w:rPr>
      </w:pPr>
    </w:p>
    <w:p>
      <w:pPr>
        <w:ind w:left="0" w:leftChars="0" w:right="-693" w:rightChars="-330" w:firstLine="0" w:firstLineChars="0"/>
        <w:rPr>
          <w:rFonts w:ascii="宋体" w:hAnsi="宋体"/>
          <w:color w:val="auto"/>
          <w:sz w:val="28"/>
          <w:szCs w:val="28"/>
          <w:highlight w:val="none"/>
        </w:rPr>
      </w:pPr>
    </w:p>
    <w:p>
      <w:pPr>
        <w:ind w:left="-540" w:leftChars="-257" w:right="-693" w:rightChars="-330" w:firstLine="560"/>
        <w:rPr>
          <w:rFonts w:ascii="宋体" w:hAnsi="宋体"/>
          <w:color w:val="auto"/>
          <w:sz w:val="28"/>
          <w:szCs w:val="28"/>
          <w:highlight w:val="none"/>
        </w:rPr>
      </w:pPr>
    </w:p>
    <w:p>
      <w:pPr>
        <w:ind w:left="-540" w:leftChars="-257" w:right="-693" w:rightChars="-330" w:firstLine="560"/>
        <w:rPr>
          <w:rFonts w:ascii="宋体" w:hAnsi="宋体"/>
          <w:color w:val="auto"/>
          <w:sz w:val="28"/>
          <w:szCs w:val="28"/>
          <w:highlight w:val="none"/>
        </w:rPr>
      </w:pPr>
    </w:p>
    <w:p>
      <w:pPr>
        <w:ind w:firstLine="0" w:firstLineChars="0"/>
        <w:rPr>
          <w:rFonts w:ascii="宋体" w:hAnsi="宋体"/>
          <w:b/>
          <w:color w:val="auto"/>
          <w:sz w:val="18"/>
          <w:szCs w:val="18"/>
          <w:highlight w:val="none"/>
        </w:rPr>
      </w:pPr>
      <w:r>
        <w:rPr>
          <w:rFonts w:hint="eastAsia" w:ascii="宋体" w:hAnsi="宋体"/>
          <w:b/>
          <w:color w:val="auto"/>
          <w:sz w:val="18"/>
          <w:szCs w:val="18"/>
          <w:highlight w:val="none"/>
        </w:rPr>
        <w:t>◎台州市产权交易所有限公司◎地址：台州市市府大道777号民泰银行5楼511室◎电话：88685177 88685180◎网址：www.tzpre.com</w:t>
      </w:r>
    </w:p>
    <w:p>
      <w:pPr>
        <w:spacing w:line="720" w:lineRule="auto"/>
        <w:ind w:firstLine="562"/>
        <w:jc w:val="center"/>
        <w:rPr>
          <w:rFonts w:ascii="宋体" w:hAnsi="宋体"/>
          <w:b/>
          <w:bCs/>
          <w:color w:val="auto"/>
          <w:sz w:val="28"/>
          <w:szCs w:val="28"/>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701" w:right="1474" w:bottom="1701" w:left="1587" w:header="851" w:footer="992" w:gutter="0"/>
          <w:pgNumType w:fmt="numberInDash"/>
          <w:cols w:space="720" w:num="1"/>
          <w:docGrid w:type="lines" w:linePitch="312" w:charSpace="0"/>
        </w:sectPr>
      </w:pPr>
    </w:p>
    <w:p>
      <w:pPr>
        <w:spacing w:line="720" w:lineRule="auto"/>
        <w:ind w:firstLine="0" w:firstLineChars="0"/>
        <w:jc w:val="center"/>
        <w:rPr>
          <w:rFonts w:ascii="黑体" w:hAnsi="宋体" w:eastAsia="黑体"/>
          <w:b/>
          <w:bCs/>
          <w:color w:val="auto"/>
          <w:sz w:val="84"/>
          <w:highlight w:val="none"/>
        </w:rPr>
      </w:pPr>
      <w:r>
        <w:rPr>
          <w:rFonts w:hint="eastAsia" w:ascii="黑体" w:hAnsi="宋体" w:eastAsia="黑体"/>
          <w:b/>
          <w:bCs/>
          <w:color w:val="auto"/>
          <w:sz w:val="84"/>
          <w:highlight w:val="none"/>
        </w:rPr>
        <w:t>目　</w:t>
      </w:r>
      <w:r>
        <w:rPr>
          <w:rFonts w:ascii="黑体" w:hAnsi="宋体" w:eastAsia="黑体"/>
          <w:b/>
          <w:bCs/>
          <w:color w:val="auto"/>
          <w:sz w:val="84"/>
          <w:highlight w:val="none"/>
        </w:rPr>
        <w:t xml:space="preserve"> 录</w:t>
      </w:r>
    </w:p>
    <w:p>
      <w:pPr>
        <w:spacing w:line="60" w:lineRule="auto"/>
        <w:ind w:firstLine="0" w:firstLineChars="0"/>
        <w:jc w:val="center"/>
        <w:rPr>
          <w:rFonts w:hint="eastAsia" w:ascii="宋体" w:hAnsi="宋体" w:eastAsia="宋体"/>
          <w:b/>
          <w:bCs w:val="0"/>
          <w:color w:val="auto"/>
          <w:spacing w:val="0"/>
          <w:sz w:val="40"/>
          <w:szCs w:val="32"/>
          <w:highlight w:val="none"/>
        </w:rPr>
      </w:pPr>
      <w:r>
        <w:rPr>
          <w:rFonts w:hint="eastAsia" w:ascii="宋体" w:hAnsi="宋体" w:eastAsia="宋体"/>
          <w:b/>
          <w:bCs w:val="0"/>
          <w:color w:val="auto"/>
          <w:spacing w:val="0"/>
          <w:sz w:val="40"/>
          <w:szCs w:val="32"/>
          <w:highlight w:val="none"/>
          <w:lang w:eastAsia="zh-CN"/>
        </w:rPr>
        <w:t>台州四强新型建材有限公司</w:t>
      </w:r>
      <w:r>
        <w:rPr>
          <w:rFonts w:hint="eastAsia" w:ascii="宋体" w:hAnsi="宋体" w:eastAsia="宋体"/>
          <w:b/>
          <w:bCs w:val="0"/>
          <w:color w:val="auto"/>
          <w:spacing w:val="0"/>
          <w:sz w:val="40"/>
          <w:szCs w:val="32"/>
          <w:highlight w:val="none"/>
          <w:lang w:val="en-US" w:eastAsia="zh-CN"/>
        </w:rPr>
        <w:t>10%</w:t>
      </w:r>
      <w:r>
        <w:rPr>
          <w:rFonts w:hint="eastAsia" w:ascii="宋体" w:hAnsi="宋体" w:eastAsia="宋体"/>
          <w:b/>
          <w:bCs w:val="0"/>
          <w:color w:val="auto"/>
          <w:spacing w:val="0"/>
          <w:sz w:val="40"/>
          <w:szCs w:val="32"/>
          <w:highlight w:val="none"/>
        </w:rPr>
        <w:t>股权</w:t>
      </w:r>
    </w:p>
    <w:p>
      <w:pPr>
        <w:spacing w:line="60" w:lineRule="auto"/>
        <w:ind w:firstLine="0" w:firstLineChars="0"/>
        <w:jc w:val="center"/>
        <w:rPr>
          <w:rFonts w:hint="eastAsia" w:ascii="宋体" w:hAnsi="宋体" w:eastAsia="宋体"/>
          <w:b/>
          <w:bCs w:val="0"/>
          <w:color w:val="auto"/>
          <w:spacing w:val="0"/>
          <w:sz w:val="40"/>
          <w:szCs w:val="32"/>
          <w:highlight w:val="none"/>
        </w:rPr>
      </w:pPr>
      <w:r>
        <w:rPr>
          <w:rFonts w:hint="eastAsia" w:ascii="宋体" w:hAnsi="宋体" w:eastAsia="宋体"/>
          <w:b/>
          <w:bCs w:val="0"/>
          <w:color w:val="auto"/>
          <w:spacing w:val="0"/>
          <w:sz w:val="40"/>
          <w:szCs w:val="32"/>
          <w:highlight w:val="none"/>
        </w:rPr>
        <w:t>转让文件</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b/>
          <w:bCs/>
          <w:color w:val="auto"/>
          <w:sz w:val="32"/>
          <w:szCs w:val="32"/>
          <w:highlight w:val="none"/>
        </w:rPr>
      </w:pP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color w:val="auto"/>
          <w:sz w:val="32"/>
          <w:szCs w:val="32"/>
          <w:highlight w:val="none"/>
        </w:rPr>
      </w:pPr>
      <w:r>
        <w:rPr>
          <w:b/>
          <w:bCs/>
          <w:color w:val="auto"/>
          <w:sz w:val="32"/>
          <w:szCs w:val="32"/>
          <w:highlight w:val="none"/>
        </w:rPr>
        <w:fldChar w:fldCharType="begin"/>
      </w:r>
      <w:r>
        <w:rPr>
          <w:b/>
          <w:bCs/>
          <w:color w:val="auto"/>
          <w:sz w:val="32"/>
          <w:szCs w:val="32"/>
          <w:highlight w:val="none"/>
        </w:rPr>
        <w:instrText xml:space="preserve"> TOC \o "1-3" \h \z \u </w:instrText>
      </w:r>
      <w:r>
        <w:rPr>
          <w:b/>
          <w:bCs/>
          <w:color w:val="auto"/>
          <w:sz w:val="32"/>
          <w:szCs w:val="32"/>
          <w:highlight w:val="none"/>
        </w:rPr>
        <w:fldChar w:fldCharType="separate"/>
      </w:r>
      <w:r>
        <w:rPr>
          <w:color w:val="auto"/>
          <w:sz w:val="32"/>
          <w:szCs w:val="32"/>
          <w:highlight w:val="none"/>
        </w:rPr>
        <w:fldChar w:fldCharType="begin"/>
      </w:r>
      <w:r>
        <w:rPr>
          <w:color w:val="auto"/>
          <w:sz w:val="32"/>
          <w:szCs w:val="32"/>
          <w:highlight w:val="none"/>
        </w:rPr>
        <w:instrText xml:space="preserve"> HYPERLINK \l "_Toc24912" </w:instrText>
      </w:r>
      <w:r>
        <w:rPr>
          <w:color w:val="auto"/>
          <w:sz w:val="32"/>
          <w:szCs w:val="32"/>
          <w:highlight w:val="none"/>
        </w:rPr>
        <w:fldChar w:fldCharType="separate"/>
      </w:r>
      <w:r>
        <w:rPr>
          <w:rFonts w:hint="eastAsia"/>
          <w:color w:val="auto"/>
          <w:sz w:val="32"/>
          <w:szCs w:val="32"/>
          <w:highlight w:val="none"/>
        </w:rPr>
        <w:t>股权转让公告</w:t>
      </w:r>
      <w:r>
        <w:rPr>
          <w:color w:val="auto"/>
          <w:sz w:val="32"/>
          <w:szCs w:val="32"/>
          <w:highlight w:val="none"/>
        </w:rPr>
        <w:tab/>
      </w:r>
      <w:r>
        <w:rPr>
          <w:rFonts w:hint="eastAsia"/>
          <w:color w:val="auto"/>
          <w:sz w:val="32"/>
          <w:szCs w:val="32"/>
          <w:highlight w:val="none"/>
          <w:lang w:val="en-US" w:eastAsia="zh-CN"/>
        </w:rPr>
        <w:t>3</w:t>
      </w:r>
      <w:r>
        <w:rPr>
          <w:color w:val="auto"/>
          <w:sz w:val="32"/>
          <w:szCs w:val="32"/>
          <w:highlight w:val="none"/>
        </w:rPr>
        <w:fldChar w:fldCharType="end"/>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eastAsia" w:ascii="Calibri" w:hAnsi="Calibri" w:eastAsia="宋体" w:cs="Times New Roman"/>
          <w:b/>
          <w:bCs/>
          <w:color w:val="auto"/>
          <w:kern w:val="44"/>
          <w:sz w:val="36"/>
          <w:szCs w:val="44"/>
          <w:highlight w:val="none"/>
          <w:lang w:val="en-US" w:eastAsia="zh-CN" w:bidi="ar-SA"/>
        </w:rPr>
      </w:pPr>
      <w:r>
        <w:rPr>
          <w:color w:val="auto"/>
          <w:sz w:val="32"/>
          <w:szCs w:val="32"/>
          <w:highlight w:val="none"/>
        </w:rPr>
        <w:fldChar w:fldCharType="begin"/>
      </w:r>
      <w:r>
        <w:rPr>
          <w:color w:val="auto"/>
          <w:sz w:val="32"/>
          <w:szCs w:val="32"/>
          <w:highlight w:val="none"/>
        </w:rPr>
        <w:instrText xml:space="preserve"> HYPERLINK \l "_Toc14112" </w:instrText>
      </w:r>
      <w:r>
        <w:rPr>
          <w:color w:val="auto"/>
          <w:sz w:val="32"/>
          <w:szCs w:val="32"/>
          <w:highlight w:val="none"/>
        </w:rPr>
        <w:fldChar w:fldCharType="separate"/>
      </w:r>
      <w:r>
        <w:rPr>
          <w:rFonts w:hint="eastAsia"/>
          <w:color w:val="auto"/>
          <w:sz w:val="32"/>
          <w:szCs w:val="32"/>
          <w:highlight w:val="none"/>
        </w:rPr>
        <w:t>转让须知</w:t>
      </w:r>
      <w:r>
        <w:rPr>
          <w:color w:val="auto"/>
          <w:sz w:val="32"/>
          <w:szCs w:val="32"/>
          <w:highlight w:val="none"/>
        </w:rPr>
        <w:tab/>
      </w:r>
      <w:r>
        <w:rPr>
          <w:rFonts w:hint="eastAsia"/>
          <w:color w:val="auto"/>
          <w:sz w:val="32"/>
          <w:szCs w:val="32"/>
          <w:highlight w:val="none"/>
          <w:lang w:val="en-US" w:eastAsia="zh-CN"/>
        </w:rPr>
        <w:t>5</w:t>
      </w:r>
      <w:r>
        <w:rPr>
          <w:color w:val="auto"/>
          <w:sz w:val="32"/>
          <w:szCs w:val="32"/>
          <w:highlight w:val="none"/>
        </w:rPr>
        <w:fldChar w:fldCharType="end"/>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pPr>
      <w:r>
        <w:rPr>
          <w:color w:val="auto"/>
          <w:sz w:val="32"/>
          <w:szCs w:val="32"/>
          <w:highlight w:val="none"/>
        </w:rPr>
        <w:fldChar w:fldCharType="begin"/>
      </w:r>
      <w:r>
        <w:rPr>
          <w:color w:val="auto"/>
          <w:sz w:val="32"/>
          <w:szCs w:val="32"/>
          <w:highlight w:val="none"/>
        </w:rPr>
        <w:instrText xml:space="preserve"> HYPERLINK \l "_Toc6233" </w:instrText>
      </w:r>
      <w:r>
        <w:rPr>
          <w:color w:val="auto"/>
          <w:sz w:val="32"/>
          <w:szCs w:val="32"/>
          <w:highlight w:val="none"/>
        </w:rPr>
        <w:fldChar w:fldCharType="separate"/>
      </w:r>
      <w:r>
        <w:rPr>
          <w:rFonts w:hint="eastAsia"/>
          <w:color w:val="auto"/>
          <w:sz w:val="32"/>
          <w:szCs w:val="32"/>
          <w:highlight w:val="none"/>
          <w:lang w:val="en-US" w:eastAsia="zh-CN"/>
        </w:rPr>
        <w:t>网络竞价规则</w:t>
      </w:r>
      <w:r>
        <w:rPr>
          <w:color w:val="auto"/>
          <w:sz w:val="32"/>
          <w:szCs w:val="32"/>
          <w:highlight w:val="none"/>
        </w:rPr>
        <w:tab/>
      </w:r>
      <w:r>
        <w:rPr>
          <w:rFonts w:hint="eastAsia"/>
          <w:color w:val="auto"/>
          <w:sz w:val="32"/>
          <w:szCs w:val="32"/>
          <w:highlight w:val="none"/>
        </w:rPr>
        <w:t>1</w:t>
      </w:r>
      <w:r>
        <w:rPr>
          <w:rFonts w:hint="eastAsia"/>
          <w:color w:val="auto"/>
          <w:sz w:val="32"/>
          <w:szCs w:val="32"/>
          <w:highlight w:val="none"/>
        </w:rPr>
        <w:fldChar w:fldCharType="end"/>
      </w:r>
      <w:r>
        <w:rPr>
          <w:rFonts w:hint="eastAsia"/>
          <w:bCs/>
          <w:color w:val="auto"/>
          <w:sz w:val="32"/>
          <w:szCs w:val="32"/>
          <w:highlight w:val="none"/>
          <w:lang w:val="en-US" w:eastAsia="zh-CN"/>
        </w:rPr>
        <w:t>2</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eastAsia" w:eastAsia="宋体"/>
          <w:color w:val="auto"/>
          <w:sz w:val="32"/>
          <w:szCs w:val="32"/>
          <w:highlight w:val="none"/>
          <w:lang w:eastAsia="zh-CN"/>
        </w:rPr>
      </w:pPr>
      <w:r>
        <w:rPr>
          <w:color w:val="auto"/>
          <w:sz w:val="32"/>
          <w:szCs w:val="32"/>
          <w:highlight w:val="none"/>
        </w:rPr>
        <w:fldChar w:fldCharType="begin"/>
      </w:r>
      <w:r>
        <w:rPr>
          <w:color w:val="auto"/>
          <w:sz w:val="32"/>
          <w:szCs w:val="32"/>
          <w:highlight w:val="none"/>
        </w:rPr>
        <w:instrText xml:space="preserve"> HYPERLINK \l "_Toc6233" </w:instrText>
      </w:r>
      <w:r>
        <w:rPr>
          <w:color w:val="auto"/>
          <w:sz w:val="32"/>
          <w:szCs w:val="32"/>
          <w:highlight w:val="none"/>
        </w:rPr>
        <w:fldChar w:fldCharType="separate"/>
      </w:r>
      <w:r>
        <w:rPr>
          <w:rFonts w:hint="eastAsia"/>
          <w:color w:val="auto"/>
          <w:sz w:val="32"/>
          <w:szCs w:val="32"/>
          <w:highlight w:val="none"/>
        </w:rPr>
        <w:t>竞买申请书</w:t>
      </w:r>
      <w:r>
        <w:rPr>
          <w:color w:val="auto"/>
          <w:sz w:val="32"/>
          <w:szCs w:val="32"/>
          <w:highlight w:val="none"/>
        </w:rPr>
        <w:tab/>
      </w:r>
      <w:r>
        <w:rPr>
          <w:rFonts w:hint="eastAsia"/>
          <w:color w:val="auto"/>
          <w:sz w:val="32"/>
          <w:szCs w:val="32"/>
          <w:highlight w:val="none"/>
        </w:rPr>
        <w:t>1</w:t>
      </w:r>
      <w:r>
        <w:rPr>
          <w:rFonts w:hint="eastAsia"/>
          <w:color w:val="auto"/>
          <w:sz w:val="32"/>
          <w:szCs w:val="32"/>
          <w:highlight w:val="none"/>
        </w:rPr>
        <w:fldChar w:fldCharType="end"/>
      </w:r>
      <w:r>
        <w:rPr>
          <w:rFonts w:hint="eastAsia"/>
          <w:bCs/>
          <w:color w:val="auto"/>
          <w:sz w:val="32"/>
          <w:szCs w:val="32"/>
          <w:highlight w:val="none"/>
          <w:lang w:val="en-US" w:eastAsia="zh-CN"/>
        </w:rPr>
        <w:t>6</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"_Toc30560" </w:instrText>
      </w:r>
      <w:r>
        <w:rPr>
          <w:color w:val="auto"/>
          <w:sz w:val="32"/>
          <w:szCs w:val="32"/>
          <w:highlight w:val="none"/>
        </w:rPr>
        <w:fldChar w:fldCharType="separate"/>
      </w:r>
      <w:r>
        <w:rPr>
          <w:rFonts w:hint="eastAsia"/>
          <w:color w:val="auto"/>
          <w:sz w:val="32"/>
          <w:szCs w:val="32"/>
          <w:highlight w:val="none"/>
        </w:rPr>
        <w:t>竞买人承诺函</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17</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"_Toc4653" </w:instrText>
      </w:r>
      <w:r>
        <w:rPr>
          <w:color w:val="auto"/>
          <w:sz w:val="32"/>
          <w:szCs w:val="32"/>
          <w:highlight w:val="none"/>
        </w:rPr>
        <w:fldChar w:fldCharType="separate"/>
      </w:r>
      <w:r>
        <w:rPr>
          <w:rFonts w:hint="eastAsia"/>
          <w:color w:val="auto"/>
          <w:sz w:val="32"/>
          <w:szCs w:val="32"/>
          <w:highlight w:val="none"/>
        </w:rPr>
        <w:t>成交确认书</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19</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"_Toc6735" </w:instrText>
      </w:r>
      <w:r>
        <w:rPr>
          <w:color w:val="auto"/>
          <w:sz w:val="32"/>
          <w:szCs w:val="32"/>
          <w:highlight w:val="none"/>
        </w:rPr>
        <w:fldChar w:fldCharType="separate"/>
      </w:r>
      <w:r>
        <w:rPr>
          <w:rFonts w:hint="eastAsia"/>
          <w:color w:val="auto"/>
          <w:sz w:val="32"/>
          <w:szCs w:val="32"/>
          <w:highlight w:val="none"/>
        </w:rPr>
        <w:t>转让合同</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21</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"_Toc14269" </w:instrText>
      </w:r>
      <w:r>
        <w:rPr>
          <w:color w:val="auto"/>
          <w:sz w:val="32"/>
          <w:szCs w:val="32"/>
          <w:highlight w:val="none"/>
        </w:rPr>
        <w:fldChar w:fldCharType="separate"/>
      </w:r>
      <w:r>
        <w:rPr>
          <w:rFonts w:hint="eastAsia"/>
          <w:color w:val="auto"/>
          <w:sz w:val="32"/>
          <w:szCs w:val="32"/>
          <w:highlight w:val="none"/>
        </w:rPr>
        <w:t>转让股权相关信息</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29</w:t>
      </w:r>
    </w:p>
    <w:p>
      <w:pPr>
        <w:pStyle w:val="8"/>
        <w:keepNext w:val="0"/>
        <w:keepLines w:val="0"/>
        <w:pageBreakBefore w:val="0"/>
        <w:widowControl w:val="0"/>
        <w:tabs>
          <w:tab w:val="right" w:leader="dot" w:pos="8844"/>
        </w:tabs>
        <w:kinsoku/>
        <w:wordWrap/>
        <w:overflowPunct/>
        <w:topLinePunct w:val="0"/>
        <w:autoSpaceDE/>
        <w:autoSpaceDN/>
        <w:bidi w:val="0"/>
        <w:adjustRightInd/>
        <w:snapToGrid/>
        <w:spacing w:line="720" w:lineRule="auto"/>
        <w:ind w:firstLine="0" w:firstLineChars="0"/>
        <w:textAlignment w:val="auto"/>
        <w:rPr>
          <w:rFonts w:hint="default" w:eastAsia="宋体"/>
          <w:color w:val="auto"/>
          <w:sz w:val="32"/>
          <w:szCs w:val="32"/>
          <w:highlight w:val="none"/>
          <w:lang w:val="en-US" w:eastAsia="zh-CN"/>
        </w:rPr>
      </w:pPr>
      <w:r>
        <w:rPr>
          <w:color w:val="auto"/>
          <w:sz w:val="32"/>
          <w:szCs w:val="32"/>
          <w:highlight w:val="none"/>
        </w:rPr>
        <w:fldChar w:fldCharType="begin"/>
      </w:r>
      <w:r>
        <w:rPr>
          <w:color w:val="auto"/>
          <w:sz w:val="32"/>
          <w:szCs w:val="32"/>
          <w:highlight w:val="none"/>
        </w:rPr>
        <w:instrText xml:space="preserve"> HYPERLINK \l "_Toc16293" </w:instrText>
      </w:r>
      <w:r>
        <w:rPr>
          <w:color w:val="auto"/>
          <w:sz w:val="32"/>
          <w:szCs w:val="32"/>
          <w:highlight w:val="none"/>
        </w:rPr>
        <w:fldChar w:fldCharType="separate"/>
      </w:r>
      <w:r>
        <w:rPr>
          <w:rFonts w:hint="eastAsia"/>
          <w:color w:val="auto"/>
          <w:sz w:val="32"/>
          <w:szCs w:val="32"/>
          <w:highlight w:val="none"/>
        </w:rPr>
        <w:t>台州市产权交易所有限公司简介</w:t>
      </w:r>
      <w:r>
        <w:rPr>
          <w:color w:val="auto"/>
          <w:sz w:val="32"/>
          <w:szCs w:val="32"/>
          <w:highlight w:val="none"/>
        </w:rPr>
        <w:tab/>
      </w:r>
      <w:r>
        <w:rPr>
          <w:color w:val="auto"/>
          <w:sz w:val="32"/>
          <w:szCs w:val="32"/>
          <w:highlight w:val="none"/>
        </w:rPr>
        <w:fldChar w:fldCharType="end"/>
      </w:r>
      <w:r>
        <w:rPr>
          <w:rFonts w:hint="eastAsia"/>
          <w:color w:val="auto"/>
          <w:sz w:val="32"/>
          <w:szCs w:val="32"/>
          <w:highlight w:val="none"/>
          <w:lang w:val="en-US" w:eastAsia="zh-CN"/>
        </w:rPr>
        <w:t>32</w:t>
      </w:r>
    </w:p>
    <w:p>
      <w:pPr>
        <w:spacing w:before="312" w:beforeLines="100" w:after="312" w:afterLines="100" w:line="480" w:lineRule="auto"/>
        <w:ind w:left="0" w:leftChars="0" w:firstLine="0" w:firstLineChars="0"/>
        <w:rPr>
          <w:rFonts w:hint="default" w:eastAsia="宋体"/>
          <w:color w:val="auto"/>
          <w:sz w:val="32"/>
          <w:szCs w:val="32"/>
          <w:highlight w:val="none"/>
          <w:lang w:val="en-US" w:eastAsia="zh-CN"/>
        </w:rPr>
      </w:pPr>
      <w:r>
        <w:rPr>
          <w:bCs/>
          <w:color w:val="auto"/>
          <w:sz w:val="32"/>
          <w:szCs w:val="32"/>
          <w:highlight w:val="none"/>
          <w:lang w:val="zh-CN"/>
        </w:rPr>
        <w:fldChar w:fldCharType="end"/>
      </w:r>
      <w:r>
        <w:rPr>
          <w:rFonts w:hint="eastAsia"/>
          <w:bCs/>
          <w:color w:val="auto"/>
          <w:sz w:val="32"/>
          <w:szCs w:val="32"/>
          <w:highlight w:val="none"/>
          <w:lang w:val="en-US" w:eastAsia="zh-CN"/>
        </w:rPr>
        <w:t>附件.................................................................................................33</w:t>
      </w:r>
    </w:p>
    <w:p>
      <w:pPr>
        <w:ind w:firstLine="562"/>
        <w:rPr>
          <w:rFonts w:ascii="宋体" w:hAnsi="宋体"/>
          <w:b/>
          <w:bCs/>
          <w:color w:val="auto"/>
          <w:sz w:val="28"/>
          <w:szCs w:val="28"/>
          <w:highlight w:val="none"/>
        </w:rPr>
      </w:pPr>
    </w:p>
    <w:p>
      <w:pPr>
        <w:ind w:firstLine="562"/>
        <w:jc w:val="center"/>
        <w:rPr>
          <w:rFonts w:ascii="宋体" w:hAnsi="宋体"/>
          <w:b/>
          <w:color w:val="auto"/>
          <w:sz w:val="28"/>
          <w:szCs w:val="28"/>
          <w:highlight w:val="none"/>
        </w:rPr>
        <w:sectPr>
          <w:footerReference r:id="rId9" w:type="default"/>
          <w:pgSz w:w="11906" w:h="16838"/>
          <w:pgMar w:top="1440" w:right="1531" w:bottom="1327" w:left="1531" w:header="851" w:footer="992" w:gutter="0"/>
          <w:pgNumType w:fmt="numberInDash"/>
          <w:cols w:space="720" w:num="1"/>
          <w:docGrid w:type="lines" w:linePitch="312" w:charSpace="0"/>
        </w:sectPr>
      </w:pPr>
    </w:p>
    <w:p>
      <w:pPr>
        <w:keepNext/>
        <w:keepLines/>
        <w:pageBreakBefore w:val="0"/>
        <w:widowControl w:val="0"/>
        <w:kinsoku/>
        <w:overflowPunct/>
        <w:topLinePunct w:val="0"/>
        <w:autoSpaceDE/>
        <w:autoSpaceDN/>
        <w:bidi w:val="0"/>
        <w:adjustRightInd/>
        <w:snapToGrid/>
        <w:spacing w:before="100" w:beforeAutospacing="1" w:after="100" w:afterAutospacing="1" w:line="240" w:lineRule="auto"/>
        <w:ind w:firstLine="0" w:firstLineChars="0"/>
        <w:jc w:val="center"/>
        <w:textAlignment w:val="auto"/>
        <w:outlineLvl w:val="0"/>
        <w:rPr>
          <w:rFonts w:ascii="Calibri" w:hAnsi="Calibri" w:eastAsia="宋体" w:cs="Times New Roman"/>
          <w:b/>
          <w:bCs/>
          <w:color w:val="auto"/>
          <w:kern w:val="44"/>
          <w:sz w:val="36"/>
          <w:szCs w:val="44"/>
          <w:highlight w:val="none"/>
          <w:lang w:val="en-US" w:eastAsia="zh-CN" w:bidi="ar-SA"/>
        </w:rPr>
      </w:pPr>
      <w:r>
        <w:rPr>
          <w:rFonts w:hint="eastAsia" w:ascii="Calibri" w:hAnsi="Calibri" w:eastAsia="宋体" w:cs="Times New Roman"/>
          <w:b/>
          <w:bCs/>
          <w:color w:val="auto"/>
          <w:kern w:val="44"/>
          <w:sz w:val="36"/>
          <w:szCs w:val="44"/>
          <w:highlight w:val="none"/>
          <w:lang w:val="en-US" w:eastAsia="zh-CN" w:bidi="ar-SA"/>
        </w:rPr>
        <w:t>股权转让公告</w:t>
      </w:r>
      <w:bookmarkEnd w:id="0"/>
      <w:bookmarkEnd w:id="1"/>
      <w:bookmarkEnd w:id="2"/>
    </w:p>
    <w:p>
      <w:pPr>
        <w:keepNext w:val="0"/>
        <w:keepLines w:val="0"/>
        <w:pageBreakBefore w:val="0"/>
        <w:kinsoku/>
        <w:overflowPunct/>
        <w:topLinePunct w:val="0"/>
        <w:autoSpaceDE/>
        <w:autoSpaceDN/>
        <w:bidi w:val="0"/>
        <w:adjustRightInd/>
        <w:snapToGrid/>
        <w:spacing w:line="240" w:lineRule="auto"/>
        <w:ind w:firstLine="0" w:firstLineChars="0"/>
        <w:jc w:val="center"/>
        <w:textAlignment w:val="auto"/>
        <w:rPr>
          <w:rFonts w:ascii="宋体" w:hAnsi="宋体"/>
          <w:bCs/>
          <w:color w:val="auto"/>
          <w:sz w:val="28"/>
          <w:szCs w:val="28"/>
          <w:highlight w:val="none"/>
        </w:rPr>
      </w:pPr>
      <w:r>
        <w:rPr>
          <w:rFonts w:hint="eastAsia" w:ascii="宋体" w:hAnsi="宋体"/>
          <w:bCs/>
          <w:color w:val="auto"/>
          <w:sz w:val="28"/>
          <w:szCs w:val="28"/>
          <w:highlight w:val="none"/>
        </w:rPr>
        <w:t>台交所挂〔</w:t>
      </w:r>
      <w:r>
        <w:rPr>
          <w:rFonts w:hint="eastAsia" w:ascii="宋体" w:hAnsi="宋体"/>
          <w:bCs/>
          <w:color w:val="auto"/>
          <w:sz w:val="28"/>
          <w:szCs w:val="28"/>
          <w:highlight w:val="none"/>
          <w:lang w:val="en-US" w:eastAsia="zh-CN"/>
        </w:rPr>
        <w:t>2021</w:t>
      </w:r>
      <w:r>
        <w:rPr>
          <w:rFonts w:hint="eastAsia" w:ascii="宋体" w:hAnsi="宋体"/>
          <w:bCs/>
          <w:color w:val="auto"/>
          <w:sz w:val="28"/>
          <w:szCs w:val="28"/>
          <w:highlight w:val="none"/>
        </w:rPr>
        <w:t>〕</w:t>
      </w:r>
      <w:r>
        <w:rPr>
          <w:rFonts w:hint="eastAsia" w:ascii="宋体" w:hAnsi="宋体"/>
          <w:bCs/>
          <w:color w:val="auto"/>
          <w:sz w:val="28"/>
          <w:szCs w:val="28"/>
          <w:highlight w:val="none"/>
          <w:lang w:val="en-US" w:eastAsia="zh-CN"/>
        </w:rPr>
        <w:t>34</w:t>
      </w:r>
      <w:r>
        <w:rPr>
          <w:rFonts w:hint="eastAsia" w:ascii="宋体" w:hAnsi="宋体"/>
          <w:bCs/>
          <w:color w:val="auto"/>
          <w:sz w:val="28"/>
          <w:szCs w:val="28"/>
          <w:highlight w:val="none"/>
        </w:rPr>
        <w:t>号</w:t>
      </w:r>
    </w:p>
    <w:p>
      <w:pPr>
        <w:keepNext w:val="0"/>
        <w:keepLines w:val="0"/>
        <w:pageBreakBefore w:val="0"/>
        <w:kinsoku/>
        <w:overflowPunct/>
        <w:topLinePunct w:val="0"/>
        <w:autoSpaceDE/>
        <w:autoSpaceDN/>
        <w:bidi w:val="0"/>
        <w:adjustRightInd/>
        <w:snapToGrid/>
        <w:spacing w:line="240" w:lineRule="auto"/>
        <w:ind w:firstLine="560"/>
        <w:textAlignment w:val="auto"/>
        <w:rPr>
          <w:rFonts w:ascii="宋体" w:hAnsi="宋体"/>
          <w:color w:val="auto"/>
          <w:sz w:val="28"/>
          <w:szCs w:val="28"/>
          <w:highlight w:val="none"/>
        </w:rPr>
      </w:pPr>
      <w:r>
        <w:rPr>
          <w:rFonts w:hint="eastAsia" w:ascii="宋体" w:hAnsi="宋体"/>
          <w:color w:val="auto"/>
          <w:sz w:val="28"/>
          <w:szCs w:val="28"/>
          <w:highlight w:val="none"/>
        </w:rPr>
        <w:t>受有关单位委托，台州市产权交易所有限公司（以下简称产交所）对</w:t>
      </w:r>
      <w:bookmarkStart w:id="3" w:name="_Hlk527011094"/>
      <w:bookmarkStart w:id="4" w:name="_Hlk526956940"/>
      <w:r>
        <w:rPr>
          <w:rFonts w:hint="eastAsia" w:ascii="宋体" w:hAnsi="宋体"/>
          <w:color w:val="auto"/>
          <w:sz w:val="28"/>
          <w:szCs w:val="28"/>
          <w:highlight w:val="none"/>
        </w:rPr>
        <w:t>玉环市国有资产投资经营集团有限公司持有的</w:t>
      </w:r>
      <w:bookmarkEnd w:id="3"/>
      <w:bookmarkEnd w:id="4"/>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股权进行公开转让，具体事宜公告如下：</w:t>
      </w:r>
    </w:p>
    <w:p>
      <w:pPr>
        <w:keepNext w:val="0"/>
        <w:keepLines w:val="0"/>
        <w:pageBreakBefore w:val="0"/>
        <w:numPr>
          <w:ilvl w:val="0"/>
          <w:numId w:val="1"/>
        </w:numPr>
        <w:kinsoku/>
        <w:overflowPunct/>
        <w:topLinePunct w:val="0"/>
        <w:autoSpaceDE/>
        <w:autoSpaceDN/>
        <w:bidi w:val="0"/>
        <w:adjustRightInd/>
        <w:snapToGrid/>
        <w:spacing w:line="240" w:lineRule="auto"/>
        <w:ind w:left="0" w:firstLine="562"/>
        <w:jc w:val="left"/>
        <w:textAlignment w:val="auto"/>
        <w:rPr>
          <w:rFonts w:ascii="宋体" w:hAnsi="宋体"/>
          <w:b/>
          <w:color w:val="auto"/>
          <w:sz w:val="28"/>
          <w:szCs w:val="28"/>
          <w:highlight w:val="none"/>
        </w:rPr>
      </w:pPr>
      <w:r>
        <w:rPr>
          <w:rFonts w:hint="eastAsia" w:ascii="宋体" w:hAnsi="宋体"/>
          <w:b/>
          <w:color w:val="auto"/>
          <w:sz w:val="28"/>
          <w:szCs w:val="28"/>
          <w:highlight w:val="none"/>
        </w:rPr>
        <w:t>转让标的、底价及保证金</w:t>
      </w:r>
    </w:p>
    <w:p>
      <w:pPr>
        <w:keepNext w:val="0"/>
        <w:keepLines w:val="0"/>
        <w:pageBreakBefore w:val="0"/>
        <w:kinsoku/>
        <w:overflowPunct/>
        <w:topLinePunct w:val="0"/>
        <w:autoSpaceDE/>
        <w:autoSpaceDN/>
        <w:bidi w:val="0"/>
        <w:adjustRightInd/>
        <w:snapToGrid/>
        <w:spacing w:line="240" w:lineRule="auto"/>
        <w:ind w:firstLine="560"/>
        <w:textAlignment w:val="auto"/>
        <w:rPr>
          <w:rFonts w:ascii="宋体" w:hAnsi="宋体"/>
          <w:color w:val="auto"/>
          <w:sz w:val="28"/>
          <w:szCs w:val="28"/>
          <w:highlight w:val="none"/>
        </w:rPr>
      </w:pPr>
      <w:r>
        <w:rPr>
          <w:rFonts w:hint="eastAsia" w:ascii="宋体" w:hAnsi="宋体"/>
          <w:color w:val="auto"/>
          <w:sz w:val="28"/>
          <w:szCs w:val="28"/>
          <w:highlight w:val="none"/>
        </w:rPr>
        <w:t>本次转让标的为</w:t>
      </w:r>
      <w:r>
        <w:rPr>
          <w:rFonts w:hint="eastAsia" w:ascii="宋体" w:hAnsi="宋体"/>
          <w:color w:val="auto"/>
          <w:sz w:val="28"/>
          <w:szCs w:val="28"/>
          <w:highlight w:val="none"/>
          <w:lang w:eastAsia="zh-CN"/>
        </w:rPr>
        <w:t>玉</w:t>
      </w:r>
      <w:r>
        <w:rPr>
          <w:rFonts w:hint="eastAsia" w:ascii="宋体" w:hAnsi="宋体"/>
          <w:color w:val="auto"/>
          <w:sz w:val="28"/>
          <w:szCs w:val="28"/>
          <w:highlight w:val="none"/>
        </w:rPr>
        <w:t>环市国有资产投资经营集团有限公司持有的</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股权，转让底价</w:t>
      </w:r>
      <w:r>
        <w:rPr>
          <w:rFonts w:hint="eastAsia" w:ascii="宋体" w:hAnsi="宋体"/>
          <w:color w:val="auto"/>
          <w:sz w:val="28"/>
          <w:szCs w:val="28"/>
          <w:highlight w:val="none"/>
          <w:lang w:val="en-US" w:eastAsia="zh-CN"/>
        </w:rPr>
        <w:t>6,397,258.00</w:t>
      </w:r>
      <w:r>
        <w:rPr>
          <w:rFonts w:hint="eastAsia" w:ascii="宋体" w:hAnsi="宋体"/>
          <w:color w:val="auto"/>
          <w:sz w:val="28"/>
          <w:szCs w:val="28"/>
          <w:highlight w:val="none"/>
        </w:rPr>
        <w:t>元人民币（不设保留价），竞买保证金</w:t>
      </w:r>
      <w:r>
        <w:rPr>
          <w:rFonts w:hint="eastAsia" w:ascii="宋体" w:hAnsi="宋体"/>
          <w:color w:val="auto"/>
          <w:sz w:val="28"/>
          <w:szCs w:val="28"/>
          <w:highlight w:val="none"/>
          <w:lang w:val="en-US" w:eastAsia="zh-CN"/>
        </w:rPr>
        <w:t>1,920,000.00</w:t>
      </w:r>
      <w:r>
        <w:rPr>
          <w:rFonts w:hint="eastAsia" w:ascii="宋体" w:hAnsi="宋体"/>
          <w:color w:val="auto"/>
          <w:sz w:val="28"/>
          <w:szCs w:val="28"/>
          <w:highlight w:val="none"/>
        </w:rPr>
        <w:t>元人民币。</w:t>
      </w:r>
    </w:p>
    <w:p>
      <w:pPr>
        <w:keepNext w:val="0"/>
        <w:keepLines w:val="0"/>
        <w:pageBreakBefore w:val="0"/>
        <w:numPr>
          <w:ilvl w:val="0"/>
          <w:numId w:val="1"/>
        </w:numPr>
        <w:kinsoku/>
        <w:overflowPunct/>
        <w:topLinePunct w:val="0"/>
        <w:autoSpaceDE/>
        <w:autoSpaceDN/>
        <w:bidi w:val="0"/>
        <w:adjustRightInd/>
        <w:snapToGrid/>
        <w:spacing w:line="240" w:lineRule="auto"/>
        <w:ind w:left="0" w:firstLine="562"/>
        <w:textAlignment w:val="auto"/>
        <w:rPr>
          <w:rFonts w:ascii="宋体" w:hAnsi="宋体"/>
          <w:b/>
          <w:color w:val="auto"/>
          <w:sz w:val="28"/>
          <w:szCs w:val="28"/>
          <w:highlight w:val="none"/>
        </w:rPr>
      </w:pPr>
      <w:r>
        <w:rPr>
          <w:rFonts w:hint="eastAsia" w:ascii="宋体" w:hAnsi="宋体"/>
          <w:b/>
          <w:color w:val="auto"/>
          <w:sz w:val="28"/>
          <w:szCs w:val="28"/>
          <w:highlight w:val="none"/>
        </w:rPr>
        <w:t>转让方式</w:t>
      </w:r>
    </w:p>
    <w:p>
      <w:pPr>
        <w:keepNext w:val="0"/>
        <w:keepLines w:val="0"/>
        <w:pageBreakBefore w:val="0"/>
        <w:numPr>
          <w:ilvl w:val="-1"/>
          <w:numId w:val="0"/>
        </w:numPr>
        <w:kinsoku/>
        <w:overflowPunct/>
        <w:topLinePunct w:val="0"/>
        <w:autoSpaceDE/>
        <w:autoSpaceDN/>
        <w:bidi w:val="0"/>
        <w:adjustRightInd/>
        <w:snapToGrid/>
        <w:spacing w:line="240" w:lineRule="auto"/>
        <w:ind w:left="420" w:leftChars="200" w:firstLine="0" w:firstLineChars="0"/>
        <w:textAlignment w:val="auto"/>
        <w:rPr>
          <w:rFonts w:ascii="宋体" w:hAnsi="宋体"/>
          <w:b/>
          <w:color w:val="auto"/>
          <w:sz w:val="28"/>
          <w:szCs w:val="28"/>
          <w:highlight w:val="none"/>
        </w:rPr>
      </w:pPr>
      <w:r>
        <w:rPr>
          <w:rFonts w:hint="eastAsia" w:ascii="宋体" w:hAnsi="宋体"/>
          <w:color w:val="auto"/>
          <w:sz w:val="28"/>
          <w:szCs w:val="28"/>
          <w:highlight w:val="none"/>
        </w:rPr>
        <w:t>网络多次性竞价，价高者得</w:t>
      </w:r>
      <w:r>
        <w:rPr>
          <w:rFonts w:hint="eastAsia" w:ascii="宋体" w:hAnsi="宋体"/>
          <w:color w:val="auto"/>
          <w:sz w:val="28"/>
          <w:szCs w:val="28"/>
          <w:highlight w:val="none"/>
          <w:lang w:eastAsia="zh-CN"/>
        </w:rPr>
        <w:t>。</w:t>
      </w:r>
    </w:p>
    <w:p>
      <w:pPr>
        <w:keepNext w:val="0"/>
        <w:keepLines w:val="0"/>
        <w:pageBreakBefore w:val="0"/>
        <w:numPr>
          <w:ilvl w:val="0"/>
          <w:numId w:val="1"/>
        </w:numPr>
        <w:kinsoku/>
        <w:overflowPunct/>
        <w:topLinePunct w:val="0"/>
        <w:autoSpaceDE/>
        <w:autoSpaceDN/>
        <w:bidi w:val="0"/>
        <w:adjustRightInd/>
        <w:snapToGrid/>
        <w:spacing w:line="240" w:lineRule="auto"/>
        <w:ind w:left="0" w:firstLine="562"/>
        <w:textAlignment w:val="auto"/>
        <w:rPr>
          <w:rFonts w:ascii="宋体" w:hAnsi="宋体"/>
          <w:b/>
          <w:color w:val="auto"/>
          <w:sz w:val="28"/>
          <w:szCs w:val="28"/>
          <w:highlight w:val="none"/>
        </w:rPr>
      </w:pPr>
      <w:r>
        <w:rPr>
          <w:rFonts w:hint="eastAsia" w:ascii="宋体" w:hAnsi="宋体"/>
          <w:b/>
          <w:color w:val="auto"/>
          <w:sz w:val="28"/>
          <w:szCs w:val="28"/>
          <w:highlight w:val="none"/>
        </w:rPr>
        <w:t>付款方式</w:t>
      </w:r>
    </w:p>
    <w:p>
      <w:pPr>
        <w:keepNext w:val="0"/>
        <w:keepLines w:val="0"/>
        <w:pageBreakBefore w:val="0"/>
        <w:numPr>
          <w:ilvl w:val="0"/>
          <w:numId w:val="0"/>
        </w:numPr>
        <w:tabs>
          <w:tab w:val="left" w:pos="6960"/>
        </w:tabs>
        <w:kinsoku/>
        <w:overflowPunct/>
        <w:topLinePunct w:val="0"/>
        <w:autoSpaceDE/>
        <w:autoSpaceDN/>
        <w:bidi w:val="0"/>
        <w:adjustRightInd/>
        <w:snapToGrid/>
        <w:spacing w:line="240" w:lineRule="auto"/>
        <w:ind w:firstLine="560"/>
        <w:jc w:val="left"/>
        <w:textAlignment w:val="auto"/>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受让方</w:t>
      </w:r>
      <w:r>
        <w:rPr>
          <w:rFonts w:hint="eastAsia" w:ascii="宋体" w:hAnsi="宋体"/>
          <w:color w:val="auto"/>
          <w:sz w:val="28"/>
          <w:szCs w:val="28"/>
          <w:highlight w:val="none"/>
          <w:lang w:eastAsia="zh-CN"/>
        </w:rPr>
        <w:t>应在</w:t>
      </w:r>
      <w:r>
        <w:rPr>
          <w:rFonts w:hint="eastAsia" w:ascii="宋体" w:hAnsi="宋体"/>
          <w:color w:val="auto"/>
          <w:sz w:val="28"/>
          <w:szCs w:val="28"/>
          <w:highlight w:val="none"/>
        </w:rPr>
        <w:t>《股权转让合同》签订</w:t>
      </w:r>
      <w:r>
        <w:rPr>
          <w:rFonts w:hint="eastAsia" w:ascii="宋体" w:hAnsi="宋体"/>
          <w:color w:val="auto"/>
          <w:sz w:val="28"/>
          <w:szCs w:val="28"/>
          <w:highlight w:val="none"/>
          <w:lang w:eastAsia="zh-CN"/>
        </w:rPr>
        <w:t>之日起五</w:t>
      </w:r>
      <w:r>
        <w:rPr>
          <w:rFonts w:hint="eastAsia" w:ascii="宋体" w:hAnsi="宋体"/>
          <w:color w:val="auto"/>
          <w:sz w:val="28"/>
          <w:szCs w:val="28"/>
          <w:highlight w:val="none"/>
        </w:rPr>
        <w:t>个工作日内</w:t>
      </w:r>
      <w:r>
        <w:rPr>
          <w:rFonts w:hint="eastAsia" w:ascii="宋体" w:hAnsi="宋体"/>
          <w:color w:val="auto"/>
          <w:sz w:val="28"/>
          <w:szCs w:val="28"/>
          <w:highlight w:val="none"/>
          <w:lang w:eastAsia="zh-CN"/>
        </w:rPr>
        <w:t>一次性付清</w:t>
      </w:r>
      <w:r>
        <w:rPr>
          <w:rFonts w:hint="eastAsia" w:ascii="宋体" w:hAnsi="宋体"/>
          <w:color w:val="auto"/>
          <w:sz w:val="28"/>
          <w:szCs w:val="28"/>
          <w:highlight w:val="none"/>
        </w:rPr>
        <w:t>本次股权转让款</w:t>
      </w:r>
      <w:r>
        <w:rPr>
          <w:rFonts w:hint="eastAsia" w:ascii="宋体" w:hAnsi="宋体"/>
          <w:color w:val="auto"/>
          <w:sz w:val="28"/>
          <w:szCs w:val="28"/>
          <w:highlight w:val="none"/>
          <w:lang w:eastAsia="zh-CN"/>
        </w:rPr>
        <w:t>。</w:t>
      </w:r>
    </w:p>
    <w:p>
      <w:pPr>
        <w:keepNext w:val="0"/>
        <w:keepLines w:val="0"/>
        <w:pageBreakBefore w:val="0"/>
        <w:numPr>
          <w:ilvl w:val="0"/>
          <w:numId w:val="1"/>
        </w:numPr>
        <w:kinsoku/>
        <w:overflowPunct/>
        <w:topLinePunct w:val="0"/>
        <w:autoSpaceDE/>
        <w:autoSpaceDN/>
        <w:bidi w:val="0"/>
        <w:adjustRightInd/>
        <w:snapToGrid/>
        <w:spacing w:line="240" w:lineRule="auto"/>
        <w:ind w:left="0" w:firstLine="562"/>
        <w:textAlignment w:val="auto"/>
        <w:rPr>
          <w:rFonts w:ascii="宋体" w:hAnsi="宋体"/>
          <w:b/>
          <w:color w:val="auto"/>
          <w:sz w:val="28"/>
          <w:szCs w:val="28"/>
          <w:highlight w:val="none"/>
        </w:rPr>
      </w:pPr>
      <w:r>
        <w:rPr>
          <w:rFonts w:hint="eastAsia" w:ascii="宋体" w:hAnsi="宋体"/>
          <w:b/>
          <w:color w:val="auto"/>
          <w:sz w:val="28"/>
          <w:szCs w:val="28"/>
          <w:highlight w:val="none"/>
        </w:rPr>
        <w:t>竞买人条件</w:t>
      </w:r>
    </w:p>
    <w:p>
      <w:pPr>
        <w:keepNext w:val="0"/>
        <w:keepLines w:val="0"/>
        <w:pageBreakBefore w:val="0"/>
        <w:numPr>
          <w:ilvl w:val="0"/>
          <w:numId w:val="2"/>
        </w:numPr>
        <w:tabs>
          <w:tab w:val="left" w:pos="1050"/>
        </w:tabs>
        <w:kinsoku/>
        <w:overflowPunct/>
        <w:topLinePunct w:val="0"/>
        <w:autoSpaceDE/>
        <w:autoSpaceDN/>
        <w:bidi w:val="0"/>
        <w:adjustRightInd/>
        <w:snapToGrid/>
        <w:spacing w:line="240" w:lineRule="auto"/>
        <w:ind w:left="0" w:firstLine="560"/>
        <w:textAlignment w:val="auto"/>
        <w:rPr>
          <w:rFonts w:ascii="宋体" w:hAnsi="宋体"/>
          <w:color w:val="auto"/>
          <w:sz w:val="28"/>
          <w:szCs w:val="28"/>
          <w:highlight w:val="none"/>
        </w:rPr>
      </w:pPr>
      <w:bookmarkStart w:id="5" w:name="_Hlk9530446"/>
      <w:bookmarkStart w:id="6" w:name="_Hlk9510541"/>
      <w:bookmarkStart w:id="7" w:name="_Hlk497643561"/>
      <w:r>
        <w:rPr>
          <w:rFonts w:hint="eastAsia" w:ascii="宋体" w:hAnsi="宋体"/>
          <w:color w:val="auto"/>
          <w:sz w:val="28"/>
          <w:szCs w:val="28"/>
          <w:highlight w:val="none"/>
        </w:rPr>
        <w:t>具有良好的商业信用及支付能力的境内企业</w:t>
      </w:r>
      <w:r>
        <w:rPr>
          <w:rFonts w:hint="eastAsia" w:ascii="宋体" w:hAnsi="宋体"/>
          <w:color w:val="auto"/>
          <w:sz w:val="28"/>
          <w:szCs w:val="28"/>
          <w:highlight w:val="none"/>
          <w:lang w:eastAsia="zh-CN"/>
        </w:rPr>
        <w:t>、</w:t>
      </w:r>
      <w:r>
        <w:rPr>
          <w:rFonts w:hint="eastAsia" w:ascii="宋体" w:hAnsi="宋体"/>
          <w:color w:val="auto"/>
          <w:sz w:val="28"/>
          <w:szCs w:val="28"/>
          <w:highlight w:val="none"/>
        </w:rPr>
        <w:t>其他组织</w:t>
      </w:r>
      <w:r>
        <w:rPr>
          <w:rFonts w:hint="eastAsia" w:ascii="宋体" w:hAnsi="宋体"/>
          <w:color w:val="auto"/>
          <w:sz w:val="28"/>
          <w:szCs w:val="28"/>
          <w:highlight w:val="none"/>
          <w:lang w:eastAsia="zh-CN"/>
        </w:rPr>
        <w:t>或自然人</w:t>
      </w:r>
      <w:r>
        <w:rPr>
          <w:rFonts w:hint="eastAsia" w:ascii="宋体" w:hAnsi="宋体"/>
          <w:color w:val="auto"/>
          <w:sz w:val="28"/>
          <w:szCs w:val="28"/>
          <w:highlight w:val="none"/>
        </w:rPr>
        <w:t>。</w:t>
      </w:r>
    </w:p>
    <w:bookmarkEnd w:id="5"/>
    <w:bookmarkEnd w:id="6"/>
    <w:bookmarkEnd w:id="7"/>
    <w:p>
      <w:pPr>
        <w:keepNext w:val="0"/>
        <w:keepLines w:val="0"/>
        <w:pageBreakBefore w:val="0"/>
        <w:numPr>
          <w:ilvl w:val="0"/>
          <w:numId w:val="2"/>
        </w:numPr>
        <w:tabs>
          <w:tab w:val="left" w:pos="1050"/>
        </w:tabs>
        <w:kinsoku/>
        <w:overflowPunct/>
        <w:topLinePunct w:val="0"/>
        <w:autoSpaceDE/>
        <w:autoSpaceDN/>
        <w:bidi w:val="0"/>
        <w:adjustRightInd/>
        <w:snapToGrid/>
        <w:spacing w:line="240" w:lineRule="auto"/>
        <w:ind w:left="0" w:firstLine="560"/>
        <w:textAlignment w:val="auto"/>
        <w:rPr>
          <w:rFonts w:hint="eastAsia" w:ascii="宋体" w:hAnsi="宋体"/>
          <w:color w:val="auto"/>
          <w:sz w:val="28"/>
          <w:szCs w:val="28"/>
          <w:highlight w:val="none"/>
        </w:rPr>
      </w:pPr>
      <w:r>
        <w:rPr>
          <w:rFonts w:hint="eastAsia" w:ascii="宋体" w:hAnsi="宋体"/>
          <w:color w:val="auto"/>
          <w:sz w:val="28"/>
          <w:szCs w:val="28"/>
          <w:highlight w:val="none"/>
        </w:rPr>
        <w:t>意向</w:t>
      </w:r>
      <w:r>
        <w:rPr>
          <w:rFonts w:hint="eastAsia" w:ascii="宋体" w:hAnsi="宋体"/>
          <w:color w:val="auto"/>
          <w:sz w:val="28"/>
          <w:szCs w:val="28"/>
          <w:highlight w:val="none"/>
          <w:lang w:val="en-US" w:eastAsia="zh-CN"/>
        </w:rPr>
        <w:t>竞买人</w:t>
      </w:r>
      <w:r>
        <w:rPr>
          <w:rFonts w:hint="eastAsia" w:ascii="宋体" w:hAnsi="宋体"/>
          <w:color w:val="auto"/>
          <w:sz w:val="28"/>
          <w:szCs w:val="28"/>
          <w:highlight w:val="none"/>
        </w:rPr>
        <w:t>承诺</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rPr>
        <w:t>继续履行已订立的所有合同（包括书面及非书面）。</w:t>
      </w:r>
    </w:p>
    <w:p>
      <w:pPr>
        <w:keepNext w:val="0"/>
        <w:keepLines w:val="0"/>
        <w:pageBreakBefore w:val="0"/>
        <w:numPr>
          <w:ilvl w:val="0"/>
          <w:numId w:val="2"/>
        </w:numPr>
        <w:tabs>
          <w:tab w:val="left" w:pos="1050"/>
        </w:tabs>
        <w:kinsoku/>
        <w:overflowPunct/>
        <w:topLinePunct w:val="0"/>
        <w:autoSpaceDE/>
        <w:autoSpaceDN/>
        <w:bidi w:val="0"/>
        <w:adjustRightInd/>
        <w:snapToGrid/>
        <w:spacing w:line="240" w:lineRule="auto"/>
        <w:ind w:left="0" w:firstLine="560"/>
        <w:textAlignment w:val="auto"/>
        <w:rPr>
          <w:rFonts w:ascii="宋体" w:hAnsi="宋体"/>
          <w:color w:val="auto"/>
          <w:sz w:val="28"/>
          <w:szCs w:val="28"/>
          <w:highlight w:val="none"/>
        </w:rPr>
      </w:pPr>
      <w:r>
        <w:rPr>
          <w:rFonts w:hint="eastAsia" w:ascii="宋体" w:hAnsi="宋体"/>
          <w:color w:val="auto"/>
          <w:sz w:val="28"/>
          <w:szCs w:val="28"/>
          <w:highlight w:val="none"/>
        </w:rPr>
        <w:t>本项目不接受联合体摘牌。</w:t>
      </w:r>
    </w:p>
    <w:p>
      <w:pPr>
        <w:keepNext w:val="0"/>
        <w:keepLines w:val="0"/>
        <w:pageBreakBefore w:val="0"/>
        <w:numPr>
          <w:ilvl w:val="0"/>
          <w:numId w:val="1"/>
        </w:numPr>
        <w:kinsoku/>
        <w:overflowPunct/>
        <w:topLinePunct w:val="0"/>
        <w:autoSpaceDE/>
        <w:autoSpaceDN/>
        <w:bidi w:val="0"/>
        <w:adjustRightInd/>
        <w:snapToGrid/>
        <w:spacing w:line="240" w:lineRule="auto"/>
        <w:ind w:left="0" w:firstLine="562"/>
        <w:textAlignment w:val="auto"/>
        <w:rPr>
          <w:rFonts w:ascii="宋体" w:hAnsi="宋体"/>
          <w:b/>
          <w:color w:val="auto"/>
          <w:sz w:val="28"/>
          <w:szCs w:val="28"/>
          <w:highlight w:val="none"/>
        </w:rPr>
      </w:pPr>
      <w:r>
        <w:rPr>
          <w:rFonts w:hint="eastAsia" w:ascii="宋体" w:hAnsi="宋体"/>
          <w:b/>
          <w:color w:val="auto"/>
          <w:sz w:val="28"/>
          <w:szCs w:val="28"/>
          <w:highlight w:val="none"/>
        </w:rPr>
        <w:t>报名须知</w:t>
      </w:r>
    </w:p>
    <w:p>
      <w:pPr>
        <w:keepNext w:val="0"/>
        <w:keepLines w:val="0"/>
        <w:pageBreakBefore w:val="0"/>
        <w:numPr>
          <w:ilvl w:val="0"/>
          <w:numId w:val="0"/>
        </w:numPr>
        <w:kinsoku/>
        <w:overflowPunct/>
        <w:topLinePunct w:val="0"/>
        <w:autoSpaceDE/>
        <w:autoSpaceDN/>
        <w:bidi w:val="0"/>
        <w:adjustRightInd/>
        <w:snapToGrid/>
        <w:spacing w:line="240" w:lineRule="auto"/>
        <w:ind w:firstLine="560" w:firstLineChars="200"/>
        <w:textAlignment w:val="auto"/>
        <w:rPr>
          <w:rFonts w:ascii="宋体" w:hAnsi="宋体"/>
          <w:bCs/>
          <w:color w:val="auto"/>
          <w:sz w:val="28"/>
          <w:szCs w:val="28"/>
          <w:highlight w:val="none"/>
        </w:rPr>
      </w:pPr>
      <w:r>
        <w:rPr>
          <w:rFonts w:hint="eastAsia" w:ascii="宋体" w:hAnsi="宋体"/>
          <w:bCs/>
          <w:color w:val="auto"/>
          <w:sz w:val="28"/>
          <w:szCs w:val="28"/>
          <w:highlight w:val="none"/>
        </w:rPr>
        <w:t>凡报名的企业须持营业执照复印件(或单位有效证明文件)、单位法定代表人身份证、委托代理人身份证、法定代表人委托书、公司章程与相关决议</w:t>
      </w:r>
      <w:r>
        <w:rPr>
          <w:rFonts w:hint="eastAsia" w:ascii="宋体" w:hAnsi="宋体"/>
          <w:bCs/>
          <w:color w:val="auto"/>
          <w:sz w:val="28"/>
          <w:szCs w:val="28"/>
          <w:highlight w:val="none"/>
          <w:lang w:eastAsia="zh-CN"/>
        </w:rPr>
        <w:t>，</w:t>
      </w:r>
      <w:r>
        <w:rPr>
          <w:rFonts w:hint="eastAsia" w:ascii="宋体" w:hAnsi="宋体"/>
          <w:bCs/>
          <w:color w:val="auto"/>
          <w:sz w:val="28"/>
          <w:szCs w:val="28"/>
          <w:highlight w:val="none"/>
        </w:rPr>
        <w:t>自然人须持本人身份证明及相关资料</w:t>
      </w:r>
      <w:r>
        <w:rPr>
          <w:rFonts w:hint="eastAsia" w:ascii="宋体" w:hAnsi="宋体"/>
          <w:bCs/>
          <w:color w:val="auto"/>
          <w:sz w:val="28"/>
          <w:szCs w:val="28"/>
          <w:highlight w:val="none"/>
          <w:lang w:eastAsia="zh-CN"/>
        </w:rPr>
        <w:t>。</w:t>
      </w:r>
      <w:r>
        <w:rPr>
          <w:rFonts w:hint="eastAsia" w:ascii="宋体" w:hAnsi="宋体"/>
          <w:bCs/>
          <w:color w:val="auto"/>
          <w:sz w:val="28"/>
          <w:szCs w:val="28"/>
          <w:highlight w:val="none"/>
        </w:rPr>
        <w:t>竞买人应在报名时缴付保证金</w:t>
      </w:r>
      <w:r>
        <w:rPr>
          <w:rFonts w:hint="eastAsia" w:ascii="宋体" w:hAnsi="宋体"/>
          <w:bCs/>
          <w:color w:val="auto"/>
          <w:sz w:val="28"/>
          <w:szCs w:val="28"/>
          <w:highlight w:val="none"/>
          <w:lang w:val="en-US" w:eastAsia="zh-CN"/>
        </w:rPr>
        <w:t>192</w:t>
      </w:r>
      <w:r>
        <w:rPr>
          <w:rFonts w:hint="eastAsia" w:ascii="宋体" w:hAnsi="宋体"/>
          <w:bCs/>
          <w:color w:val="auto"/>
          <w:sz w:val="28"/>
          <w:szCs w:val="28"/>
          <w:highlight w:val="none"/>
        </w:rPr>
        <w:t>万元人民币。原</w:t>
      </w:r>
      <w:r>
        <w:rPr>
          <w:rFonts w:hint="eastAsia" w:ascii="宋体" w:hAnsi="宋体"/>
          <w:bCs/>
          <w:color w:val="auto"/>
          <w:sz w:val="28"/>
          <w:szCs w:val="28"/>
          <w:highlight w:val="none"/>
          <w:lang w:val="en-US" w:eastAsia="zh-CN"/>
        </w:rPr>
        <w:t>股东</w:t>
      </w:r>
      <w:r>
        <w:rPr>
          <w:rFonts w:hint="eastAsia" w:ascii="宋体" w:hAnsi="宋体"/>
          <w:bCs/>
          <w:color w:val="auto"/>
          <w:sz w:val="28"/>
          <w:szCs w:val="28"/>
          <w:highlight w:val="none"/>
        </w:rPr>
        <w:t>在同等条件下享有优先</w:t>
      </w:r>
      <w:r>
        <w:rPr>
          <w:rFonts w:hint="eastAsia" w:ascii="宋体" w:hAnsi="宋体"/>
          <w:bCs/>
          <w:color w:val="auto"/>
          <w:sz w:val="28"/>
          <w:szCs w:val="28"/>
          <w:highlight w:val="none"/>
          <w:lang w:val="en-US" w:eastAsia="zh-CN"/>
        </w:rPr>
        <w:t>购买</w:t>
      </w:r>
      <w:r>
        <w:rPr>
          <w:rFonts w:hint="eastAsia" w:ascii="宋体" w:hAnsi="宋体"/>
          <w:bCs/>
          <w:color w:val="auto"/>
          <w:sz w:val="28"/>
          <w:szCs w:val="28"/>
          <w:highlight w:val="none"/>
        </w:rPr>
        <w:t>权。</w:t>
      </w:r>
    </w:p>
    <w:p>
      <w:pPr>
        <w:keepNext w:val="0"/>
        <w:keepLines w:val="0"/>
        <w:pageBreakBefore w:val="0"/>
        <w:numPr>
          <w:ilvl w:val="0"/>
          <w:numId w:val="1"/>
        </w:numPr>
        <w:kinsoku/>
        <w:overflowPunct/>
        <w:topLinePunct w:val="0"/>
        <w:autoSpaceDE/>
        <w:autoSpaceDN/>
        <w:bidi w:val="0"/>
        <w:adjustRightInd/>
        <w:snapToGrid/>
        <w:spacing w:line="240" w:lineRule="auto"/>
        <w:ind w:left="0" w:firstLine="562"/>
        <w:textAlignment w:val="auto"/>
        <w:rPr>
          <w:rFonts w:ascii="宋体" w:hAnsi="宋体"/>
          <w:b/>
          <w:bCs/>
          <w:color w:val="auto"/>
          <w:sz w:val="28"/>
          <w:szCs w:val="28"/>
          <w:highlight w:val="none"/>
        </w:rPr>
      </w:pPr>
      <w:r>
        <w:rPr>
          <w:rFonts w:hint="eastAsia" w:ascii="宋体" w:hAnsi="宋体"/>
          <w:b/>
          <w:bCs/>
          <w:color w:val="auto"/>
          <w:sz w:val="28"/>
          <w:szCs w:val="28"/>
          <w:highlight w:val="none"/>
        </w:rPr>
        <w:t>实行网络报名：</w:t>
      </w:r>
      <w:r>
        <w:rPr>
          <w:rFonts w:hint="eastAsia" w:ascii="宋体" w:hAnsi="宋体"/>
          <w:color w:val="auto"/>
          <w:sz w:val="28"/>
          <w:szCs w:val="28"/>
          <w:highlight w:val="none"/>
        </w:rPr>
        <w:t>台州市公共资源交易网（https://tzztb.zjtz.gov.cn/tzcms/），现场资格确认。</w:t>
      </w:r>
    </w:p>
    <w:p>
      <w:pPr>
        <w:keepNext w:val="0"/>
        <w:keepLines w:val="0"/>
        <w:pageBreakBefore w:val="0"/>
        <w:widowControl/>
        <w:shd w:val="clear" w:color="auto" w:fill="FFFFFF"/>
        <w:kinsoku/>
        <w:overflowPunct/>
        <w:topLinePunct w:val="0"/>
        <w:autoSpaceDE/>
        <w:autoSpaceDN/>
        <w:bidi w:val="0"/>
        <w:adjustRightInd/>
        <w:snapToGrid/>
        <w:spacing w:line="240" w:lineRule="auto"/>
        <w:ind w:firstLine="562"/>
        <w:textAlignment w:val="auto"/>
        <w:rPr>
          <w:rFonts w:ascii="宋体" w:hAnsi="宋体" w:cs="宋体"/>
          <w:color w:val="auto"/>
          <w:kern w:val="0"/>
          <w:sz w:val="28"/>
          <w:szCs w:val="28"/>
          <w:highlight w:val="none"/>
        </w:rPr>
      </w:pPr>
      <w:r>
        <w:rPr>
          <w:rFonts w:hint="eastAsia" w:ascii="宋体" w:hAnsi="宋体" w:cs="宋体"/>
          <w:b/>
          <w:color w:val="auto"/>
          <w:kern w:val="0"/>
          <w:sz w:val="28"/>
          <w:szCs w:val="28"/>
          <w:highlight w:val="none"/>
          <w:lang w:val="en-US" w:eastAsia="zh-CN"/>
        </w:rPr>
        <w:t>报名时间和</w:t>
      </w:r>
      <w:r>
        <w:rPr>
          <w:rFonts w:hint="eastAsia" w:ascii="宋体" w:hAnsi="宋体" w:cs="宋体"/>
          <w:b/>
          <w:color w:val="auto"/>
          <w:kern w:val="0"/>
          <w:sz w:val="28"/>
          <w:szCs w:val="28"/>
          <w:highlight w:val="none"/>
        </w:rPr>
        <w:t>资格确认时间</w:t>
      </w:r>
      <w:r>
        <w:rPr>
          <w:rFonts w:hint="eastAsia" w:ascii="宋体" w:hAnsi="宋体" w:cs="宋体"/>
          <w:color w:val="auto"/>
          <w:kern w:val="0"/>
          <w:sz w:val="28"/>
          <w:szCs w:val="28"/>
          <w:highlight w:val="none"/>
        </w:rPr>
        <w:t>：20</w:t>
      </w:r>
      <w:r>
        <w:rPr>
          <w:rFonts w:hint="eastAsia" w:ascii="宋体" w:hAnsi="宋体" w:cs="宋体"/>
          <w:color w:val="auto"/>
          <w:kern w:val="0"/>
          <w:sz w:val="28"/>
          <w:szCs w:val="28"/>
          <w:highlight w:val="none"/>
          <w:lang w:val="en-US" w:eastAsia="zh-CN"/>
        </w:rPr>
        <w:t>21</w:t>
      </w:r>
      <w:r>
        <w:rPr>
          <w:rFonts w:hint="eastAsia"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12</w:t>
      </w:r>
      <w:r>
        <w:rPr>
          <w:rFonts w:hint="eastAsia"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9</w:t>
      </w:r>
      <w:r>
        <w:rPr>
          <w:rFonts w:hint="eastAsia" w:ascii="宋体" w:hAnsi="宋体" w:cs="宋体"/>
          <w:color w:val="auto"/>
          <w:kern w:val="0"/>
          <w:sz w:val="28"/>
          <w:szCs w:val="28"/>
          <w:highlight w:val="none"/>
        </w:rPr>
        <w:t>日至20</w:t>
      </w:r>
      <w:r>
        <w:rPr>
          <w:rFonts w:hint="eastAsia" w:ascii="宋体" w:hAnsi="宋体" w:cs="宋体"/>
          <w:color w:val="auto"/>
          <w:kern w:val="0"/>
          <w:sz w:val="28"/>
          <w:szCs w:val="28"/>
          <w:highlight w:val="none"/>
          <w:lang w:val="en-US" w:eastAsia="zh-CN"/>
        </w:rPr>
        <w:t>22</w:t>
      </w:r>
      <w:r>
        <w:rPr>
          <w:rFonts w:hint="eastAsia" w:ascii="宋体" w:hAnsi="宋体" w:cs="宋体"/>
          <w:color w:val="auto"/>
          <w:kern w:val="0"/>
          <w:sz w:val="28"/>
          <w:szCs w:val="28"/>
          <w:highlight w:val="none"/>
        </w:rPr>
        <w:t>年</w:t>
      </w:r>
      <w:r>
        <w:rPr>
          <w:rFonts w:hint="eastAsia" w:ascii="宋体" w:hAnsi="宋体" w:cs="宋体"/>
          <w:color w:val="auto"/>
          <w:kern w:val="0"/>
          <w:sz w:val="28"/>
          <w:szCs w:val="28"/>
          <w:highlight w:val="none"/>
          <w:lang w:val="en-US" w:eastAsia="zh-CN"/>
        </w:rPr>
        <w:t>1</w:t>
      </w:r>
      <w:r>
        <w:rPr>
          <w:rFonts w:hint="eastAsia" w:ascii="宋体" w:hAnsi="宋体" w:cs="宋体"/>
          <w:color w:val="auto"/>
          <w:kern w:val="0"/>
          <w:sz w:val="28"/>
          <w:szCs w:val="28"/>
          <w:highlight w:val="none"/>
        </w:rPr>
        <w:t>月</w:t>
      </w:r>
      <w:r>
        <w:rPr>
          <w:rFonts w:hint="eastAsia" w:ascii="宋体" w:hAnsi="宋体" w:cs="宋体"/>
          <w:color w:val="auto"/>
          <w:kern w:val="0"/>
          <w:sz w:val="28"/>
          <w:szCs w:val="28"/>
          <w:highlight w:val="none"/>
          <w:lang w:val="en-US" w:eastAsia="zh-CN"/>
        </w:rPr>
        <w:t>6</w:t>
      </w:r>
      <w:r>
        <w:rPr>
          <w:rFonts w:hint="eastAsia" w:ascii="宋体" w:hAnsi="宋体" w:cs="宋体"/>
          <w:color w:val="auto"/>
          <w:kern w:val="0"/>
          <w:sz w:val="28"/>
          <w:szCs w:val="28"/>
          <w:highlight w:val="none"/>
        </w:rPr>
        <w:t>日下午4：00前（上午8：30－11：30，下午14：00－16：00时，节假日除外）。</w:t>
      </w:r>
    </w:p>
    <w:p>
      <w:pPr>
        <w:keepNext w:val="0"/>
        <w:keepLines w:val="0"/>
        <w:pageBreakBefore w:val="0"/>
        <w:widowControl/>
        <w:shd w:val="clear" w:color="auto" w:fill="FFFFFF"/>
        <w:kinsoku/>
        <w:overflowPunct/>
        <w:topLinePunct w:val="0"/>
        <w:autoSpaceDE/>
        <w:autoSpaceDN/>
        <w:bidi w:val="0"/>
        <w:adjustRightInd/>
        <w:snapToGrid/>
        <w:spacing w:line="240" w:lineRule="auto"/>
        <w:ind w:firstLine="562"/>
        <w:textAlignment w:val="auto"/>
        <w:rPr>
          <w:rFonts w:ascii="宋体" w:hAnsi="宋体" w:cs="宋体"/>
          <w:color w:val="auto"/>
          <w:kern w:val="0"/>
          <w:sz w:val="28"/>
          <w:szCs w:val="28"/>
          <w:highlight w:val="none"/>
          <w:shd w:val="clear" w:color="auto" w:fill="auto"/>
        </w:rPr>
      </w:pPr>
      <w:r>
        <w:rPr>
          <w:rFonts w:hint="eastAsia" w:ascii="宋体" w:hAnsi="宋体" w:cs="宋体"/>
          <w:b/>
          <w:color w:val="auto"/>
          <w:kern w:val="0"/>
          <w:sz w:val="28"/>
          <w:szCs w:val="28"/>
          <w:highlight w:val="none"/>
        </w:rPr>
        <w:t>资格确认地址</w:t>
      </w:r>
      <w:r>
        <w:rPr>
          <w:rFonts w:hint="eastAsia" w:ascii="宋体" w:hAnsi="宋体" w:cs="宋体"/>
          <w:color w:val="auto"/>
          <w:kern w:val="0"/>
          <w:sz w:val="28"/>
          <w:szCs w:val="28"/>
          <w:highlight w:val="none"/>
        </w:rPr>
        <w:t>：台州市产权交易所（台州市市府大道777号浙江民</w:t>
      </w:r>
      <w:r>
        <w:rPr>
          <w:rFonts w:hint="eastAsia" w:ascii="宋体" w:hAnsi="宋体" w:cs="宋体"/>
          <w:color w:val="auto"/>
          <w:kern w:val="0"/>
          <w:sz w:val="28"/>
          <w:szCs w:val="28"/>
          <w:highlight w:val="none"/>
          <w:shd w:val="clear" w:color="auto" w:fill="auto"/>
        </w:rPr>
        <w:t>泰商业银行五楼511室）。</w:t>
      </w:r>
    </w:p>
    <w:p>
      <w:pPr>
        <w:keepNext w:val="0"/>
        <w:keepLines w:val="0"/>
        <w:pageBreakBefore w:val="0"/>
        <w:numPr>
          <w:ilvl w:val="0"/>
          <w:numId w:val="1"/>
        </w:numPr>
        <w:kinsoku/>
        <w:wordWrap w:val="0"/>
        <w:overflowPunct/>
        <w:topLinePunct w:val="0"/>
        <w:autoSpaceDE/>
        <w:autoSpaceDN/>
        <w:bidi w:val="0"/>
        <w:adjustRightInd/>
        <w:snapToGrid/>
        <w:spacing w:line="240" w:lineRule="auto"/>
        <w:ind w:left="0" w:firstLine="562"/>
        <w:textAlignment w:val="auto"/>
        <w:rPr>
          <w:rFonts w:ascii="宋体" w:hAnsi="宋体"/>
          <w:b/>
          <w:color w:val="auto"/>
          <w:sz w:val="28"/>
          <w:szCs w:val="28"/>
          <w:highlight w:val="none"/>
          <w:shd w:val="clear" w:color="auto" w:fill="auto"/>
        </w:rPr>
      </w:pPr>
      <w:bookmarkStart w:id="8" w:name="_Hlk10111476"/>
      <w:r>
        <w:rPr>
          <w:rFonts w:hint="eastAsia" w:asciiTheme="minorEastAsia" w:hAnsiTheme="minorEastAsia" w:eastAsiaTheme="minorEastAsia" w:cstheme="minorEastAsia"/>
          <w:b/>
          <w:bCs/>
          <w:color w:val="auto"/>
          <w:sz w:val="28"/>
          <w:szCs w:val="28"/>
          <w:highlight w:val="none"/>
          <w:shd w:val="clear" w:color="auto" w:fill="auto"/>
          <w:lang w:val="en-US" w:eastAsia="zh-CN"/>
        </w:rPr>
        <w:t>自由（挂牌）报价时间：</w:t>
      </w:r>
      <w:r>
        <w:rPr>
          <w:rFonts w:hint="eastAsia" w:asciiTheme="minorEastAsia" w:hAnsiTheme="minorEastAsia" w:eastAsiaTheme="minorEastAsia" w:cstheme="minorEastAsia"/>
          <w:b/>
          <w:bCs/>
          <w:color w:val="auto"/>
          <w:kern w:val="0"/>
          <w:sz w:val="28"/>
          <w:szCs w:val="28"/>
          <w:highlight w:val="none"/>
          <w:shd w:val="clear" w:color="auto" w:fill="auto"/>
          <w:lang w:eastAsia="zh-CN"/>
        </w:rPr>
        <w:t>2021年12月</w:t>
      </w:r>
      <w:r>
        <w:rPr>
          <w:rFonts w:hint="eastAsia" w:asciiTheme="minorEastAsia" w:hAnsiTheme="minorEastAsia" w:eastAsiaTheme="minorEastAsia" w:cstheme="minorEastAsia"/>
          <w:b/>
          <w:bCs/>
          <w:color w:val="auto"/>
          <w:kern w:val="0"/>
          <w:sz w:val="28"/>
          <w:szCs w:val="28"/>
          <w:highlight w:val="none"/>
          <w:shd w:val="clear" w:color="auto" w:fill="auto"/>
          <w:lang w:val="en-US" w:eastAsia="zh-CN"/>
        </w:rPr>
        <w:t>9</w:t>
      </w:r>
      <w:r>
        <w:rPr>
          <w:rFonts w:hint="eastAsia" w:asciiTheme="minorEastAsia" w:hAnsiTheme="minorEastAsia" w:eastAsiaTheme="minorEastAsia" w:cstheme="minorEastAsia"/>
          <w:b/>
          <w:bCs/>
          <w:color w:val="auto"/>
          <w:kern w:val="0"/>
          <w:sz w:val="28"/>
          <w:szCs w:val="28"/>
          <w:highlight w:val="none"/>
          <w:shd w:val="clear" w:color="auto" w:fill="auto"/>
          <w:lang w:eastAsia="zh-CN"/>
        </w:rPr>
        <w:t>日至202</w:t>
      </w:r>
      <w:r>
        <w:rPr>
          <w:rFonts w:hint="eastAsia" w:asciiTheme="minorEastAsia" w:hAnsiTheme="minorEastAsia" w:eastAsiaTheme="minorEastAsia" w:cstheme="minorEastAsia"/>
          <w:b/>
          <w:bCs/>
          <w:color w:val="auto"/>
          <w:kern w:val="0"/>
          <w:sz w:val="28"/>
          <w:szCs w:val="28"/>
          <w:highlight w:val="none"/>
          <w:shd w:val="clear" w:color="auto" w:fill="auto"/>
          <w:lang w:val="en-US" w:eastAsia="zh-CN"/>
        </w:rPr>
        <w:t>2</w:t>
      </w:r>
      <w:r>
        <w:rPr>
          <w:rFonts w:hint="eastAsia" w:asciiTheme="minorEastAsia" w:hAnsiTheme="minorEastAsia" w:eastAsiaTheme="minorEastAsia" w:cstheme="minorEastAsia"/>
          <w:b/>
          <w:bCs/>
          <w:color w:val="auto"/>
          <w:kern w:val="0"/>
          <w:sz w:val="28"/>
          <w:szCs w:val="28"/>
          <w:highlight w:val="none"/>
          <w:shd w:val="clear" w:color="auto" w:fill="auto"/>
          <w:lang w:eastAsia="zh-CN"/>
        </w:rPr>
        <w:t>年</w:t>
      </w:r>
      <w:r>
        <w:rPr>
          <w:rFonts w:hint="eastAsia" w:asciiTheme="minorEastAsia" w:hAnsiTheme="minorEastAsia" w:eastAsiaTheme="minorEastAsia" w:cstheme="minorEastAsia"/>
          <w:b/>
          <w:bCs/>
          <w:color w:val="auto"/>
          <w:kern w:val="0"/>
          <w:sz w:val="28"/>
          <w:szCs w:val="28"/>
          <w:highlight w:val="none"/>
          <w:shd w:val="clear" w:color="auto" w:fill="auto"/>
          <w:lang w:val="en-US" w:eastAsia="zh-CN"/>
        </w:rPr>
        <w:t>1</w:t>
      </w:r>
      <w:r>
        <w:rPr>
          <w:rFonts w:hint="eastAsia" w:asciiTheme="minorEastAsia" w:hAnsiTheme="minorEastAsia" w:eastAsiaTheme="minorEastAsia" w:cstheme="minorEastAsia"/>
          <w:b/>
          <w:bCs/>
          <w:color w:val="auto"/>
          <w:kern w:val="0"/>
          <w:sz w:val="28"/>
          <w:szCs w:val="28"/>
          <w:highlight w:val="none"/>
          <w:shd w:val="clear" w:color="auto" w:fill="auto"/>
          <w:lang w:eastAsia="zh-CN"/>
        </w:rPr>
        <w:t>月</w:t>
      </w:r>
      <w:r>
        <w:rPr>
          <w:rFonts w:hint="eastAsia" w:asciiTheme="minorEastAsia" w:hAnsiTheme="minorEastAsia" w:eastAsiaTheme="minorEastAsia" w:cstheme="minorEastAsia"/>
          <w:b/>
          <w:bCs/>
          <w:color w:val="auto"/>
          <w:kern w:val="0"/>
          <w:sz w:val="28"/>
          <w:szCs w:val="28"/>
          <w:highlight w:val="none"/>
          <w:shd w:val="clear" w:color="auto" w:fill="auto"/>
          <w:lang w:val="en-US" w:eastAsia="zh-CN"/>
        </w:rPr>
        <w:t>7</w:t>
      </w:r>
      <w:r>
        <w:rPr>
          <w:rFonts w:hint="eastAsia" w:asciiTheme="minorEastAsia" w:hAnsiTheme="minorEastAsia" w:eastAsiaTheme="minorEastAsia" w:cstheme="minorEastAsia"/>
          <w:b/>
          <w:bCs/>
          <w:color w:val="auto"/>
          <w:kern w:val="0"/>
          <w:sz w:val="28"/>
          <w:szCs w:val="28"/>
          <w:highlight w:val="none"/>
          <w:shd w:val="clear" w:color="auto" w:fill="auto"/>
          <w:lang w:eastAsia="zh-CN"/>
        </w:rPr>
        <w:t>日</w:t>
      </w:r>
      <w:r>
        <w:rPr>
          <w:rFonts w:hint="eastAsia" w:asciiTheme="minorEastAsia" w:hAnsiTheme="minorEastAsia" w:eastAsiaTheme="minorEastAsia" w:cstheme="minorEastAsia"/>
          <w:b/>
          <w:bCs/>
          <w:color w:val="auto"/>
          <w:kern w:val="0"/>
          <w:sz w:val="28"/>
          <w:szCs w:val="28"/>
          <w:highlight w:val="none"/>
          <w:shd w:val="clear" w:color="auto" w:fill="auto"/>
          <w:lang w:val="en-US" w:eastAsia="zh-CN"/>
        </w:rPr>
        <w:t>9:30时</w:t>
      </w:r>
      <w:r>
        <w:rPr>
          <w:rFonts w:hint="eastAsia" w:asciiTheme="minorEastAsia" w:hAnsiTheme="minorEastAsia" w:eastAsiaTheme="minorEastAsia" w:cstheme="minorEastAsia"/>
          <w:b/>
          <w:bCs/>
          <w:color w:val="auto"/>
          <w:kern w:val="0"/>
          <w:sz w:val="28"/>
          <w:szCs w:val="28"/>
          <w:highlight w:val="none"/>
          <w:shd w:val="clear" w:color="auto" w:fill="auto"/>
          <w:lang w:eastAsia="zh-CN"/>
        </w:rPr>
        <w:t>（</w:t>
      </w:r>
      <w:r>
        <w:rPr>
          <w:rFonts w:hint="eastAsia" w:asciiTheme="minorEastAsia" w:hAnsiTheme="minorEastAsia" w:eastAsiaTheme="minorEastAsia" w:cstheme="minorEastAsia"/>
          <w:b/>
          <w:bCs/>
          <w:color w:val="auto"/>
          <w:kern w:val="0"/>
          <w:sz w:val="28"/>
          <w:szCs w:val="28"/>
          <w:highlight w:val="none"/>
          <w:shd w:val="clear" w:color="auto" w:fill="auto"/>
          <w:lang w:val="en-US" w:eastAsia="zh-CN"/>
        </w:rPr>
        <w:t>竞买人报名审核后方可报价</w:t>
      </w:r>
      <w:r>
        <w:rPr>
          <w:rFonts w:hint="eastAsia" w:asciiTheme="minorEastAsia" w:hAnsiTheme="minorEastAsia" w:eastAsiaTheme="minorEastAsia" w:cstheme="minorEastAsia"/>
          <w:b/>
          <w:bCs/>
          <w:color w:val="auto"/>
          <w:kern w:val="0"/>
          <w:sz w:val="28"/>
          <w:szCs w:val="28"/>
          <w:highlight w:val="none"/>
          <w:shd w:val="clear" w:color="auto" w:fill="auto"/>
          <w:lang w:eastAsia="zh-CN"/>
        </w:rPr>
        <w:t>）；</w:t>
      </w:r>
    </w:p>
    <w:p>
      <w:pPr>
        <w:keepNext w:val="0"/>
        <w:keepLines w:val="0"/>
        <w:pageBreakBefore w:val="0"/>
        <w:numPr>
          <w:ilvl w:val="0"/>
          <w:numId w:val="0"/>
        </w:numPr>
        <w:kinsoku/>
        <w:wordWrap w:val="0"/>
        <w:overflowPunct/>
        <w:topLinePunct w:val="0"/>
        <w:autoSpaceDE/>
        <w:autoSpaceDN/>
        <w:bidi w:val="0"/>
        <w:adjustRightInd/>
        <w:snapToGrid/>
        <w:spacing w:line="240" w:lineRule="auto"/>
        <w:ind w:firstLine="562" w:firstLineChars="200"/>
        <w:textAlignment w:val="auto"/>
        <w:rPr>
          <w:rFonts w:ascii="宋体" w:hAnsi="宋体"/>
          <w:b/>
          <w:color w:val="auto"/>
          <w:sz w:val="28"/>
          <w:szCs w:val="28"/>
          <w:highlight w:val="none"/>
          <w:shd w:val="clear" w:color="auto" w:fill="auto"/>
        </w:rPr>
      </w:pPr>
      <w:r>
        <w:rPr>
          <w:rFonts w:hint="eastAsia" w:asciiTheme="minorEastAsia" w:hAnsiTheme="minorEastAsia" w:eastAsiaTheme="minorEastAsia" w:cstheme="minorEastAsia"/>
          <w:b/>
          <w:bCs/>
          <w:color w:val="auto"/>
          <w:sz w:val="28"/>
          <w:szCs w:val="28"/>
          <w:highlight w:val="none"/>
          <w:shd w:val="clear" w:color="auto" w:fill="auto"/>
          <w:lang w:val="en-US" w:eastAsia="zh-CN"/>
        </w:rPr>
        <w:t>限时报价开始</w:t>
      </w:r>
      <w:r>
        <w:rPr>
          <w:rFonts w:hint="eastAsia" w:asciiTheme="minorEastAsia" w:hAnsiTheme="minorEastAsia" w:eastAsiaTheme="minorEastAsia" w:cstheme="minorEastAsia"/>
          <w:b/>
          <w:bCs/>
          <w:color w:val="auto"/>
          <w:sz w:val="28"/>
          <w:szCs w:val="28"/>
          <w:highlight w:val="none"/>
          <w:shd w:val="clear" w:color="auto" w:fill="auto"/>
        </w:rPr>
        <w:t>时间：</w:t>
      </w:r>
      <w:r>
        <w:rPr>
          <w:rFonts w:hint="eastAsia" w:asciiTheme="minorEastAsia" w:hAnsiTheme="minorEastAsia" w:eastAsiaTheme="minorEastAsia" w:cstheme="minorEastAsia"/>
          <w:b/>
          <w:bCs/>
          <w:color w:val="auto"/>
          <w:sz w:val="28"/>
          <w:szCs w:val="28"/>
          <w:highlight w:val="none"/>
          <w:shd w:val="clear" w:color="auto" w:fill="auto"/>
          <w:lang w:eastAsia="zh-CN"/>
        </w:rPr>
        <w:t>202</w:t>
      </w:r>
      <w:r>
        <w:rPr>
          <w:rFonts w:hint="eastAsia" w:asciiTheme="minorEastAsia" w:hAnsiTheme="minorEastAsia" w:eastAsiaTheme="minorEastAsia" w:cstheme="minorEastAsia"/>
          <w:b/>
          <w:bCs/>
          <w:color w:val="auto"/>
          <w:sz w:val="28"/>
          <w:szCs w:val="28"/>
          <w:highlight w:val="none"/>
          <w:shd w:val="clear" w:color="auto" w:fill="auto"/>
          <w:lang w:val="en-US" w:eastAsia="zh-CN"/>
        </w:rPr>
        <w:t>2</w:t>
      </w:r>
      <w:r>
        <w:rPr>
          <w:rFonts w:hint="eastAsia" w:asciiTheme="minorEastAsia" w:hAnsiTheme="minorEastAsia" w:eastAsiaTheme="minorEastAsia" w:cstheme="minorEastAsia"/>
          <w:b/>
          <w:bCs/>
          <w:color w:val="auto"/>
          <w:sz w:val="28"/>
          <w:szCs w:val="28"/>
          <w:highlight w:val="none"/>
          <w:shd w:val="clear" w:color="auto" w:fill="auto"/>
          <w:lang w:eastAsia="zh-CN"/>
        </w:rPr>
        <w:t>年</w:t>
      </w:r>
      <w:r>
        <w:rPr>
          <w:rFonts w:hint="eastAsia" w:asciiTheme="minorEastAsia" w:hAnsiTheme="minorEastAsia" w:eastAsiaTheme="minorEastAsia" w:cstheme="minorEastAsia"/>
          <w:b/>
          <w:bCs/>
          <w:color w:val="auto"/>
          <w:sz w:val="28"/>
          <w:szCs w:val="28"/>
          <w:highlight w:val="none"/>
          <w:shd w:val="clear" w:color="auto" w:fill="auto"/>
          <w:lang w:val="en-US" w:eastAsia="zh-CN"/>
        </w:rPr>
        <w:t>1</w:t>
      </w:r>
      <w:r>
        <w:rPr>
          <w:rFonts w:hint="eastAsia" w:asciiTheme="minorEastAsia" w:hAnsiTheme="minorEastAsia" w:eastAsiaTheme="minorEastAsia" w:cstheme="minorEastAsia"/>
          <w:b/>
          <w:bCs/>
          <w:color w:val="auto"/>
          <w:sz w:val="28"/>
          <w:szCs w:val="28"/>
          <w:highlight w:val="none"/>
          <w:shd w:val="clear" w:color="auto" w:fill="auto"/>
          <w:lang w:eastAsia="zh-CN"/>
        </w:rPr>
        <w:t>月</w:t>
      </w:r>
      <w:r>
        <w:rPr>
          <w:rFonts w:hint="eastAsia" w:asciiTheme="minorEastAsia" w:hAnsiTheme="minorEastAsia" w:eastAsiaTheme="minorEastAsia" w:cstheme="minorEastAsia"/>
          <w:b/>
          <w:bCs/>
          <w:color w:val="auto"/>
          <w:sz w:val="28"/>
          <w:szCs w:val="28"/>
          <w:highlight w:val="none"/>
          <w:shd w:val="clear" w:color="auto" w:fill="auto"/>
          <w:lang w:val="en-US" w:eastAsia="zh-CN"/>
        </w:rPr>
        <w:t>7</w:t>
      </w:r>
      <w:r>
        <w:rPr>
          <w:rFonts w:hint="eastAsia" w:asciiTheme="minorEastAsia" w:hAnsiTheme="minorEastAsia" w:eastAsiaTheme="minorEastAsia" w:cstheme="minorEastAsia"/>
          <w:b/>
          <w:bCs/>
          <w:color w:val="auto"/>
          <w:sz w:val="28"/>
          <w:szCs w:val="28"/>
          <w:highlight w:val="none"/>
          <w:shd w:val="clear" w:color="auto" w:fill="auto"/>
          <w:lang w:eastAsia="zh-CN"/>
        </w:rPr>
        <w:t>日（星期</w:t>
      </w:r>
      <w:r>
        <w:rPr>
          <w:rFonts w:hint="eastAsia" w:asciiTheme="minorEastAsia" w:hAnsiTheme="minorEastAsia" w:eastAsiaTheme="minorEastAsia" w:cstheme="minorEastAsia"/>
          <w:b/>
          <w:bCs/>
          <w:color w:val="auto"/>
          <w:sz w:val="28"/>
          <w:szCs w:val="28"/>
          <w:highlight w:val="none"/>
          <w:shd w:val="clear" w:color="auto" w:fill="auto"/>
          <w:lang w:val="en-US" w:eastAsia="zh-CN"/>
        </w:rPr>
        <w:t>五</w:t>
      </w:r>
      <w:r>
        <w:rPr>
          <w:rFonts w:hint="eastAsia" w:asciiTheme="minorEastAsia" w:hAnsiTheme="minorEastAsia" w:eastAsiaTheme="minorEastAsia" w:cstheme="minorEastAsia"/>
          <w:b/>
          <w:bCs/>
          <w:color w:val="auto"/>
          <w:sz w:val="28"/>
          <w:szCs w:val="28"/>
          <w:highlight w:val="none"/>
          <w:shd w:val="clear" w:color="auto" w:fill="auto"/>
          <w:lang w:eastAsia="zh-CN"/>
        </w:rPr>
        <w:t>）9：30</w:t>
      </w:r>
      <w:r>
        <w:rPr>
          <w:rFonts w:hint="eastAsia" w:asciiTheme="minorEastAsia" w:hAnsiTheme="minorEastAsia" w:eastAsiaTheme="minorEastAsia" w:cstheme="minorEastAsia"/>
          <w:b/>
          <w:bCs/>
          <w:color w:val="auto"/>
          <w:sz w:val="28"/>
          <w:szCs w:val="28"/>
          <w:highlight w:val="none"/>
          <w:shd w:val="clear" w:color="auto" w:fill="auto"/>
        </w:rPr>
        <w:t>时。</w:t>
      </w:r>
    </w:p>
    <w:bookmarkEnd w:id="8"/>
    <w:p>
      <w:pPr>
        <w:keepNext w:val="0"/>
        <w:keepLines w:val="0"/>
        <w:pageBreakBefore w:val="0"/>
        <w:numPr>
          <w:ilvl w:val="0"/>
          <w:numId w:val="1"/>
        </w:numPr>
        <w:kinsoku/>
        <w:wordWrap w:val="0"/>
        <w:overflowPunct/>
        <w:topLinePunct w:val="0"/>
        <w:autoSpaceDE/>
        <w:autoSpaceDN/>
        <w:bidi w:val="0"/>
        <w:adjustRightInd/>
        <w:snapToGrid/>
        <w:spacing w:line="240" w:lineRule="auto"/>
        <w:ind w:left="0" w:firstLine="560"/>
        <w:textAlignment w:val="auto"/>
        <w:rPr>
          <w:rFonts w:ascii="宋体" w:hAnsi="宋体"/>
          <w:b/>
          <w:bCs/>
          <w:color w:val="auto"/>
          <w:sz w:val="28"/>
          <w:szCs w:val="28"/>
          <w:highlight w:val="none"/>
        </w:rPr>
      </w:pPr>
      <w:r>
        <w:rPr>
          <w:rFonts w:hint="eastAsia" w:ascii="宋体" w:hAnsi="宋体"/>
          <w:b/>
          <w:bCs/>
          <w:color w:val="auto"/>
          <w:sz w:val="28"/>
          <w:szCs w:val="28"/>
          <w:highlight w:val="none"/>
        </w:rPr>
        <w:t>联系人：</w:t>
      </w:r>
      <w:r>
        <w:rPr>
          <w:rFonts w:hint="eastAsia" w:ascii="宋体" w:hAnsi="宋体"/>
          <w:b/>
          <w:bCs/>
          <w:color w:val="auto"/>
          <w:sz w:val="28"/>
          <w:szCs w:val="28"/>
          <w:highlight w:val="none"/>
          <w:lang w:val="en-US" w:eastAsia="zh-CN"/>
        </w:rPr>
        <w:t xml:space="preserve">潘女士       </w:t>
      </w:r>
      <w:r>
        <w:rPr>
          <w:rFonts w:hint="eastAsia" w:ascii="宋体" w:hAnsi="宋体"/>
          <w:b/>
          <w:bCs/>
          <w:color w:val="auto"/>
          <w:sz w:val="28"/>
          <w:szCs w:val="28"/>
          <w:highlight w:val="none"/>
        </w:rPr>
        <w:t>电话：</w:t>
      </w:r>
      <w:r>
        <w:rPr>
          <w:rFonts w:hint="eastAsia" w:ascii="宋体" w:hAnsi="宋体"/>
          <w:b/>
          <w:bCs/>
          <w:color w:val="auto"/>
          <w:sz w:val="28"/>
          <w:szCs w:val="28"/>
          <w:highlight w:val="none"/>
          <w:lang w:val="en-US" w:eastAsia="zh-CN"/>
        </w:rPr>
        <w:t>0576-88685180</w:t>
      </w:r>
    </w:p>
    <w:p>
      <w:pPr>
        <w:keepNext w:val="0"/>
        <w:keepLines w:val="0"/>
        <w:pageBreakBefore w:val="0"/>
        <w:numPr>
          <w:ilvl w:val="0"/>
          <w:numId w:val="1"/>
        </w:numPr>
        <w:kinsoku/>
        <w:wordWrap w:val="0"/>
        <w:overflowPunct/>
        <w:topLinePunct w:val="0"/>
        <w:autoSpaceDE/>
        <w:autoSpaceDN/>
        <w:bidi w:val="0"/>
        <w:adjustRightInd/>
        <w:snapToGrid/>
        <w:spacing w:line="240" w:lineRule="auto"/>
        <w:ind w:left="0" w:firstLine="560"/>
        <w:textAlignment w:val="auto"/>
        <w:rPr>
          <w:rFonts w:ascii="宋体" w:hAnsi="宋体"/>
          <w:b/>
          <w:bCs/>
          <w:color w:val="auto"/>
          <w:sz w:val="28"/>
          <w:szCs w:val="28"/>
          <w:highlight w:val="none"/>
        </w:rPr>
      </w:pPr>
      <w:r>
        <w:rPr>
          <w:rFonts w:hint="eastAsia" w:ascii="宋体" w:hAnsi="宋体"/>
          <w:color w:val="auto"/>
          <w:sz w:val="28"/>
          <w:szCs w:val="28"/>
          <w:highlight w:val="none"/>
        </w:rPr>
        <w:t>具体情况详见转让须知。</w:t>
      </w:r>
    </w:p>
    <w:p>
      <w:pPr>
        <w:keepNext w:val="0"/>
        <w:keepLines w:val="0"/>
        <w:pageBreakBefore w:val="0"/>
        <w:kinsoku/>
        <w:overflowPunct/>
        <w:topLinePunct w:val="0"/>
        <w:autoSpaceDE/>
        <w:autoSpaceDN/>
        <w:bidi w:val="0"/>
        <w:adjustRightInd/>
        <w:snapToGrid/>
        <w:spacing w:line="240" w:lineRule="auto"/>
        <w:ind w:firstLine="560"/>
        <w:textAlignment w:val="auto"/>
        <w:rPr>
          <w:rFonts w:hint="eastAsia" w:ascii="宋体" w:hAnsi="宋体"/>
          <w:color w:val="auto"/>
          <w:sz w:val="28"/>
          <w:szCs w:val="28"/>
          <w:highlight w:val="none"/>
        </w:rPr>
      </w:pPr>
      <w:r>
        <w:rPr>
          <w:rFonts w:hint="eastAsia" w:ascii="宋体" w:hAnsi="宋体"/>
          <w:color w:val="auto"/>
          <w:sz w:val="28"/>
          <w:szCs w:val="28"/>
          <w:highlight w:val="none"/>
        </w:rPr>
        <w:t>详</w:t>
      </w:r>
      <w:r>
        <w:rPr>
          <w:rFonts w:hint="eastAsia" w:ascii="宋体" w:hAnsi="宋体" w:cs="宋体"/>
          <w:bCs/>
          <w:color w:val="auto"/>
          <w:kern w:val="0"/>
          <w:sz w:val="28"/>
          <w:szCs w:val="28"/>
          <w:highlight w:val="none"/>
        </w:rPr>
        <w:t xml:space="preserve">情登陆www.tzpre.com  </w:t>
      </w:r>
      <w:r>
        <w:rPr>
          <w:rFonts w:hint="eastAsia" w:ascii="宋体" w:hAnsi="宋体"/>
          <w:color w:val="auto"/>
          <w:sz w:val="28"/>
          <w:szCs w:val="28"/>
          <w:highlight w:val="none"/>
        </w:rPr>
        <w:fldChar w:fldCharType="begin"/>
      </w:r>
      <w:r>
        <w:rPr>
          <w:rFonts w:hint="eastAsia" w:ascii="宋体" w:hAnsi="宋体"/>
          <w:color w:val="auto"/>
          <w:sz w:val="28"/>
          <w:szCs w:val="28"/>
          <w:highlight w:val="none"/>
        </w:rPr>
        <w:instrText xml:space="preserve"> HYPERLINK "https://tzztb.zjtz.gov.cn/tzcms/" </w:instrText>
      </w:r>
      <w:r>
        <w:rPr>
          <w:rFonts w:hint="eastAsia" w:ascii="宋体" w:hAnsi="宋体"/>
          <w:color w:val="auto"/>
          <w:sz w:val="28"/>
          <w:szCs w:val="28"/>
          <w:highlight w:val="none"/>
        </w:rPr>
        <w:fldChar w:fldCharType="separate"/>
      </w:r>
      <w:r>
        <w:rPr>
          <w:rStyle w:val="12"/>
          <w:rFonts w:hint="eastAsia" w:ascii="宋体" w:hAnsi="宋体"/>
          <w:color w:val="auto"/>
          <w:sz w:val="28"/>
          <w:szCs w:val="28"/>
          <w:highlight w:val="none"/>
        </w:rPr>
        <w:t>https://tzztb.zjtz.gov.cn/tzcms/</w:t>
      </w:r>
      <w:r>
        <w:rPr>
          <w:rFonts w:hint="eastAsia" w:ascii="宋体" w:hAnsi="宋体"/>
          <w:color w:val="auto"/>
          <w:sz w:val="28"/>
          <w:szCs w:val="28"/>
          <w:highlight w:val="none"/>
        </w:rPr>
        <w:fldChar w:fldCharType="end"/>
      </w:r>
    </w:p>
    <w:p>
      <w:pPr>
        <w:pStyle w:val="2"/>
      </w:pPr>
    </w:p>
    <w:p>
      <w:pPr>
        <w:pStyle w:val="2"/>
      </w:pPr>
    </w:p>
    <w:p>
      <w:pPr>
        <w:keepNext w:val="0"/>
        <w:keepLines w:val="0"/>
        <w:pageBreakBefore w:val="0"/>
        <w:kinsoku/>
        <w:overflowPunct/>
        <w:topLinePunct w:val="0"/>
        <w:autoSpaceDE/>
        <w:autoSpaceDN/>
        <w:bidi w:val="0"/>
        <w:adjustRightInd/>
        <w:snapToGrid/>
        <w:spacing w:line="240" w:lineRule="auto"/>
        <w:ind w:firstLineChars="0"/>
        <w:jc w:val="right"/>
        <w:textAlignment w:val="auto"/>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keepNext w:val="0"/>
        <w:keepLines w:val="0"/>
        <w:pageBreakBefore w:val="0"/>
        <w:kinsoku/>
        <w:overflowPunct/>
        <w:topLinePunct w:val="0"/>
        <w:autoSpaceDE/>
        <w:autoSpaceDN/>
        <w:bidi w:val="0"/>
        <w:adjustRightInd/>
        <w:snapToGrid/>
        <w:spacing w:line="240" w:lineRule="auto"/>
        <w:jc w:val="right"/>
        <w:textAlignment w:val="auto"/>
        <w:rPr>
          <w:rFonts w:hint="eastAsia" w:ascii="宋体" w:hAnsi="宋体"/>
          <w:color w:val="auto"/>
          <w:sz w:val="28"/>
          <w:szCs w:val="28"/>
          <w:highlight w:val="none"/>
        </w:rPr>
        <w:sectPr>
          <w:pgSz w:w="11906" w:h="16838"/>
          <w:pgMar w:top="1440" w:right="1800" w:bottom="1440" w:left="1800" w:header="851" w:footer="992" w:gutter="0"/>
          <w:cols w:space="425" w:num="1"/>
          <w:docGrid w:type="lines" w:linePitch="312" w:charSpace="0"/>
        </w:sectPr>
      </w:pPr>
      <w:r>
        <w:rPr>
          <w:rFonts w:hint="eastAsia" w:ascii="宋体" w:hAnsi="宋体"/>
          <w:color w:val="auto"/>
          <w:sz w:val="28"/>
          <w:szCs w:val="28"/>
          <w:highlight w:val="none"/>
          <w:lang w:val="en-US" w:eastAsia="zh-CN"/>
        </w:rPr>
        <w:t>2021</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12</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9</w:t>
      </w:r>
      <w:r>
        <w:rPr>
          <w:rFonts w:hint="eastAsia" w:ascii="宋体" w:hAnsi="宋体"/>
          <w:color w:val="auto"/>
          <w:sz w:val="28"/>
          <w:szCs w:val="28"/>
          <w:highlight w:val="none"/>
        </w:rPr>
        <w:t>日</w:t>
      </w:r>
    </w:p>
    <w:p>
      <w:pPr>
        <w:spacing w:line="430" w:lineRule="exact"/>
        <w:ind w:firstLine="0" w:firstLineChars="0"/>
        <w:jc w:val="center"/>
        <w:rPr>
          <w:rFonts w:ascii="宋体" w:hAnsi="宋体"/>
          <w:b/>
          <w:color w:val="auto"/>
          <w:sz w:val="32"/>
          <w:szCs w:val="32"/>
          <w:highlight w:val="none"/>
        </w:rPr>
      </w:pPr>
      <w:bookmarkStart w:id="9" w:name="_Hlk527013137"/>
      <w:r>
        <w:rPr>
          <w:rFonts w:hint="eastAsia" w:ascii="宋体" w:hAnsi="宋体"/>
          <w:b/>
          <w:color w:val="auto"/>
          <w:sz w:val="32"/>
          <w:szCs w:val="32"/>
          <w:highlight w:val="none"/>
          <w:lang w:eastAsia="zh-CN"/>
        </w:rPr>
        <w:t>台州四强新型建材有限公司</w:t>
      </w:r>
      <w:r>
        <w:rPr>
          <w:rFonts w:hint="eastAsia" w:ascii="宋体" w:hAnsi="宋体"/>
          <w:b/>
          <w:color w:val="auto"/>
          <w:sz w:val="32"/>
          <w:szCs w:val="32"/>
          <w:highlight w:val="none"/>
          <w:lang w:val="en-US" w:eastAsia="zh-CN"/>
        </w:rPr>
        <w:t>10%</w:t>
      </w:r>
      <w:r>
        <w:rPr>
          <w:rFonts w:hint="eastAsia" w:ascii="宋体" w:hAnsi="宋体"/>
          <w:b/>
          <w:color w:val="auto"/>
          <w:sz w:val="32"/>
          <w:szCs w:val="32"/>
          <w:highlight w:val="none"/>
          <w:lang w:val="ms-MY"/>
        </w:rPr>
        <w:t>股权</w:t>
      </w:r>
      <w:bookmarkEnd w:id="9"/>
    </w:p>
    <w:p>
      <w:pPr>
        <w:keepNext/>
        <w:keepLines/>
        <w:widowControl w:val="0"/>
        <w:spacing w:before="100" w:beforeAutospacing="1" w:after="100" w:afterAutospacing="1" w:line="360" w:lineRule="auto"/>
        <w:ind w:firstLine="0" w:firstLineChars="0"/>
        <w:jc w:val="center"/>
        <w:outlineLvl w:val="0"/>
        <w:rPr>
          <w:rFonts w:ascii="Calibri" w:hAnsi="Calibri" w:eastAsia="宋体" w:cs="Times New Roman"/>
          <w:b/>
          <w:bCs/>
          <w:color w:val="auto"/>
          <w:kern w:val="44"/>
          <w:sz w:val="32"/>
          <w:szCs w:val="44"/>
          <w:highlight w:val="none"/>
          <w:lang w:val="en-US" w:eastAsia="zh-CN" w:bidi="ar-SA"/>
        </w:rPr>
      </w:pPr>
      <w:bookmarkStart w:id="10" w:name="_Toc14112"/>
      <w:bookmarkStart w:id="11" w:name="_Toc528773691"/>
      <w:bookmarkStart w:id="12" w:name="_Toc5069"/>
      <w:r>
        <w:rPr>
          <w:rFonts w:hint="eastAsia" w:ascii="Calibri" w:hAnsi="Calibri" w:eastAsia="宋体" w:cs="Times New Roman"/>
          <w:b/>
          <w:bCs/>
          <w:color w:val="auto"/>
          <w:kern w:val="44"/>
          <w:sz w:val="32"/>
          <w:szCs w:val="44"/>
          <w:highlight w:val="none"/>
          <w:lang w:val="en-US" w:eastAsia="zh-CN" w:bidi="ar-SA"/>
        </w:rPr>
        <w:t>转让须知</w:t>
      </w:r>
      <w:bookmarkEnd w:id="10"/>
      <w:bookmarkEnd w:id="11"/>
      <w:bookmarkEnd w:id="12"/>
    </w:p>
    <w:p>
      <w:pPr>
        <w:keepNext w:val="0"/>
        <w:keepLines w:val="0"/>
        <w:pageBreakBefore w:val="0"/>
        <w:widowControl w:val="0"/>
        <w:kinsoku/>
        <w:wordWrap/>
        <w:overflowPunct/>
        <w:topLinePunct w:val="0"/>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受玉环市国有资产投资经营集团有限公司委托，公开转让其所持有的</w:t>
      </w:r>
      <w:r>
        <w:rPr>
          <w:rFonts w:hint="eastAsia" w:ascii="宋体" w:hAnsi="宋体"/>
          <w:color w:val="auto"/>
          <w:sz w:val="28"/>
          <w:szCs w:val="28"/>
          <w:highlight w:val="none"/>
          <w:lang w:eastAsia="zh-CN"/>
        </w:rPr>
        <w:t>台州四强新型建材有限公司10%</w:t>
      </w:r>
      <w:r>
        <w:rPr>
          <w:rFonts w:hint="eastAsia" w:ascii="宋体" w:hAnsi="宋体"/>
          <w:color w:val="auto"/>
          <w:sz w:val="28"/>
          <w:szCs w:val="28"/>
          <w:highlight w:val="none"/>
        </w:rPr>
        <w:t>股权。现将有关事项告知意向受让人，请认真阅读与遵守。</w:t>
      </w:r>
    </w:p>
    <w:p>
      <w:pPr>
        <w:keepNext w:val="0"/>
        <w:keepLines w:val="0"/>
        <w:pageBreakBefore w:val="0"/>
        <w:widowControl w:val="0"/>
        <w:kinsoku/>
        <w:wordWrap/>
        <w:overflowPunct/>
        <w:topLinePunct w:val="0"/>
        <w:bidi w:val="0"/>
        <w:snapToGrid/>
        <w:spacing w:line="600" w:lineRule="exact"/>
        <w:ind w:firstLine="560"/>
        <w:jc w:val="left"/>
        <w:textAlignment w:val="auto"/>
        <w:rPr>
          <w:rFonts w:ascii="宋体" w:hAnsi="宋体"/>
          <w:color w:val="auto"/>
          <w:sz w:val="28"/>
          <w:szCs w:val="28"/>
          <w:highlight w:val="none"/>
        </w:rPr>
      </w:pPr>
      <w:r>
        <w:rPr>
          <w:rFonts w:hint="eastAsia" w:ascii="宋体" w:hAnsi="宋体"/>
          <w:color w:val="auto"/>
          <w:sz w:val="28"/>
          <w:szCs w:val="28"/>
          <w:highlight w:val="none"/>
        </w:rPr>
        <w:t>一、转让标的底价及保证金</w:t>
      </w:r>
    </w:p>
    <w:p>
      <w:pPr>
        <w:keepNext w:val="0"/>
        <w:keepLines w:val="0"/>
        <w:pageBreakBefore w:val="0"/>
        <w:widowControl w:val="0"/>
        <w:kinsoku/>
        <w:wordWrap/>
        <w:overflowPunct/>
        <w:topLinePunct w:val="0"/>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本次转让标的为玉环市国有资产投资经营集团有限公司所持有的</w:t>
      </w:r>
      <w:r>
        <w:rPr>
          <w:rFonts w:hint="eastAsia" w:ascii="宋体" w:hAnsi="宋体"/>
          <w:color w:val="auto"/>
          <w:sz w:val="28"/>
          <w:szCs w:val="28"/>
          <w:highlight w:val="none"/>
          <w:lang w:eastAsia="zh-CN"/>
        </w:rPr>
        <w:t>台州四强新型建材有限公司的10%</w:t>
      </w:r>
      <w:r>
        <w:rPr>
          <w:rFonts w:hint="eastAsia" w:ascii="宋体" w:hAnsi="宋体"/>
          <w:color w:val="auto"/>
          <w:sz w:val="28"/>
          <w:szCs w:val="28"/>
          <w:highlight w:val="none"/>
        </w:rPr>
        <w:t>股权。转让底价</w:t>
      </w:r>
      <w:r>
        <w:rPr>
          <w:rFonts w:hint="eastAsia" w:ascii="宋体" w:hAnsi="宋体"/>
          <w:color w:val="auto"/>
          <w:sz w:val="28"/>
          <w:szCs w:val="28"/>
          <w:highlight w:val="none"/>
          <w:lang w:eastAsia="zh-CN"/>
        </w:rPr>
        <w:t>6,397</w:t>
      </w:r>
      <w:r>
        <w:rPr>
          <w:rFonts w:hint="eastAsia" w:ascii="宋体" w:hAnsi="宋体"/>
          <w:color w:val="auto"/>
          <w:sz w:val="28"/>
          <w:szCs w:val="28"/>
          <w:highlight w:val="none"/>
          <w:lang w:val="en-US" w:eastAsia="zh-CN"/>
        </w:rPr>
        <w:t>,</w:t>
      </w:r>
      <w:r>
        <w:rPr>
          <w:rFonts w:hint="eastAsia" w:ascii="宋体" w:hAnsi="宋体"/>
          <w:color w:val="auto"/>
          <w:sz w:val="28"/>
          <w:szCs w:val="28"/>
          <w:highlight w:val="none"/>
          <w:lang w:eastAsia="zh-CN"/>
        </w:rPr>
        <w:t>258</w:t>
      </w:r>
      <w:r>
        <w:rPr>
          <w:rFonts w:hint="eastAsia" w:ascii="宋体" w:hAnsi="宋体"/>
          <w:color w:val="auto"/>
          <w:sz w:val="28"/>
          <w:szCs w:val="28"/>
          <w:highlight w:val="none"/>
          <w:lang w:val="en-US" w:eastAsia="zh-CN"/>
        </w:rPr>
        <w:t>.00</w:t>
      </w:r>
      <w:r>
        <w:rPr>
          <w:rFonts w:hint="eastAsia" w:ascii="宋体" w:hAnsi="宋体"/>
          <w:color w:val="auto"/>
          <w:sz w:val="28"/>
          <w:szCs w:val="28"/>
          <w:highlight w:val="none"/>
        </w:rPr>
        <w:t>元人民币（不设保留价），竞买保证金</w:t>
      </w:r>
      <w:r>
        <w:rPr>
          <w:rFonts w:hint="eastAsia" w:ascii="宋体" w:hAnsi="宋体"/>
          <w:color w:val="auto"/>
          <w:sz w:val="28"/>
          <w:szCs w:val="28"/>
          <w:highlight w:val="none"/>
          <w:lang w:val="en-US" w:eastAsia="zh-CN"/>
        </w:rPr>
        <w:t>1,920,000.00</w:t>
      </w:r>
      <w:r>
        <w:rPr>
          <w:rFonts w:hint="eastAsia" w:ascii="宋体" w:hAnsi="宋体"/>
          <w:color w:val="auto"/>
          <w:sz w:val="28"/>
          <w:szCs w:val="28"/>
          <w:highlight w:val="none"/>
        </w:rPr>
        <w:t>元人民币。</w:t>
      </w:r>
    </w:p>
    <w:p>
      <w:pPr>
        <w:keepNext w:val="0"/>
        <w:keepLines w:val="0"/>
        <w:pageBreakBefore w:val="0"/>
        <w:widowControl w:val="0"/>
        <w:kinsoku/>
        <w:wordWrap/>
        <w:overflowPunct/>
        <w:topLinePunct w:val="0"/>
        <w:bidi w:val="0"/>
        <w:snapToGrid/>
        <w:spacing w:line="600" w:lineRule="exact"/>
        <w:ind w:firstLine="560"/>
        <w:textAlignment w:val="auto"/>
        <w:rPr>
          <w:rFonts w:hint="eastAsia" w:ascii="宋体" w:hAnsi="宋体"/>
          <w:color w:val="auto"/>
          <w:sz w:val="28"/>
          <w:szCs w:val="28"/>
          <w:highlight w:val="none"/>
        </w:rPr>
      </w:pPr>
      <w:r>
        <w:rPr>
          <w:rFonts w:hint="eastAsia" w:ascii="宋体" w:hAnsi="宋体"/>
          <w:color w:val="auto"/>
          <w:sz w:val="28"/>
          <w:szCs w:val="28"/>
          <w:highlight w:val="none"/>
        </w:rPr>
        <w:t>二、本次股权转让行为已经必要的内部决策和批准程序，资产评估项目已经玉环</w:t>
      </w:r>
      <w:r>
        <w:rPr>
          <w:rFonts w:hint="eastAsia" w:ascii="宋体" w:hAnsi="宋体"/>
          <w:color w:val="auto"/>
          <w:sz w:val="28"/>
          <w:szCs w:val="28"/>
          <w:highlight w:val="none"/>
          <w:lang w:val="en-US" w:eastAsia="zh-CN"/>
        </w:rPr>
        <w:t>市人民政府国有资产监督管理办公室</w:t>
      </w:r>
      <w:r>
        <w:rPr>
          <w:rFonts w:hint="eastAsia" w:ascii="宋体" w:hAnsi="宋体"/>
          <w:color w:val="auto"/>
          <w:sz w:val="28"/>
          <w:szCs w:val="28"/>
          <w:highlight w:val="none"/>
        </w:rPr>
        <w:t>备案，</w:t>
      </w:r>
      <w:bookmarkStart w:id="13" w:name="待定03"/>
      <w:r>
        <w:rPr>
          <w:rFonts w:hint="eastAsia" w:ascii="宋体" w:hAnsi="宋体"/>
          <w:color w:val="auto"/>
          <w:sz w:val="28"/>
          <w:szCs w:val="28"/>
          <w:highlight w:val="none"/>
        </w:rPr>
        <w:t>转让行为已经</w:t>
      </w:r>
      <w:r>
        <w:rPr>
          <w:rFonts w:hint="eastAsia" w:ascii="宋体" w:hAnsi="宋体"/>
          <w:color w:val="auto"/>
          <w:sz w:val="28"/>
          <w:szCs w:val="28"/>
          <w:highlight w:val="none"/>
          <w:lang w:val="en-US" w:eastAsia="zh-CN"/>
        </w:rPr>
        <w:t>玉环市财政局</w:t>
      </w:r>
      <w:r>
        <w:rPr>
          <w:rFonts w:hint="eastAsia" w:ascii="宋体" w:hAnsi="宋体"/>
          <w:color w:val="auto"/>
          <w:sz w:val="28"/>
          <w:szCs w:val="28"/>
          <w:highlight w:val="none"/>
        </w:rPr>
        <w:t>批准。</w:t>
      </w:r>
      <w:bookmarkEnd w:id="13"/>
    </w:p>
    <w:p>
      <w:pPr>
        <w:keepNext w:val="0"/>
        <w:keepLines w:val="0"/>
        <w:pageBreakBefore w:val="0"/>
        <w:widowControl w:val="0"/>
        <w:kinsoku/>
        <w:wordWrap/>
        <w:overflowPunct/>
        <w:topLinePunct w:val="0"/>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三、企业基本情况</w:t>
      </w:r>
    </w:p>
    <w:p>
      <w:pPr>
        <w:keepNext w:val="0"/>
        <w:keepLines w:val="0"/>
        <w:pageBreakBefore w:val="0"/>
        <w:widowControl w:val="0"/>
        <w:kinsoku/>
        <w:wordWrap/>
        <w:overflowPunct/>
        <w:topLinePunct w:val="0"/>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1、公司注册情况</w:t>
      </w:r>
    </w:p>
    <w:p>
      <w:pPr>
        <w:keepNext w:val="0"/>
        <w:keepLines w:val="0"/>
        <w:pageBreakBefore w:val="0"/>
        <w:widowControl w:val="0"/>
        <w:kinsoku/>
        <w:wordWrap/>
        <w:overflowPunct/>
        <w:topLinePunct w:val="0"/>
        <w:bidi w:val="0"/>
        <w:snapToGrid/>
        <w:spacing w:line="600" w:lineRule="exact"/>
        <w:ind w:firstLine="638" w:firstLineChars="228"/>
        <w:textAlignment w:val="auto"/>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lang w:eastAsia="zh-CN"/>
        </w:rPr>
        <w:t>台州四强新型建材有限公司（以下简称</w:t>
      </w:r>
      <w:r>
        <w:rPr>
          <w:rFonts w:hint="eastAsia" w:ascii="宋体" w:hAnsi="宋体"/>
          <w:color w:val="auto"/>
          <w:sz w:val="28"/>
          <w:szCs w:val="28"/>
          <w:highlight w:val="none"/>
          <w:lang w:val="en-US" w:eastAsia="zh-CN"/>
        </w:rPr>
        <w:t>四强新材</w:t>
      </w:r>
      <w:r>
        <w:rPr>
          <w:rFonts w:hint="eastAsia" w:ascii="宋体" w:hAnsi="宋体"/>
          <w:color w:val="auto"/>
          <w:sz w:val="28"/>
          <w:szCs w:val="28"/>
          <w:highlight w:val="none"/>
          <w:lang w:eastAsia="zh-CN"/>
        </w:rPr>
        <w:t>）</w:t>
      </w:r>
      <w:r>
        <w:rPr>
          <w:rFonts w:hint="eastAsia" w:ascii="宋体" w:hAnsi="宋体"/>
          <w:color w:val="auto"/>
          <w:sz w:val="28"/>
          <w:szCs w:val="28"/>
          <w:highlight w:val="none"/>
        </w:rPr>
        <w:t>成立于</w:t>
      </w:r>
      <w:r>
        <w:rPr>
          <w:rFonts w:hint="eastAsia" w:ascii="宋体" w:hAnsi="宋体"/>
          <w:color w:val="auto"/>
          <w:sz w:val="28"/>
          <w:szCs w:val="28"/>
          <w:highlight w:val="none"/>
          <w:lang w:val="en-US" w:eastAsia="zh-CN"/>
        </w:rPr>
        <w:t>2000</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12</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20</w:t>
      </w:r>
      <w:r>
        <w:rPr>
          <w:rFonts w:hint="eastAsia" w:ascii="宋体" w:hAnsi="宋体"/>
          <w:color w:val="auto"/>
          <w:sz w:val="28"/>
          <w:szCs w:val="28"/>
          <w:highlight w:val="none"/>
        </w:rPr>
        <w:t>日，注册资本</w:t>
      </w:r>
      <w:r>
        <w:rPr>
          <w:rFonts w:hint="eastAsia" w:ascii="宋体" w:hAnsi="宋体"/>
          <w:color w:val="auto"/>
          <w:sz w:val="28"/>
          <w:szCs w:val="28"/>
          <w:highlight w:val="none"/>
          <w:lang w:val="en-US" w:eastAsia="zh-CN"/>
        </w:rPr>
        <w:t>2000</w:t>
      </w:r>
      <w:r>
        <w:rPr>
          <w:rFonts w:hint="eastAsia" w:ascii="宋体" w:hAnsi="宋体"/>
          <w:color w:val="auto"/>
          <w:sz w:val="28"/>
          <w:szCs w:val="28"/>
          <w:highlight w:val="none"/>
        </w:rPr>
        <w:t>万元，统一社会信用代码为91331002725866012M，法定代表人为</w:t>
      </w:r>
      <w:r>
        <w:rPr>
          <w:rFonts w:hint="eastAsia" w:ascii="宋体" w:hAnsi="宋体"/>
          <w:color w:val="auto"/>
          <w:sz w:val="28"/>
          <w:szCs w:val="28"/>
          <w:highlight w:val="none"/>
          <w:lang w:val="en-US" w:eastAsia="zh-CN"/>
        </w:rPr>
        <w:t>叶东民</w:t>
      </w:r>
      <w:r>
        <w:rPr>
          <w:rFonts w:hint="eastAsia" w:ascii="宋体" w:hAnsi="宋体"/>
          <w:color w:val="auto"/>
          <w:sz w:val="28"/>
          <w:szCs w:val="28"/>
          <w:highlight w:val="none"/>
        </w:rPr>
        <w:t>；经营范围：货运：普通货运、货物专用运输（罐式）（凭有效许可证经营）；预拌商品混凝土专业承包贰级、预制件制造、加工；建筑材料批发、零售；商品混凝土专用设备租赁；砂、石料加工（依法须经批准的项目，经相关部门批准后方可开展经营活动）</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持有建筑业企业资质证书，证书编号：D333064265,有效期：至2021年5月5日。根据住建部公告，有效期延期至2021年12月31日。</w:t>
      </w:r>
    </w:p>
    <w:p>
      <w:pPr>
        <w:keepNext w:val="0"/>
        <w:keepLines w:val="0"/>
        <w:pageBreakBefore w:val="0"/>
        <w:widowControl w:val="0"/>
        <w:kinsoku/>
        <w:wordWrap/>
        <w:overflowPunct/>
        <w:topLinePunct w:val="0"/>
        <w:bidi w:val="0"/>
        <w:snapToGrid/>
        <w:spacing w:line="600" w:lineRule="exact"/>
        <w:ind w:firstLine="638" w:firstLineChars="228"/>
        <w:textAlignment w:val="auto"/>
        <w:rPr>
          <w:rFonts w:ascii="宋体" w:hAnsi="宋体"/>
          <w:color w:val="auto"/>
          <w:sz w:val="28"/>
          <w:szCs w:val="28"/>
          <w:highlight w:val="none"/>
        </w:rPr>
      </w:pPr>
      <w:r>
        <w:rPr>
          <w:rFonts w:hint="eastAsia" w:ascii="宋体" w:hAnsi="宋体"/>
          <w:color w:val="auto"/>
          <w:sz w:val="28"/>
          <w:szCs w:val="28"/>
          <w:highlight w:val="none"/>
        </w:rPr>
        <w:t>2、公司经营情况</w:t>
      </w:r>
    </w:p>
    <w:p>
      <w:pPr>
        <w:pStyle w:val="4"/>
        <w:keepNext w:val="0"/>
        <w:keepLines w:val="0"/>
        <w:pageBreakBefore w:val="0"/>
        <w:widowControl w:val="0"/>
        <w:kinsoku/>
        <w:wordWrap/>
        <w:overflowPunct/>
        <w:topLinePunct w:val="0"/>
        <w:bidi w:val="0"/>
        <w:snapToGrid/>
        <w:spacing w:line="600" w:lineRule="exact"/>
        <w:ind w:firstLine="560" w:firstLineChars="200"/>
        <w:textAlignment w:val="auto"/>
        <w:rPr>
          <w:rFonts w:ascii="宋体" w:hAnsi="宋体" w:cs="宋体"/>
          <w:color w:val="auto"/>
          <w:sz w:val="28"/>
          <w:szCs w:val="28"/>
          <w:highlight w:val="none"/>
        </w:rPr>
      </w:pPr>
      <w:r>
        <w:rPr>
          <w:rFonts w:hint="eastAsia" w:ascii="宋体" w:hAnsi="宋体" w:cs="宋体"/>
          <w:color w:val="auto"/>
          <w:sz w:val="28"/>
          <w:szCs w:val="28"/>
          <w:highlight w:val="none"/>
          <w:lang w:eastAsia="zh-CN"/>
        </w:rPr>
        <w:t>台州四强新型建材有限公司</w:t>
      </w:r>
      <w:r>
        <w:rPr>
          <w:rFonts w:hint="eastAsia" w:ascii="宋体" w:hAnsi="宋体" w:cs="宋体"/>
          <w:color w:val="auto"/>
          <w:sz w:val="28"/>
          <w:szCs w:val="28"/>
          <w:highlight w:val="none"/>
        </w:rPr>
        <w:t>自成立至今，一直处于营业状态。</w:t>
      </w:r>
    </w:p>
    <w:p>
      <w:pPr>
        <w:keepNext w:val="0"/>
        <w:keepLines w:val="0"/>
        <w:pageBreakBefore w:val="0"/>
        <w:widowControl w:val="0"/>
        <w:kinsoku/>
        <w:wordWrap/>
        <w:overflowPunct/>
        <w:topLinePunct w:val="0"/>
        <w:autoSpaceDE w:val="0"/>
        <w:autoSpaceDN w:val="0"/>
        <w:bidi w:val="0"/>
        <w:adjustRightInd w:val="0"/>
        <w:snapToGrid/>
        <w:spacing w:before="156" w:beforeLines="50" w:line="600" w:lineRule="exact"/>
        <w:ind w:firstLine="560"/>
        <w:textAlignment w:val="auto"/>
        <w:rPr>
          <w:rFonts w:hint="eastAsia" w:ascii="宋体" w:hAnsi="宋体"/>
          <w:color w:val="auto"/>
          <w:sz w:val="28"/>
          <w:szCs w:val="28"/>
          <w:highlight w:val="none"/>
        </w:rPr>
      </w:pPr>
      <w:r>
        <w:rPr>
          <w:rFonts w:ascii="宋体" w:hAnsi="宋体"/>
          <w:color w:val="auto"/>
          <w:sz w:val="28"/>
          <w:szCs w:val="28"/>
          <w:highlight w:val="none"/>
        </w:rPr>
        <w:t>3</w:t>
      </w:r>
      <w:r>
        <w:rPr>
          <w:rFonts w:hint="eastAsia" w:ascii="宋体" w:hAnsi="宋体"/>
          <w:color w:val="auto"/>
          <w:sz w:val="28"/>
          <w:szCs w:val="28"/>
          <w:highlight w:val="none"/>
        </w:rPr>
        <w:t>、公司股权结构</w:t>
      </w:r>
    </w:p>
    <w:p>
      <w:pPr>
        <w:keepNext w:val="0"/>
        <w:keepLines w:val="0"/>
        <w:pageBreakBefore w:val="0"/>
        <w:widowControl w:val="0"/>
        <w:kinsoku/>
        <w:wordWrap/>
        <w:overflowPunct/>
        <w:topLinePunct w:val="0"/>
        <w:autoSpaceDE w:val="0"/>
        <w:autoSpaceDN w:val="0"/>
        <w:bidi w:val="0"/>
        <w:adjustRightInd w:val="0"/>
        <w:snapToGrid/>
        <w:spacing w:before="156" w:beforeLines="50" w:line="600" w:lineRule="exact"/>
        <w:ind w:firstLine="560"/>
        <w:textAlignment w:val="auto"/>
        <w:rPr>
          <w:rFonts w:ascii="宋体" w:hAnsi="宋体" w:cs="宋体"/>
          <w:color w:val="auto"/>
          <w:sz w:val="28"/>
          <w:szCs w:val="28"/>
          <w:highlight w:val="none"/>
        </w:rPr>
      </w:pPr>
      <w:r>
        <w:rPr>
          <w:rFonts w:hint="eastAsia" w:ascii="宋体" w:hAnsi="宋体"/>
          <w:color w:val="auto"/>
          <w:sz w:val="28"/>
          <w:szCs w:val="28"/>
          <w:highlight w:val="none"/>
          <w:lang w:val="en-US" w:eastAsia="zh-CN"/>
        </w:rPr>
        <w:t>四强新材</w:t>
      </w:r>
      <w:r>
        <w:rPr>
          <w:rFonts w:hint="eastAsia" w:ascii="宋体" w:hAnsi="宋体" w:cs="宋体"/>
          <w:color w:val="auto"/>
          <w:sz w:val="28"/>
          <w:szCs w:val="28"/>
          <w:highlight w:val="none"/>
        </w:rPr>
        <w:t>现有股权结构如下：</w:t>
      </w:r>
    </w:p>
    <w:tbl>
      <w:tblPr>
        <w:tblStyle w:val="10"/>
        <w:tblpPr w:leftFromText="180" w:rightFromText="180" w:vertAnchor="text" w:horzAnchor="page" w:tblpX="2125" w:tblpY="289"/>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4580"/>
        <w:gridCol w:w="2617"/>
        <w:gridCol w:w="1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eastAsia" w:ascii="Times New Roman" w:hAnsi="Times New Roman"/>
                <w:b/>
                <w:snapToGrid w:val="0"/>
                <w:color w:val="000000"/>
                <w:kern w:val="0"/>
                <w:sz w:val="24"/>
              </w:rPr>
            </w:pPr>
            <w:r>
              <w:rPr>
                <w:rFonts w:hint="eastAsia" w:ascii="Times New Roman" w:hAnsi="Times New Roman"/>
                <w:b/>
                <w:snapToGrid w:val="0"/>
                <w:color w:val="000000"/>
                <w:kern w:val="0"/>
                <w:sz w:val="24"/>
              </w:rPr>
              <w:t>股东名称</w:t>
            </w:r>
          </w:p>
        </w:tc>
        <w:tc>
          <w:tcPr>
            <w:tcW w:w="1470"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eastAsia" w:ascii="Times New Roman" w:hAnsi="Times New Roman"/>
                <w:b/>
                <w:snapToGrid w:val="0"/>
                <w:color w:val="000000"/>
                <w:kern w:val="0"/>
                <w:sz w:val="24"/>
              </w:rPr>
            </w:pPr>
            <w:r>
              <w:rPr>
                <w:rFonts w:hint="eastAsia" w:ascii="宋体" w:hAnsi="宋体" w:cs="宋体"/>
                <w:b/>
                <w:color w:val="auto"/>
                <w:kern w:val="0"/>
                <w:sz w:val="24"/>
                <w:highlight w:val="none"/>
              </w:rPr>
              <w:t>出资额（万元）</w:t>
            </w:r>
          </w:p>
        </w:tc>
        <w:tc>
          <w:tcPr>
            <w:tcW w:w="955"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eastAsia" w:ascii="Times New Roman" w:hAnsi="Times New Roman"/>
                <w:b/>
                <w:snapToGrid w:val="0"/>
                <w:color w:val="000000"/>
                <w:kern w:val="0"/>
                <w:sz w:val="24"/>
              </w:rPr>
            </w:pPr>
            <w:r>
              <w:rPr>
                <w:rFonts w:hint="eastAsia" w:ascii="宋体" w:hAnsi="宋体" w:cs="宋体"/>
                <w:b/>
                <w:color w:val="auto"/>
                <w:kern w:val="0"/>
                <w:sz w:val="24"/>
                <w:highlight w:val="none"/>
              </w:rPr>
              <w:t>出资比例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default" w:ascii="Times New Roman" w:hAnsi="Times New Roman"/>
                <w:b/>
                <w:bCs/>
                <w:snapToGrid w:val="0"/>
                <w:color w:val="000000"/>
                <w:kern w:val="0"/>
                <w:sz w:val="24"/>
                <w:lang w:val="en-US" w:eastAsia="zh-CN"/>
              </w:rPr>
            </w:pPr>
            <w:r>
              <w:rPr>
                <w:rFonts w:hint="eastAsia"/>
                <w:b/>
                <w:bCs/>
                <w:snapToGrid w:val="0"/>
                <w:color w:val="auto"/>
                <w:kern w:val="0"/>
                <w:sz w:val="24"/>
                <w:lang w:val="en-US" w:eastAsia="zh-CN"/>
              </w:rPr>
              <w:t>浙江方远新材料股份有限公司</w:t>
            </w:r>
          </w:p>
        </w:tc>
        <w:tc>
          <w:tcPr>
            <w:tcW w:w="1470"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eastAsia" w:ascii="Times New Roman" w:hAnsi="Times New Roman"/>
                <w:b/>
                <w:bCs/>
                <w:snapToGrid w:val="0"/>
                <w:color w:val="000000"/>
                <w:kern w:val="0"/>
                <w:sz w:val="24"/>
              </w:rPr>
            </w:pPr>
            <w:r>
              <w:rPr>
                <w:rFonts w:hint="eastAsia" w:cs="Times New Roman"/>
                <w:b/>
                <w:bCs/>
                <w:color w:val="000000"/>
                <w:sz w:val="24"/>
                <w:szCs w:val="24"/>
                <w:highlight w:val="none"/>
                <w:lang w:val="en-US" w:eastAsia="zh-CN"/>
              </w:rPr>
              <w:t>1500</w:t>
            </w:r>
            <w:r>
              <w:rPr>
                <w:rFonts w:hint="default" w:ascii="Times New Roman" w:hAnsi="Times New Roman" w:eastAsia="宋体" w:cs="Times New Roman"/>
                <w:b/>
                <w:bCs/>
                <w:color w:val="000000"/>
                <w:sz w:val="24"/>
                <w:szCs w:val="24"/>
                <w:highlight w:val="none"/>
              </w:rPr>
              <w:t>.0</w:t>
            </w:r>
          </w:p>
        </w:tc>
        <w:tc>
          <w:tcPr>
            <w:tcW w:w="955"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eastAsia" w:ascii="Times New Roman" w:hAnsi="Times New Roman" w:eastAsia="宋体"/>
                <w:b/>
                <w:bCs/>
                <w:snapToGrid w:val="0"/>
                <w:color w:val="000000"/>
                <w:kern w:val="0"/>
                <w:sz w:val="24"/>
                <w:lang w:val="en-US" w:eastAsia="zh-CN"/>
              </w:rPr>
            </w:pPr>
            <w:r>
              <w:rPr>
                <w:rFonts w:hint="eastAsia"/>
                <w:b/>
                <w:bCs/>
                <w:snapToGrid w:val="0"/>
                <w:color w:val="000000"/>
                <w:kern w:val="0"/>
                <w:sz w:val="24"/>
                <w:lang w:val="en-US" w:eastAsia="zh-CN"/>
              </w:rPr>
              <w:t>75</w:t>
            </w:r>
            <w:r>
              <w:rPr>
                <w:rFonts w:hint="eastAsia" w:ascii="Times New Roman" w:hAnsi="Times New Roman"/>
                <w:b/>
                <w:bCs/>
                <w:snapToGrid w:val="0"/>
                <w:color w:val="000000"/>
                <w:kern w:val="0"/>
                <w:sz w:val="24"/>
              </w:rPr>
              <w:t>.00</w:t>
            </w:r>
            <w:r>
              <w:rPr>
                <w:rFonts w:hint="eastAsia"/>
                <w:b/>
                <w:bCs/>
                <w:snapToGrid w:val="0"/>
                <w:color w:val="000000"/>
                <w:kern w:val="0"/>
                <w:sz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noWrap w:val="0"/>
            <w:tcMar>
              <w:left w:w="28" w:type="dxa"/>
              <w:right w:w="28" w:type="dxa"/>
            </w:tcMar>
            <w:vAlign w:val="center"/>
          </w:tcPr>
          <w:p>
            <w:pPr>
              <w:keepNext w:val="0"/>
              <w:keepLines w:val="0"/>
              <w:pageBreakBefore w:val="0"/>
              <w:tabs>
                <w:tab w:val="left" w:pos="11988"/>
              </w:tabs>
              <w:kinsoku/>
              <w:wordWrap/>
              <w:overflowPunct/>
              <w:topLinePunct w:val="0"/>
              <w:bidi w:val="0"/>
              <w:adjustRightInd w:val="0"/>
              <w:snapToGrid/>
              <w:jc w:val="center"/>
              <w:textAlignment w:val="auto"/>
              <w:rPr>
                <w:rFonts w:hint="eastAsia" w:ascii="宋体" w:hAnsi="宋体" w:eastAsia="宋体" w:cs="宋体"/>
                <w:b/>
                <w:bCs/>
                <w:color w:val="000000"/>
                <w:kern w:val="2"/>
                <w:sz w:val="24"/>
                <w:szCs w:val="24"/>
                <w:lang w:val="en-US" w:eastAsia="zh-CN" w:bidi="ar-SA"/>
              </w:rPr>
            </w:pPr>
            <w:r>
              <w:rPr>
                <w:rFonts w:hint="eastAsia" w:ascii="宋体" w:hAnsi="宋体" w:cs="宋体"/>
                <w:b/>
                <w:bCs/>
                <w:color w:val="000000"/>
                <w:sz w:val="24"/>
                <w:szCs w:val="24"/>
                <w:lang w:val="en-US" w:eastAsia="zh-CN"/>
              </w:rPr>
              <w:t>王春花</w:t>
            </w:r>
          </w:p>
        </w:tc>
        <w:tc>
          <w:tcPr>
            <w:tcW w:w="1470" w:type="pct"/>
            <w:noWrap w:val="0"/>
            <w:tcMar>
              <w:left w:w="28" w:type="dxa"/>
              <w:right w:w="28" w:type="dxa"/>
            </w:tcMar>
            <w:vAlign w:val="center"/>
          </w:tcPr>
          <w:p>
            <w:pPr>
              <w:keepNext w:val="0"/>
              <w:keepLines w:val="0"/>
              <w:pageBreakBefore w:val="0"/>
              <w:tabs>
                <w:tab w:val="left" w:pos="11988"/>
              </w:tabs>
              <w:kinsoku/>
              <w:wordWrap/>
              <w:overflowPunct/>
              <w:topLinePunct w:val="0"/>
              <w:bidi w:val="0"/>
              <w:adjustRightInd w:val="0"/>
              <w:snapToGrid/>
              <w:jc w:val="center"/>
              <w:textAlignment w:val="auto"/>
              <w:rPr>
                <w:rFonts w:hint="default" w:ascii="Times New Roman" w:hAnsi="Times New Roman" w:eastAsia="宋体" w:cs="Times New Roman"/>
                <w:b/>
                <w:bCs/>
                <w:color w:val="000000"/>
                <w:kern w:val="2"/>
                <w:sz w:val="24"/>
                <w:szCs w:val="24"/>
                <w:lang w:val="en-US" w:eastAsia="zh-CN" w:bidi="ar-SA"/>
              </w:rPr>
            </w:pPr>
            <w:r>
              <w:rPr>
                <w:rFonts w:hint="eastAsia" w:cs="Times New Roman"/>
                <w:b/>
                <w:bCs/>
                <w:color w:val="000000"/>
                <w:sz w:val="24"/>
                <w:szCs w:val="24"/>
                <w:lang w:val="en-US" w:eastAsia="zh-CN"/>
              </w:rPr>
              <w:t>300.</w:t>
            </w:r>
            <w:r>
              <w:rPr>
                <w:rFonts w:hint="default" w:ascii="Times New Roman" w:hAnsi="Times New Roman" w:eastAsia="宋体" w:cs="Times New Roman"/>
                <w:b/>
                <w:bCs/>
                <w:color w:val="000000"/>
                <w:sz w:val="24"/>
                <w:szCs w:val="24"/>
              </w:rPr>
              <w:t>0</w:t>
            </w:r>
          </w:p>
        </w:tc>
        <w:tc>
          <w:tcPr>
            <w:tcW w:w="955"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eastAsia" w:ascii="Times New Roman" w:hAnsi="Times New Roman" w:eastAsia="宋体" w:cs="Times New Roman"/>
                <w:b/>
                <w:bCs/>
                <w:snapToGrid w:val="0"/>
                <w:color w:val="000000"/>
                <w:kern w:val="0"/>
                <w:sz w:val="24"/>
                <w:lang w:val="en-US" w:eastAsia="zh-CN"/>
              </w:rPr>
            </w:pPr>
            <w:r>
              <w:rPr>
                <w:rFonts w:hint="eastAsia" w:cs="Times New Roman"/>
                <w:b/>
                <w:bCs/>
                <w:color w:val="000000"/>
                <w:sz w:val="24"/>
                <w:szCs w:val="24"/>
                <w:lang w:val="en-US" w:eastAsia="zh-CN"/>
              </w:rPr>
              <w:t>15</w:t>
            </w:r>
            <w:r>
              <w:rPr>
                <w:rFonts w:hint="default" w:ascii="Times New Roman" w:hAnsi="Times New Roman" w:eastAsia="宋体" w:cs="Times New Roman"/>
                <w:b/>
                <w:bCs/>
                <w:color w:val="000000"/>
                <w:sz w:val="24"/>
                <w:szCs w:val="24"/>
              </w:rPr>
              <w:t>.00</w:t>
            </w:r>
            <w:r>
              <w:rPr>
                <w:rFonts w:hint="eastAsia" w:cs="Times New Roman"/>
                <w:b/>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noWrap w:val="0"/>
            <w:tcMar>
              <w:left w:w="28" w:type="dxa"/>
              <w:right w:w="28" w:type="dxa"/>
            </w:tcMar>
            <w:vAlign w:val="center"/>
          </w:tcPr>
          <w:p>
            <w:pPr>
              <w:keepNext w:val="0"/>
              <w:keepLines w:val="0"/>
              <w:pageBreakBefore w:val="0"/>
              <w:tabs>
                <w:tab w:val="left" w:pos="11988"/>
              </w:tabs>
              <w:kinsoku/>
              <w:wordWrap/>
              <w:overflowPunct/>
              <w:topLinePunct w:val="0"/>
              <w:bidi w:val="0"/>
              <w:adjustRightInd w:val="0"/>
              <w:snapToGrid/>
              <w:ind w:left="0" w:leftChars="0" w:firstLine="0" w:firstLineChars="0"/>
              <w:jc w:val="both"/>
              <w:textAlignment w:val="auto"/>
              <w:rPr>
                <w:rFonts w:hint="eastAsia" w:ascii="宋体" w:hAnsi="宋体" w:eastAsia="宋体" w:cs="宋体"/>
                <w:b/>
                <w:bCs/>
                <w:color w:val="000000"/>
                <w:kern w:val="2"/>
                <w:sz w:val="24"/>
                <w:szCs w:val="24"/>
                <w:lang w:val="en-US" w:eastAsia="zh-CN" w:bidi="ar-SA"/>
              </w:rPr>
            </w:pPr>
            <w:r>
              <w:rPr>
                <w:rFonts w:hint="eastAsia" w:ascii="宋体" w:hAnsi="宋体" w:eastAsia="宋体" w:cs="宋体"/>
                <w:b/>
                <w:bCs/>
                <w:color w:val="000000"/>
                <w:kern w:val="2"/>
                <w:sz w:val="24"/>
                <w:szCs w:val="24"/>
                <w:lang w:val="en-US" w:eastAsia="zh-CN" w:bidi="ar-SA"/>
              </w:rPr>
              <w:t>玉环市国有资产投资经营集团有限公司</w:t>
            </w:r>
          </w:p>
        </w:tc>
        <w:tc>
          <w:tcPr>
            <w:tcW w:w="1470" w:type="pct"/>
            <w:noWrap w:val="0"/>
            <w:tcMar>
              <w:left w:w="28" w:type="dxa"/>
              <w:right w:w="28" w:type="dxa"/>
            </w:tcMar>
            <w:vAlign w:val="center"/>
          </w:tcPr>
          <w:p>
            <w:pPr>
              <w:keepNext w:val="0"/>
              <w:keepLines w:val="0"/>
              <w:pageBreakBefore w:val="0"/>
              <w:tabs>
                <w:tab w:val="left" w:pos="11988"/>
              </w:tabs>
              <w:kinsoku/>
              <w:wordWrap/>
              <w:overflowPunct/>
              <w:topLinePunct w:val="0"/>
              <w:bidi w:val="0"/>
              <w:adjustRightInd w:val="0"/>
              <w:snapToGrid/>
              <w:jc w:val="center"/>
              <w:textAlignment w:val="auto"/>
              <w:rPr>
                <w:rFonts w:hint="default" w:ascii="Times New Roman" w:hAnsi="Times New Roman" w:eastAsia="宋体" w:cs="Times New Roman"/>
                <w:b/>
                <w:bCs/>
                <w:color w:val="000000"/>
                <w:kern w:val="2"/>
                <w:sz w:val="24"/>
                <w:szCs w:val="24"/>
                <w:lang w:val="en-US" w:eastAsia="zh-CN" w:bidi="ar-SA"/>
              </w:rPr>
            </w:pPr>
            <w:r>
              <w:rPr>
                <w:rFonts w:hint="eastAsia" w:cs="Times New Roman"/>
                <w:b/>
                <w:bCs/>
                <w:color w:val="000000"/>
                <w:sz w:val="24"/>
                <w:szCs w:val="24"/>
                <w:lang w:val="en-US" w:eastAsia="zh-CN"/>
              </w:rPr>
              <w:t>200.</w:t>
            </w:r>
            <w:r>
              <w:rPr>
                <w:rFonts w:hint="default" w:ascii="Times New Roman" w:hAnsi="Times New Roman" w:eastAsia="宋体" w:cs="Times New Roman"/>
                <w:b/>
                <w:bCs/>
                <w:color w:val="000000"/>
                <w:sz w:val="24"/>
                <w:szCs w:val="24"/>
              </w:rPr>
              <w:t>0</w:t>
            </w:r>
          </w:p>
        </w:tc>
        <w:tc>
          <w:tcPr>
            <w:tcW w:w="955"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eastAsia" w:ascii="Times New Roman" w:hAnsi="Times New Roman" w:eastAsia="宋体" w:cs="Times New Roman"/>
                <w:b/>
                <w:bCs/>
                <w:snapToGrid w:val="0"/>
                <w:color w:val="000000"/>
                <w:kern w:val="0"/>
                <w:sz w:val="24"/>
                <w:lang w:val="en-US" w:eastAsia="zh-CN"/>
              </w:rPr>
            </w:pPr>
            <w:r>
              <w:rPr>
                <w:rFonts w:hint="eastAsia" w:cs="Times New Roman"/>
                <w:b/>
                <w:bCs/>
                <w:color w:val="000000"/>
                <w:sz w:val="24"/>
                <w:szCs w:val="24"/>
                <w:lang w:val="en-US" w:eastAsia="zh-CN"/>
              </w:rPr>
              <w:t>10</w:t>
            </w:r>
            <w:r>
              <w:rPr>
                <w:rFonts w:hint="default" w:ascii="Times New Roman" w:hAnsi="Times New Roman" w:eastAsia="宋体" w:cs="Times New Roman"/>
                <w:b/>
                <w:bCs/>
                <w:color w:val="000000"/>
                <w:sz w:val="24"/>
                <w:szCs w:val="24"/>
              </w:rPr>
              <w:t>.00</w:t>
            </w:r>
            <w:r>
              <w:rPr>
                <w:rFonts w:hint="eastAsia" w:cs="Times New Roman"/>
                <w:b/>
                <w:bCs/>
                <w:color w:val="000000"/>
                <w:sz w:val="24"/>
                <w:szCs w:val="24"/>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63" w:hRule="atLeast"/>
        </w:trPr>
        <w:tc>
          <w:tcPr>
            <w:tcW w:w="2573" w:type="pct"/>
            <w:noWrap w:val="0"/>
            <w:tcMar>
              <w:left w:w="28" w:type="dxa"/>
              <w:right w:w="28" w:type="dxa"/>
            </w:tcMar>
            <w:vAlign w:val="center"/>
          </w:tcPr>
          <w:p>
            <w:pPr>
              <w:keepNext w:val="0"/>
              <w:keepLines w:val="0"/>
              <w:pageBreakBefore w:val="0"/>
              <w:tabs>
                <w:tab w:val="left" w:pos="11988"/>
              </w:tabs>
              <w:kinsoku/>
              <w:wordWrap/>
              <w:overflowPunct/>
              <w:topLinePunct w:val="0"/>
              <w:bidi w:val="0"/>
              <w:adjustRightInd w:val="0"/>
              <w:snapToGrid/>
              <w:jc w:val="center"/>
              <w:textAlignment w:val="auto"/>
              <w:rPr>
                <w:rFonts w:hint="eastAsia" w:ascii="宋体" w:hAnsi="宋体" w:eastAsia="宋体" w:cs="宋体"/>
                <w:b/>
                <w:bCs/>
                <w:color w:val="000000"/>
                <w:sz w:val="24"/>
                <w:szCs w:val="24"/>
                <w:lang w:eastAsia="zh-CN"/>
              </w:rPr>
            </w:pPr>
            <w:r>
              <w:rPr>
                <w:rFonts w:hint="eastAsia" w:ascii="宋体" w:hAnsi="宋体" w:cs="宋体"/>
                <w:b/>
                <w:bCs/>
                <w:color w:val="000000"/>
                <w:sz w:val="24"/>
                <w:szCs w:val="24"/>
                <w:lang w:eastAsia="zh-CN"/>
              </w:rPr>
              <w:t>合计</w:t>
            </w:r>
          </w:p>
        </w:tc>
        <w:tc>
          <w:tcPr>
            <w:tcW w:w="1470" w:type="pct"/>
            <w:noWrap w:val="0"/>
            <w:tcMar>
              <w:left w:w="28" w:type="dxa"/>
              <w:right w:w="28" w:type="dxa"/>
            </w:tcMar>
            <w:vAlign w:val="center"/>
          </w:tcPr>
          <w:p>
            <w:pPr>
              <w:keepNext w:val="0"/>
              <w:keepLines w:val="0"/>
              <w:pageBreakBefore w:val="0"/>
              <w:tabs>
                <w:tab w:val="left" w:pos="11988"/>
              </w:tabs>
              <w:kinsoku/>
              <w:wordWrap/>
              <w:overflowPunct/>
              <w:topLinePunct w:val="0"/>
              <w:bidi w:val="0"/>
              <w:adjustRightInd w:val="0"/>
              <w:snapToGrid/>
              <w:jc w:val="center"/>
              <w:textAlignment w:val="auto"/>
              <w:rPr>
                <w:rFonts w:hint="default" w:ascii="Times New Roman" w:hAnsi="Times New Roman" w:eastAsia="宋体" w:cs="Times New Roman"/>
                <w:b/>
                <w:bCs/>
                <w:color w:val="000000"/>
                <w:sz w:val="24"/>
                <w:szCs w:val="24"/>
                <w:lang w:val="en-US" w:eastAsia="zh-CN"/>
              </w:rPr>
            </w:pPr>
            <w:r>
              <w:rPr>
                <w:rFonts w:hint="eastAsia" w:cs="Times New Roman"/>
                <w:b/>
                <w:bCs/>
                <w:color w:val="000000"/>
                <w:sz w:val="24"/>
                <w:szCs w:val="24"/>
                <w:lang w:val="en-US" w:eastAsia="zh-CN"/>
              </w:rPr>
              <w:t>2000.0</w:t>
            </w:r>
          </w:p>
        </w:tc>
        <w:tc>
          <w:tcPr>
            <w:tcW w:w="955" w:type="pct"/>
            <w:noWrap w:val="0"/>
            <w:tcMar>
              <w:left w:w="28" w:type="dxa"/>
              <w:right w:w="28" w:type="dxa"/>
            </w:tcMar>
            <w:vAlign w:val="center"/>
          </w:tcPr>
          <w:p>
            <w:pPr>
              <w:keepNext w:val="0"/>
              <w:keepLines w:val="0"/>
              <w:pageBreakBefore w:val="0"/>
              <w:widowControl/>
              <w:kinsoku/>
              <w:wordWrap/>
              <w:overflowPunct/>
              <w:topLinePunct w:val="0"/>
              <w:autoSpaceDE w:val="0"/>
              <w:autoSpaceDN w:val="0"/>
              <w:bidi w:val="0"/>
              <w:adjustRightInd w:val="0"/>
              <w:snapToGrid/>
              <w:jc w:val="center"/>
              <w:textAlignment w:val="auto"/>
              <w:rPr>
                <w:rFonts w:hint="default" w:ascii="Times New Roman" w:hAnsi="Times New Roman" w:eastAsia="宋体" w:cs="Times New Roman"/>
                <w:b/>
                <w:bCs/>
                <w:color w:val="000000"/>
                <w:sz w:val="24"/>
                <w:szCs w:val="24"/>
                <w:lang w:val="en-US" w:eastAsia="zh-CN"/>
              </w:rPr>
            </w:pPr>
            <w:r>
              <w:rPr>
                <w:rFonts w:hint="eastAsia" w:cs="Times New Roman"/>
                <w:b/>
                <w:bCs/>
                <w:color w:val="000000"/>
                <w:sz w:val="24"/>
                <w:szCs w:val="24"/>
                <w:lang w:val="en-US" w:eastAsia="zh-CN"/>
              </w:rPr>
              <w:t>100%</w:t>
            </w:r>
          </w:p>
        </w:tc>
      </w:tr>
    </w:tbl>
    <w:p>
      <w:pPr>
        <w:numPr>
          <w:ilvl w:val="0"/>
          <w:numId w:val="3"/>
        </w:numPr>
        <w:ind w:firstLine="560"/>
        <w:rPr>
          <w:rFonts w:ascii="宋体" w:hAnsi="宋体" w:cs="宋体"/>
          <w:color w:val="auto"/>
          <w:sz w:val="28"/>
          <w:szCs w:val="28"/>
          <w:highlight w:val="none"/>
        </w:rPr>
      </w:pPr>
      <w:r>
        <w:rPr>
          <w:rFonts w:hint="eastAsia" w:ascii="宋体" w:hAnsi="宋体" w:cs="宋体"/>
          <w:color w:val="auto"/>
          <w:sz w:val="28"/>
          <w:szCs w:val="28"/>
          <w:highlight w:val="none"/>
        </w:rPr>
        <w:t>公司资产、负债情况</w:t>
      </w:r>
    </w:p>
    <w:p>
      <w:pPr>
        <w:pStyle w:val="2"/>
        <w:rPr>
          <w:rFonts w:hint="default" w:eastAsia="宋体"/>
          <w:lang w:val="en-US" w:eastAsia="zh-CN"/>
        </w:rPr>
      </w:pPr>
      <w:r>
        <w:rPr>
          <w:rFonts w:hint="eastAsia" w:ascii="宋体" w:hAnsi="宋体" w:cs="宋体"/>
          <w:color w:val="auto"/>
          <w:sz w:val="28"/>
          <w:szCs w:val="28"/>
          <w:highlight w:val="none"/>
          <w:lang w:val="en-US" w:eastAsia="zh-CN"/>
        </w:rPr>
        <w:t>1、财务数据</w:t>
      </w:r>
    </w:p>
    <w:tbl>
      <w:tblPr>
        <w:tblStyle w:val="10"/>
        <w:tblW w:w="90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1961"/>
        <w:gridCol w:w="1840"/>
        <w:gridCol w:w="1862"/>
        <w:gridCol w:w="1701"/>
        <w:gridCol w:w="16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restart"/>
            <w:noWrap w:val="0"/>
            <w:vAlign w:val="center"/>
          </w:tcPr>
          <w:p>
            <w:pPr>
              <w:jc w:val="center"/>
              <w:rPr>
                <w:rFonts w:ascii="宋体" w:hAnsi="宋体"/>
                <w:b/>
                <w:color w:val="auto"/>
                <w:szCs w:val="21"/>
                <w:highlight w:val="none"/>
              </w:rPr>
            </w:pPr>
            <w:r>
              <w:rPr>
                <w:rFonts w:hint="eastAsia" w:ascii="宋体" w:hAnsi="宋体"/>
                <w:b/>
                <w:color w:val="auto"/>
                <w:szCs w:val="21"/>
                <w:highlight w:val="none"/>
              </w:rPr>
              <w:t>主要财务指标</w:t>
            </w:r>
          </w:p>
          <w:p>
            <w:pPr>
              <w:jc w:val="center"/>
              <w:rPr>
                <w:rFonts w:ascii="宋体" w:hAnsi="宋体"/>
                <w:b/>
                <w:color w:val="auto"/>
                <w:szCs w:val="21"/>
                <w:highlight w:val="none"/>
              </w:rPr>
            </w:pPr>
            <w:r>
              <w:rPr>
                <w:rFonts w:hint="eastAsia" w:ascii="宋体" w:hAnsi="宋体"/>
                <w:b/>
                <w:color w:val="auto"/>
                <w:szCs w:val="21"/>
                <w:highlight w:val="none"/>
              </w:rPr>
              <w:t>（单位：人民币元）</w:t>
            </w:r>
          </w:p>
        </w:tc>
        <w:tc>
          <w:tcPr>
            <w:tcW w:w="7095" w:type="dxa"/>
            <w:gridSpan w:val="4"/>
            <w:noWrap w:val="0"/>
            <w:vAlign w:val="center"/>
          </w:tcPr>
          <w:p>
            <w:pPr>
              <w:ind w:firstLine="480"/>
              <w:jc w:val="center"/>
              <w:rPr>
                <w:rFonts w:ascii="宋体" w:hAnsi="宋体"/>
                <w:color w:val="auto"/>
                <w:szCs w:val="21"/>
                <w:highlight w:val="none"/>
              </w:rPr>
            </w:pPr>
            <w:r>
              <w:rPr>
                <w:rFonts w:hint="eastAsia" w:ascii="宋体" w:hAnsi="宋体"/>
                <w:b/>
                <w:bCs/>
                <w:color w:val="auto"/>
                <w:szCs w:val="21"/>
                <w:highlight w:val="none"/>
              </w:rPr>
              <w:t>以下数据出自审计报告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noWrap w:val="0"/>
            <w:vAlign w:val="center"/>
          </w:tcPr>
          <w:p>
            <w:pPr>
              <w:ind w:firstLine="482"/>
              <w:jc w:val="center"/>
              <w:rPr>
                <w:rFonts w:ascii="宋体" w:hAnsi="宋体"/>
                <w:b/>
                <w:color w:val="auto"/>
                <w:szCs w:val="21"/>
                <w:highlight w:val="none"/>
              </w:rPr>
            </w:pPr>
          </w:p>
        </w:tc>
        <w:tc>
          <w:tcPr>
            <w:tcW w:w="1840"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年度日期</w:t>
            </w:r>
          </w:p>
        </w:tc>
        <w:tc>
          <w:tcPr>
            <w:tcW w:w="1862"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资产总计</w:t>
            </w:r>
          </w:p>
        </w:tc>
        <w:tc>
          <w:tcPr>
            <w:tcW w:w="1701"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负债总计</w:t>
            </w:r>
          </w:p>
        </w:tc>
        <w:tc>
          <w:tcPr>
            <w:tcW w:w="1692" w:type="dxa"/>
            <w:noWrap w:val="0"/>
            <w:vAlign w:val="center"/>
          </w:tcPr>
          <w:p>
            <w:pPr>
              <w:jc w:val="center"/>
              <w:rPr>
                <w:rFonts w:ascii="宋体" w:hAnsi="宋体"/>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noWrap w:val="0"/>
            <w:vAlign w:val="center"/>
          </w:tcPr>
          <w:p>
            <w:pPr>
              <w:ind w:firstLine="482"/>
              <w:jc w:val="center"/>
              <w:rPr>
                <w:rFonts w:ascii="宋体" w:hAnsi="宋体"/>
                <w:b/>
                <w:color w:val="auto"/>
                <w:szCs w:val="21"/>
                <w:highlight w:val="none"/>
              </w:rPr>
            </w:pPr>
          </w:p>
        </w:tc>
        <w:tc>
          <w:tcPr>
            <w:tcW w:w="1840" w:type="dxa"/>
            <w:vMerge w:val="restart"/>
            <w:noWrap w:val="0"/>
            <w:vAlign w:val="center"/>
          </w:tcPr>
          <w:p>
            <w:pPr>
              <w:jc w:val="center"/>
              <w:rPr>
                <w:rFonts w:hint="default" w:ascii="宋体" w:hAnsi="宋体" w:eastAsia="宋体"/>
                <w:color w:val="auto"/>
                <w:szCs w:val="21"/>
                <w:highlight w:val="none"/>
                <w:u w:val="single"/>
                <w:lang w:val="en-US"/>
              </w:rPr>
            </w:pPr>
            <w:r>
              <w:rPr>
                <w:rFonts w:hint="eastAsia" w:ascii="宋体" w:hAnsi="宋体"/>
                <w:color w:val="auto"/>
                <w:szCs w:val="21"/>
                <w:highlight w:val="none"/>
              </w:rPr>
              <w:t>20</w:t>
            </w:r>
            <w:r>
              <w:rPr>
                <w:rFonts w:hint="eastAsia" w:ascii="宋体" w:hAnsi="宋体"/>
                <w:color w:val="auto"/>
                <w:szCs w:val="21"/>
                <w:highlight w:val="none"/>
                <w:lang w:val="en-US" w:eastAsia="zh-CN"/>
              </w:rPr>
              <w:t>20</w:t>
            </w:r>
            <w:r>
              <w:rPr>
                <w:rFonts w:hint="eastAsia" w:ascii="宋体" w:hAnsi="宋体"/>
                <w:color w:val="auto"/>
                <w:szCs w:val="21"/>
                <w:highlight w:val="none"/>
              </w:rPr>
              <w:t>.</w:t>
            </w:r>
            <w:r>
              <w:rPr>
                <w:rFonts w:hint="eastAsia" w:ascii="宋体" w:hAnsi="宋体"/>
                <w:color w:val="auto"/>
                <w:szCs w:val="21"/>
                <w:highlight w:val="none"/>
                <w:lang w:val="en-US" w:eastAsia="zh-CN"/>
              </w:rPr>
              <w:t>12.31</w:t>
            </w:r>
          </w:p>
        </w:tc>
        <w:tc>
          <w:tcPr>
            <w:tcW w:w="1862"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113,023,906.54</w:t>
            </w:r>
          </w:p>
        </w:tc>
        <w:tc>
          <w:tcPr>
            <w:tcW w:w="1701"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75,116,825.99</w:t>
            </w:r>
          </w:p>
        </w:tc>
        <w:tc>
          <w:tcPr>
            <w:tcW w:w="1692" w:type="dxa"/>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37,907,080.55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2"/>
              <w:jc w:val="center"/>
              <w:rPr>
                <w:rFonts w:ascii="宋体" w:hAnsi="宋体"/>
                <w:b/>
                <w:color w:val="auto"/>
                <w:szCs w:val="21"/>
                <w:highlight w:val="none"/>
              </w:rPr>
            </w:pPr>
          </w:p>
        </w:tc>
        <w:tc>
          <w:tcPr>
            <w:tcW w:w="1840" w:type="dxa"/>
            <w:vMerge w:val="continue"/>
            <w:shd w:val="clear" w:color="auto" w:fill="auto"/>
            <w:noWrap w:val="0"/>
            <w:vAlign w:val="center"/>
          </w:tcPr>
          <w:p>
            <w:pPr>
              <w:jc w:val="center"/>
              <w:rPr>
                <w:rFonts w:ascii="宋体" w:hAnsi="宋体"/>
                <w:color w:val="auto"/>
                <w:szCs w:val="21"/>
                <w:highlight w:val="none"/>
                <w:u w:val="single"/>
              </w:rPr>
            </w:pPr>
          </w:p>
        </w:tc>
        <w:tc>
          <w:tcPr>
            <w:tcW w:w="1862" w:type="dxa"/>
            <w:shd w:val="clear" w:color="auto" w:fill="auto"/>
            <w:noWrap w:val="0"/>
            <w:vAlign w:val="center"/>
          </w:tcPr>
          <w:p>
            <w:pPr>
              <w:jc w:val="center"/>
              <w:rPr>
                <w:rFonts w:ascii="宋体" w:hAnsi="宋体" w:eastAsia="宋体" w:cs="Times New Roman"/>
                <w:b/>
                <w:color w:val="auto"/>
                <w:szCs w:val="21"/>
                <w:highlight w:val="yellow"/>
              </w:rPr>
            </w:pPr>
            <w:r>
              <w:rPr>
                <w:rFonts w:hint="eastAsia" w:ascii="宋体" w:hAnsi="宋体"/>
                <w:b/>
                <w:color w:val="auto"/>
                <w:szCs w:val="21"/>
                <w:highlight w:val="none"/>
              </w:rPr>
              <w:t>营业收入</w:t>
            </w:r>
          </w:p>
        </w:tc>
        <w:tc>
          <w:tcPr>
            <w:tcW w:w="1701" w:type="dxa"/>
            <w:shd w:val="clear" w:color="auto" w:fill="FFFFFF"/>
            <w:noWrap w:val="0"/>
            <w:vAlign w:val="center"/>
          </w:tcPr>
          <w:p>
            <w:pPr>
              <w:jc w:val="center"/>
              <w:rPr>
                <w:rFonts w:ascii="宋体" w:hAnsi="宋体" w:eastAsia="宋体" w:cs="Times New Roman"/>
                <w:b/>
                <w:color w:val="auto"/>
                <w:szCs w:val="21"/>
                <w:highlight w:val="yellow"/>
              </w:rPr>
            </w:pPr>
            <w:r>
              <w:rPr>
                <w:rFonts w:hint="eastAsia" w:ascii="宋体" w:hAnsi="宋体"/>
                <w:b/>
                <w:color w:val="auto"/>
                <w:szCs w:val="21"/>
                <w:highlight w:val="none"/>
              </w:rPr>
              <w:t>利润总额</w:t>
            </w:r>
          </w:p>
        </w:tc>
        <w:tc>
          <w:tcPr>
            <w:tcW w:w="1692" w:type="dxa"/>
            <w:shd w:val="clear" w:color="auto" w:fill="FFFFFF"/>
            <w:noWrap w:val="0"/>
            <w:vAlign w:val="center"/>
          </w:tcPr>
          <w:p>
            <w:pPr>
              <w:jc w:val="center"/>
              <w:rPr>
                <w:rFonts w:ascii="宋体" w:hAnsi="宋体" w:eastAsia="宋体" w:cs="Times New Roman"/>
                <w:b/>
                <w:color w:val="auto"/>
                <w:szCs w:val="21"/>
                <w:highlight w:val="yellow"/>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2"/>
              <w:jc w:val="center"/>
              <w:rPr>
                <w:rFonts w:ascii="宋体" w:hAnsi="宋体"/>
                <w:b/>
                <w:color w:val="auto"/>
                <w:szCs w:val="21"/>
                <w:highlight w:val="none"/>
              </w:rPr>
            </w:pPr>
          </w:p>
        </w:tc>
        <w:tc>
          <w:tcPr>
            <w:tcW w:w="1840" w:type="dxa"/>
            <w:vMerge w:val="continue"/>
            <w:shd w:val="clear" w:color="auto" w:fill="auto"/>
            <w:noWrap w:val="0"/>
            <w:vAlign w:val="center"/>
          </w:tcPr>
          <w:p>
            <w:pPr>
              <w:jc w:val="center"/>
              <w:rPr>
                <w:rFonts w:ascii="宋体" w:hAnsi="宋体"/>
                <w:color w:val="auto"/>
                <w:szCs w:val="21"/>
                <w:highlight w:val="none"/>
                <w:u w:val="single"/>
              </w:rPr>
            </w:pPr>
          </w:p>
        </w:tc>
        <w:tc>
          <w:tcPr>
            <w:tcW w:w="1862" w:type="dxa"/>
            <w:shd w:val="clear" w:color="auto" w:fill="auto"/>
            <w:noWrap w:val="0"/>
            <w:vAlign w:val="center"/>
          </w:tcPr>
          <w:p>
            <w:pPr>
              <w:ind w:left="0" w:leftChars="0" w:firstLine="0" w:firstLineChars="0"/>
              <w:jc w:val="right"/>
              <w:rPr>
                <w:rFonts w:hint="default" w:ascii="宋体" w:hAnsi="宋体" w:eastAsia="宋体" w:cs="Times New Roman"/>
                <w:color w:val="auto"/>
                <w:szCs w:val="21"/>
                <w:highlight w:val="yellow"/>
                <w:lang w:val="en-US" w:eastAsia="zh-CN"/>
              </w:rPr>
            </w:pPr>
            <w:r>
              <w:rPr>
                <w:rFonts w:hint="eastAsia" w:ascii="宋体" w:hAnsi="宋体" w:cs="Times New Roman"/>
                <w:color w:val="auto"/>
                <w:szCs w:val="21"/>
                <w:highlight w:val="none"/>
                <w:lang w:val="en-US" w:eastAsia="zh-CN"/>
              </w:rPr>
              <w:t>404,200,534.16</w:t>
            </w:r>
          </w:p>
        </w:tc>
        <w:tc>
          <w:tcPr>
            <w:tcW w:w="1701"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yellow"/>
                <w:lang w:val="en-US" w:eastAsia="zh-CN"/>
              </w:rPr>
            </w:pPr>
            <w:r>
              <w:rPr>
                <w:rFonts w:hint="eastAsia" w:ascii="宋体" w:hAnsi="宋体" w:cs="Times New Roman"/>
                <w:color w:val="auto"/>
                <w:szCs w:val="21"/>
                <w:highlight w:val="none"/>
                <w:lang w:val="en-US" w:eastAsia="zh-CN"/>
              </w:rPr>
              <w:t>21,150,886.37</w:t>
            </w:r>
          </w:p>
        </w:tc>
        <w:tc>
          <w:tcPr>
            <w:tcW w:w="1692"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17,917,073.10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2"/>
              <w:jc w:val="center"/>
              <w:rPr>
                <w:rFonts w:ascii="宋体" w:hAnsi="宋体"/>
                <w:b/>
                <w:color w:val="auto"/>
                <w:szCs w:val="21"/>
                <w:highlight w:val="none"/>
              </w:rPr>
            </w:pPr>
          </w:p>
        </w:tc>
        <w:tc>
          <w:tcPr>
            <w:tcW w:w="1840"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审计机构</w:t>
            </w:r>
          </w:p>
        </w:tc>
        <w:tc>
          <w:tcPr>
            <w:tcW w:w="5255" w:type="dxa"/>
            <w:gridSpan w:val="3"/>
            <w:shd w:val="clear" w:color="auto" w:fill="FFFFFF"/>
            <w:noWrap w:val="0"/>
            <w:vAlign w:val="center"/>
          </w:tcPr>
          <w:p>
            <w:pPr>
              <w:ind w:firstLine="420" w:firstLineChars="200"/>
              <w:rPr>
                <w:rFonts w:hint="default" w:ascii="宋体" w:hAnsi="宋体" w:eastAsia="宋体" w:cs="Times New Roman"/>
                <w:color w:val="auto"/>
                <w:szCs w:val="21"/>
                <w:highlight w:val="none"/>
                <w:lang w:val="en-US" w:eastAsia="zh-CN"/>
              </w:rPr>
            </w:pPr>
            <w:r>
              <w:rPr>
                <w:rFonts w:hint="eastAsia" w:ascii="宋体" w:hAnsi="宋体" w:cs="Times New Roman"/>
                <w:color w:val="auto"/>
                <w:szCs w:val="21"/>
                <w:highlight w:val="none"/>
                <w:lang w:val="en-US" w:eastAsia="zh-CN"/>
              </w:rPr>
              <w:t>浙江浙经天策会</w:t>
            </w:r>
            <w:bookmarkStart w:id="40" w:name="_GoBack"/>
            <w:bookmarkEnd w:id="40"/>
            <w:r>
              <w:rPr>
                <w:rFonts w:hint="eastAsia" w:ascii="宋体" w:hAnsi="宋体" w:cs="Times New Roman"/>
                <w:color w:val="auto"/>
                <w:szCs w:val="21"/>
                <w:highlight w:val="none"/>
                <w:lang w:val="en-US" w:eastAsia="zh-CN"/>
              </w:rPr>
              <w:t>计师事务所有限公司台州分公司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2"/>
              <w:jc w:val="center"/>
              <w:rPr>
                <w:rFonts w:ascii="宋体" w:hAnsi="宋体"/>
                <w:b/>
                <w:color w:val="auto"/>
                <w:szCs w:val="21"/>
                <w:highlight w:val="none"/>
              </w:rPr>
            </w:pPr>
          </w:p>
        </w:tc>
        <w:tc>
          <w:tcPr>
            <w:tcW w:w="7095" w:type="dxa"/>
            <w:gridSpan w:val="4"/>
            <w:shd w:val="clear" w:color="auto" w:fill="FFFFFF"/>
            <w:noWrap w:val="0"/>
            <w:vAlign w:val="center"/>
          </w:tcPr>
          <w:p>
            <w:pPr>
              <w:ind w:firstLine="422" w:firstLineChars="200"/>
              <w:jc w:val="center"/>
              <w:rPr>
                <w:rFonts w:ascii="宋体" w:hAnsi="宋体" w:eastAsia="宋体" w:cs="Times New Roman"/>
                <w:color w:val="auto"/>
                <w:szCs w:val="21"/>
                <w:highlight w:val="none"/>
              </w:rPr>
            </w:pPr>
            <w:r>
              <w:rPr>
                <w:rFonts w:hint="eastAsia" w:ascii="宋体" w:hAnsi="宋体"/>
                <w:b/>
                <w:bCs/>
                <w:color w:val="auto"/>
                <w:szCs w:val="21"/>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0"/>
              <w:jc w:val="center"/>
              <w:rPr>
                <w:rFonts w:ascii="宋体" w:hAnsi="宋体"/>
                <w:color w:val="auto"/>
                <w:szCs w:val="21"/>
                <w:highlight w:val="none"/>
              </w:rPr>
            </w:pPr>
          </w:p>
        </w:tc>
        <w:tc>
          <w:tcPr>
            <w:tcW w:w="1840"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报表日期</w:t>
            </w:r>
          </w:p>
        </w:tc>
        <w:tc>
          <w:tcPr>
            <w:tcW w:w="1862"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资产总计</w:t>
            </w:r>
          </w:p>
        </w:tc>
        <w:tc>
          <w:tcPr>
            <w:tcW w:w="1701"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负债总计</w:t>
            </w:r>
          </w:p>
        </w:tc>
        <w:tc>
          <w:tcPr>
            <w:tcW w:w="169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0"/>
              <w:rPr>
                <w:rFonts w:ascii="宋体" w:hAnsi="宋体"/>
                <w:color w:val="auto"/>
                <w:szCs w:val="21"/>
                <w:highlight w:val="none"/>
              </w:rPr>
            </w:pPr>
          </w:p>
        </w:tc>
        <w:tc>
          <w:tcPr>
            <w:tcW w:w="1840" w:type="dxa"/>
            <w:shd w:val="clear" w:color="auto" w:fill="auto"/>
            <w:noWrap w:val="0"/>
            <w:vAlign w:val="center"/>
          </w:tcPr>
          <w:p>
            <w:pPr>
              <w:jc w:val="center"/>
              <w:rPr>
                <w:rFonts w:ascii="宋体" w:hAnsi="宋体" w:eastAsia="宋体" w:cs="Times New Roman"/>
                <w:color w:val="auto"/>
                <w:szCs w:val="21"/>
                <w:highlight w:val="none"/>
              </w:rPr>
            </w:pPr>
            <w:r>
              <w:rPr>
                <w:rFonts w:hint="eastAsia" w:ascii="宋体" w:hAnsi="宋体"/>
                <w:color w:val="auto"/>
                <w:szCs w:val="21"/>
                <w:highlight w:val="none"/>
              </w:rPr>
              <w:t>20</w:t>
            </w:r>
            <w:r>
              <w:rPr>
                <w:rFonts w:hint="eastAsia" w:ascii="宋体" w:hAnsi="宋体"/>
                <w:color w:val="auto"/>
                <w:szCs w:val="21"/>
                <w:highlight w:val="none"/>
                <w:lang w:val="en-US" w:eastAsia="zh-CN"/>
              </w:rPr>
              <w:t>21</w:t>
            </w:r>
            <w:r>
              <w:rPr>
                <w:rFonts w:hint="eastAsia" w:ascii="宋体" w:hAnsi="宋体"/>
                <w:color w:val="auto"/>
                <w:szCs w:val="21"/>
                <w:highlight w:val="none"/>
              </w:rPr>
              <w:t>.</w:t>
            </w:r>
            <w:r>
              <w:rPr>
                <w:rFonts w:hint="eastAsia" w:ascii="宋体" w:hAnsi="宋体"/>
                <w:color w:val="auto"/>
                <w:szCs w:val="21"/>
                <w:highlight w:val="none"/>
                <w:lang w:val="en-US" w:eastAsia="zh-CN"/>
              </w:rPr>
              <w:t>9</w:t>
            </w:r>
            <w:r>
              <w:rPr>
                <w:rFonts w:hint="eastAsia" w:ascii="宋体" w:hAnsi="宋体"/>
                <w:color w:val="auto"/>
                <w:szCs w:val="21"/>
                <w:highlight w:val="none"/>
              </w:rPr>
              <w:t>.3</w:t>
            </w:r>
            <w:r>
              <w:rPr>
                <w:rFonts w:hint="eastAsia" w:ascii="宋体" w:hAnsi="宋体"/>
                <w:color w:val="auto"/>
                <w:szCs w:val="21"/>
                <w:highlight w:val="none"/>
                <w:lang w:val="en-US" w:eastAsia="zh-CN"/>
              </w:rPr>
              <w:t>0</w:t>
            </w:r>
          </w:p>
        </w:tc>
        <w:tc>
          <w:tcPr>
            <w:tcW w:w="1862" w:type="dxa"/>
            <w:shd w:val="clear" w:color="auto" w:fill="auto"/>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128,628,203.04</w:t>
            </w:r>
          </w:p>
        </w:tc>
        <w:tc>
          <w:tcPr>
            <w:tcW w:w="1701"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79,253,607.68</w:t>
            </w:r>
          </w:p>
        </w:tc>
        <w:tc>
          <w:tcPr>
            <w:tcW w:w="1692" w:type="dxa"/>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49,374,595.36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0"/>
              <w:rPr>
                <w:rFonts w:ascii="宋体" w:hAnsi="宋体"/>
                <w:color w:val="auto"/>
                <w:szCs w:val="21"/>
                <w:highlight w:val="none"/>
              </w:rPr>
            </w:pPr>
          </w:p>
        </w:tc>
        <w:tc>
          <w:tcPr>
            <w:tcW w:w="1840"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报表类型</w:t>
            </w:r>
          </w:p>
        </w:tc>
        <w:tc>
          <w:tcPr>
            <w:tcW w:w="1862" w:type="dxa"/>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营业收入</w:t>
            </w:r>
          </w:p>
        </w:tc>
        <w:tc>
          <w:tcPr>
            <w:tcW w:w="1701"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利润总额</w:t>
            </w:r>
          </w:p>
        </w:tc>
        <w:tc>
          <w:tcPr>
            <w:tcW w:w="1692" w:type="dxa"/>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1961" w:type="dxa"/>
            <w:vMerge w:val="continue"/>
            <w:shd w:val="clear" w:color="auto" w:fill="auto"/>
            <w:noWrap w:val="0"/>
            <w:vAlign w:val="center"/>
          </w:tcPr>
          <w:p>
            <w:pPr>
              <w:ind w:firstLine="480"/>
              <w:rPr>
                <w:rFonts w:ascii="宋体" w:hAnsi="宋体"/>
                <w:color w:val="auto"/>
                <w:szCs w:val="21"/>
                <w:highlight w:val="none"/>
              </w:rPr>
            </w:pPr>
          </w:p>
        </w:tc>
        <w:tc>
          <w:tcPr>
            <w:tcW w:w="1840" w:type="dxa"/>
            <w:shd w:val="clear" w:color="auto" w:fill="auto"/>
            <w:noWrap w:val="0"/>
            <w:vAlign w:val="center"/>
          </w:tcPr>
          <w:p>
            <w:pPr>
              <w:jc w:val="center"/>
              <w:rPr>
                <w:rFonts w:ascii="宋体" w:hAnsi="宋体" w:eastAsia="宋体" w:cs="Times New Roman"/>
                <w:color w:val="auto"/>
                <w:szCs w:val="21"/>
                <w:highlight w:val="none"/>
              </w:rPr>
            </w:pPr>
            <w:r>
              <w:rPr>
                <w:rFonts w:hint="eastAsia" w:ascii="宋体" w:hAnsi="宋体"/>
                <w:color w:val="auto"/>
                <w:szCs w:val="21"/>
                <w:highlight w:val="none"/>
                <w:lang w:eastAsia="zh-CN"/>
              </w:rPr>
              <w:t>中期</w:t>
            </w:r>
            <w:r>
              <w:rPr>
                <w:rFonts w:hint="eastAsia" w:ascii="宋体" w:hAnsi="宋体"/>
                <w:color w:val="auto"/>
                <w:szCs w:val="21"/>
                <w:highlight w:val="none"/>
              </w:rPr>
              <w:t>报表</w:t>
            </w:r>
          </w:p>
        </w:tc>
        <w:tc>
          <w:tcPr>
            <w:tcW w:w="1862" w:type="dxa"/>
            <w:shd w:val="clear" w:color="auto" w:fill="auto"/>
            <w:noWrap w:val="0"/>
            <w:vAlign w:val="center"/>
          </w:tcPr>
          <w:p>
            <w:pPr>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12,355,597.25</w:t>
            </w:r>
          </w:p>
        </w:tc>
        <w:tc>
          <w:tcPr>
            <w:tcW w:w="1701" w:type="dxa"/>
            <w:shd w:val="clear" w:color="auto" w:fill="FFFFFF"/>
            <w:noWrap w:val="0"/>
            <w:vAlign w:val="center"/>
          </w:tcPr>
          <w:p>
            <w:pPr>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-921,104.45</w:t>
            </w:r>
          </w:p>
        </w:tc>
        <w:tc>
          <w:tcPr>
            <w:tcW w:w="1692" w:type="dxa"/>
            <w:shd w:val="clear" w:color="auto" w:fill="FFFFFF"/>
            <w:noWrap w:val="0"/>
            <w:vAlign w:val="center"/>
          </w:tcPr>
          <w:p>
            <w:pPr>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-921,104.45</w:t>
            </w:r>
          </w:p>
        </w:tc>
      </w:tr>
    </w:tbl>
    <w:p>
      <w:pPr>
        <w:ind w:firstLine="422"/>
        <w:rPr>
          <w:rFonts w:ascii="仿宋_GB2312" w:eastAsia="仿宋_GB2312"/>
          <w:b/>
          <w:color w:val="auto"/>
          <w:szCs w:val="21"/>
          <w:highlight w:val="none"/>
        </w:rPr>
      </w:pPr>
    </w:p>
    <w:tbl>
      <w:tblPr>
        <w:tblStyle w:val="10"/>
        <w:tblW w:w="0" w:type="auto"/>
        <w:tblInd w:w="114" w:type="dxa"/>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Layout w:type="fixed"/>
        <w:tblCellMar>
          <w:top w:w="0" w:type="dxa"/>
          <w:left w:w="108" w:type="dxa"/>
          <w:bottom w:w="0" w:type="dxa"/>
          <w:right w:w="108" w:type="dxa"/>
        </w:tblCellMar>
      </w:tblPr>
      <w:tblGrid>
        <w:gridCol w:w="1740"/>
        <w:gridCol w:w="2820"/>
        <w:gridCol w:w="4275"/>
      </w:tblGrid>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90" w:hRule="atLeast"/>
        </w:trPr>
        <w:tc>
          <w:tcPr>
            <w:tcW w:w="1740" w:type="dxa"/>
            <w:vMerge w:val="restart"/>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中介机构</w:t>
            </w:r>
          </w:p>
        </w:tc>
        <w:tc>
          <w:tcPr>
            <w:tcW w:w="2820"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会 计 师 事 务 所</w:t>
            </w:r>
          </w:p>
        </w:tc>
        <w:tc>
          <w:tcPr>
            <w:tcW w:w="4275" w:type="dxa"/>
            <w:noWrap w:val="0"/>
            <w:vAlign w:val="center"/>
          </w:tcPr>
          <w:p>
            <w:pPr>
              <w:ind w:firstLine="0" w:firstLineChars="0"/>
              <w:jc w:val="center"/>
              <w:rPr>
                <w:rFonts w:ascii="宋体" w:hAnsi="宋体"/>
                <w:color w:val="auto"/>
                <w:sz w:val="24"/>
                <w:highlight w:val="none"/>
              </w:rPr>
            </w:pPr>
            <w:r>
              <w:rPr>
                <w:rFonts w:hint="eastAsia" w:ascii="宋体" w:hAnsi="宋体" w:cs="Times New Roman"/>
                <w:color w:val="auto"/>
                <w:szCs w:val="21"/>
                <w:highlight w:val="none"/>
                <w:lang w:val="en-US" w:eastAsia="zh-CN"/>
              </w:rPr>
              <w:t>浙江浙经天策会计师事务所有限公司台州分公司</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492" w:hRule="atLeast"/>
        </w:trPr>
        <w:tc>
          <w:tcPr>
            <w:tcW w:w="1740" w:type="dxa"/>
            <w:vMerge w:val="continue"/>
            <w:noWrap w:val="0"/>
            <w:vAlign w:val="center"/>
          </w:tcPr>
          <w:p>
            <w:pPr>
              <w:ind w:firstLine="0" w:firstLineChars="0"/>
              <w:jc w:val="center"/>
              <w:rPr>
                <w:rFonts w:ascii="仿宋_GB2312" w:eastAsia="仿宋_GB2312"/>
                <w:b/>
                <w:color w:val="auto"/>
                <w:szCs w:val="21"/>
                <w:highlight w:val="none"/>
              </w:rPr>
            </w:pPr>
          </w:p>
        </w:tc>
        <w:tc>
          <w:tcPr>
            <w:tcW w:w="2820"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事 务 所</w:t>
            </w:r>
          </w:p>
        </w:tc>
        <w:tc>
          <w:tcPr>
            <w:tcW w:w="4275" w:type="dxa"/>
            <w:noWrap w:val="0"/>
            <w:vAlign w:val="center"/>
          </w:tcPr>
          <w:p>
            <w:pPr>
              <w:ind w:firstLine="0" w:firstLineChars="0"/>
              <w:jc w:val="center"/>
              <w:rPr>
                <w:rFonts w:hint="eastAsia" w:ascii="宋体" w:hAnsi="宋体" w:eastAsia="宋体"/>
                <w:color w:val="auto"/>
                <w:sz w:val="24"/>
                <w:highlight w:val="none"/>
                <w:lang w:eastAsia="zh-CN"/>
              </w:rPr>
            </w:pPr>
            <w:r>
              <w:rPr>
                <w:rFonts w:hint="eastAsia" w:ascii="宋体" w:hAnsi="宋体"/>
                <w:color w:val="auto"/>
                <w:sz w:val="24"/>
                <w:highlight w:val="none"/>
                <w:lang w:eastAsia="zh-CN"/>
              </w:rPr>
              <w:t>台州宏诚资产评估事务所（普通合伙）</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572" w:hRule="atLeast"/>
        </w:trPr>
        <w:tc>
          <w:tcPr>
            <w:tcW w:w="1740" w:type="dxa"/>
            <w:vMerge w:val="restart"/>
            <w:noWrap w:val="0"/>
            <w:vAlign w:val="center"/>
          </w:tcPr>
          <w:p>
            <w:pPr>
              <w:ind w:firstLine="0" w:firstLineChars="0"/>
              <w:jc w:val="center"/>
              <w:rPr>
                <w:rFonts w:ascii="宋体" w:hAnsi="宋体" w:cs="宋体"/>
                <w:b/>
                <w:color w:val="auto"/>
                <w:sz w:val="24"/>
                <w:highlight w:val="none"/>
              </w:rPr>
            </w:pPr>
            <w:r>
              <w:rPr>
                <w:rFonts w:hint="eastAsia" w:ascii="宋体" w:hAnsi="宋体" w:cs="宋体"/>
                <w:b/>
                <w:color w:val="auto"/>
                <w:sz w:val="24"/>
                <w:highlight w:val="none"/>
              </w:rPr>
              <w:t>资产评估核准</w:t>
            </w:r>
          </w:p>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或备案情况</w:t>
            </w:r>
          </w:p>
        </w:tc>
        <w:tc>
          <w:tcPr>
            <w:tcW w:w="2820"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 估 基 准 日</w:t>
            </w:r>
          </w:p>
        </w:tc>
        <w:tc>
          <w:tcPr>
            <w:tcW w:w="4275"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eastAsia="宋体" w:cs="宋体"/>
                <w:b w:val="0"/>
                <w:bCs/>
                <w:color w:val="auto"/>
                <w:sz w:val="24"/>
                <w:szCs w:val="24"/>
                <w:highlight w:val="none"/>
              </w:rPr>
              <w:t>20</w:t>
            </w:r>
            <w:r>
              <w:rPr>
                <w:rFonts w:hint="eastAsia" w:ascii="宋体" w:hAnsi="宋体" w:eastAsia="宋体" w:cs="宋体"/>
                <w:b w:val="0"/>
                <w:bCs/>
                <w:color w:val="auto"/>
                <w:sz w:val="24"/>
                <w:szCs w:val="24"/>
                <w:highlight w:val="none"/>
                <w:lang w:val="en-US" w:eastAsia="zh-CN"/>
              </w:rPr>
              <w:t>2</w:t>
            </w:r>
            <w:r>
              <w:rPr>
                <w:rFonts w:hint="eastAsia" w:ascii="宋体" w:hAnsi="宋体" w:cs="宋体"/>
                <w:b w:val="0"/>
                <w:bCs/>
                <w:color w:val="auto"/>
                <w:sz w:val="24"/>
                <w:szCs w:val="24"/>
                <w:highlight w:val="none"/>
                <w:lang w:val="en-US" w:eastAsia="zh-CN"/>
              </w:rPr>
              <w:t>1</w:t>
            </w:r>
            <w:r>
              <w:rPr>
                <w:rFonts w:hint="eastAsia" w:ascii="宋体" w:hAnsi="宋体" w:eastAsia="宋体" w:cs="宋体"/>
                <w:b w:val="0"/>
                <w:bCs/>
                <w:color w:val="auto"/>
                <w:sz w:val="24"/>
                <w:szCs w:val="24"/>
                <w:highlight w:val="none"/>
              </w:rPr>
              <w:t>年</w:t>
            </w:r>
            <w:r>
              <w:rPr>
                <w:rFonts w:hint="eastAsia" w:ascii="宋体" w:hAnsi="宋体" w:cs="宋体"/>
                <w:b w:val="0"/>
                <w:bCs/>
                <w:color w:val="auto"/>
                <w:sz w:val="24"/>
                <w:szCs w:val="24"/>
                <w:highlight w:val="none"/>
                <w:lang w:val="en-US" w:eastAsia="zh-CN"/>
              </w:rPr>
              <w:t>5</w:t>
            </w:r>
            <w:r>
              <w:rPr>
                <w:rFonts w:hint="eastAsia" w:ascii="宋体" w:hAnsi="宋体" w:eastAsia="宋体" w:cs="宋体"/>
                <w:b w:val="0"/>
                <w:bCs/>
                <w:color w:val="auto"/>
                <w:sz w:val="24"/>
                <w:szCs w:val="24"/>
                <w:highlight w:val="none"/>
              </w:rPr>
              <w:t>月31日</w:t>
            </w:r>
          </w:p>
        </w:tc>
      </w:tr>
      <w:tr>
        <w:tblPrEx>
          <w:tblBorders>
            <w:top w:val="single" w:color="auto" w:sz="12" w:space="0"/>
            <w:left w:val="single" w:color="auto" w:sz="12" w:space="0"/>
            <w:bottom w:val="single" w:color="auto" w:sz="12" w:space="0"/>
            <w:right w:val="single" w:color="auto" w:sz="12" w:space="0"/>
            <w:insideH w:val="single" w:color="auto" w:sz="2" w:space="0"/>
            <w:insideV w:val="single" w:color="auto" w:sz="2" w:space="0"/>
          </w:tblBorders>
          <w:tblCellMar>
            <w:top w:w="0" w:type="dxa"/>
            <w:left w:w="108" w:type="dxa"/>
            <w:bottom w:w="0" w:type="dxa"/>
            <w:right w:w="108" w:type="dxa"/>
          </w:tblCellMar>
        </w:tblPrEx>
        <w:trPr>
          <w:trHeight w:val="777" w:hRule="atLeast"/>
        </w:trPr>
        <w:tc>
          <w:tcPr>
            <w:tcW w:w="1740" w:type="dxa"/>
            <w:vMerge w:val="continue"/>
            <w:noWrap w:val="0"/>
            <w:vAlign w:val="center"/>
          </w:tcPr>
          <w:p>
            <w:pPr>
              <w:ind w:firstLine="0" w:firstLineChars="0"/>
              <w:jc w:val="center"/>
              <w:rPr>
                <w:rFonts w:ascii="仿宋_GB2312" w:eastAsia="仿宋_GB2312"/>
                <w:b/>
                <w:color w:val="auto"/>
                <w:szCs w:val="21"/>
                <w:highlight w:val="none"/>
              </w:rPr>
            </w:pPr>
          </w:p>
        </w:tc>
        <w:tc>
          <w:tcPr>
            <w:tcW w:w="2820"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b/>
                <w:color w:val="auto"/>
                <w:sz w:val="24"/>
                <w:highlight w:val="none"/>
              </w:rPr>
              <w:t>评估核准（备案）机构</w:t>
            </w:r>
          </w:p>
        </w:tc>
        <w:tc>
          <w:tcPr>
            <w:tcW w:w="4275" w:type="dxa"/>
            <w:noWrap w:val="0"/>
            <w:vAlign w:val="center"/>
          </w:tcPr>
          <w:p>
            <w:pPr>
              <w:ind w:firstLine="0" w:firstLineChars="0"/>
              <w:jc w:val="center"/>
              <w:rPr>
                <w:rFonts w:ascii="仿宋_GB2312" w:eastAsia="仿宋_GB2312"/>
                <w:b/>
                <w:color w:val="auto"/>
                <w:szCs w:val="21"/>
                <w:highlight w:val="none"/>
              </w:rPr>
            </w:pPr>
            <w:r>
              <w:rPr>
                <w:rFonts w:hint="eastAsia" w:ascii="宋体" w:hAnsi="宋体" w:cs="宋体"/>
                <w:color w:val="auto"/>
                <w:sz w:val="24"/>
                <w:highlight w:val="none"/>
                <w:lang w:eastAsia="zh-CN"/>
              </w:rPr>
              <w:t>玉环市人民政府国有资产监督管理办公室</w:t>
            </w:r>
            <w:r>
              <w:rPr>
                <w:rFonts w:hint="eastAsia" w:ascii="宋体" w:hAnsi="宋体" w:cs="宋体"/>
                <w:color w:val="auto"/>
                <w:sz w:val="24"/>
                <w:highlight w:val="none"/>
              </w:rPr>
              <w:t>核准□ 备案</w:t>
            </w:r>
            <w:r>
              <w:rPr>
                <w:rFonts w:hint="eastAsia" w:ascii="宋体" w:hAnsi="宋体" w:cs="宋体"/>
                <w:color w:val="auto"/>
                <w:sz w:val="24"/>
                <w:highlight w:val="none"/>
              </w:rPr>
              <w:sym w:font="Wingdings" w:char="00FE"/>
            </w:r>
          </w:p>
        </w:tc>
      </w:tr>
    </w:tbl>
    <w:p>
      <w:pPr>
        <w:keepNext w:val="0"/>
        <w:keepLines w:val="0"/>
        <w:pageBreakBefore w:val="0"/>
        <w:widowControl w:val="0"/>
        <w:numPr>
          <w:ilvl w:val="0"/>
          <w:numId w:val="4"/>
        </w:numPr>
        <w:kinsoku/>
        <w:wordWrap/>
        <w:overflowPunct/>
        <w:topLinePunct w:val="0"/>
        <w:autoSpaceDE/>
        <w:autoSpaceDN/>
        <w:bidi w:val="0"/>
        <w:adjustRightInd w:val="0"/>
        <w:snapToGrid w:val="0"/>
        <w:spacing w:line="600" w:lineRule="exact"/>
        <w:ind w:firstLine="570"/>
        <w:textAlignment w:val="auto"/>
        <w:rPr>
          <w:rFonts w:hint="eastAsia"/>
          <w:color w:val="auto"/>
          <w:sz w:val="28"/>
          <w:szCs w:val="28"/>
        </w:rPr>
      </w:pPr>
      <w:r>
        <w:rPr>
          <w:rFonts w:hint="eastAsia"/>
          <w:color w:val="auto"/>
          <w:sz w:val="28"/>
          <w:szCs w:val="28"/>
        </w:rPr>
        <w:t>其他信息披露</w:t>
      </w:r>
    </w:p>
    <w:p>
      <w:pPr>
        <w:keepNext w:val="0"/>
        <w:keepLines w:val="0"/>
        <w:pageBreakBefore w:val="0"/>
        <w:widowControl w:val="0"/>
        <w:kinsoku/>
        <w:wordWrap/>
        <w:overflowPunct/>
        <w:topLinePunct w:val="0"/>
        <w:autoSpaceDE/>
        <w:autoSpaceDN/>
        <w:bidi w:val="0"/>
        <w:spacing w:line="600" w:lineRule="exact"/>
        <w:ind w:left="0" w:leftChars="0" w:firstLine="560" w:firstLineChars="200"/>
        <w:textAlignment w:val="auto"/>
        <w:rPr>
          <w:rFonts w:hint="eastAsia"/>
          <w:color w:val="auto"/>
          <w:sz w:val="28"/>
          <w:szCs w:val="28"/>
        </w:rPr>
      </w:pPr>
      <w:r>
        <w:rPr>
          <w:rFonts w:hint="eastAsia"/>
          <w:color w:val="auto"/>
          <w:sz w:val="28"/>
          <w:szCs w:val="28"/>
        </w:rPr>
        <w:t>具体详见</w:t>
      </w:r>
      <w:r>
        <w:rPr>
          <w:rFonts w:hint="eastAsia"/>
          <w:color w:val="auto"/>
          <w:sz w:val="28"/>
          <w:szCs w:val="28"/>
          <w:lang w:val="en-US" w:eastAsia="zh-CN"/>
        </w:rPr>
        <w:t>宏诚</w:t>
      </w:r>
      <w:r>
        <w:rPr>
          <w:rFonts w:hint="eastAsia"/>
          <w:color w:val="auto"/>
          <w:sz w:val="28"/>
          <w:szCs w:val="28"/>
        </w:rPr>
        <w:t>评报</w:t>
      </w:r>
      <w:r>
        <w:rPr>
          <w:rFonts w:hint="eastAsia"/>
          <w:color w:val="auto"/>
          <w:sz w:val="28"/>
          <w:szCs w:val="28"/>
          <w:lang w:val="en-US" w:eastAsia="zh-CN"/>
        </w:rPr>
        <w:t>字</w:t>
      </w:r>
      <w:r>
        <w:rPr>
          <w:rFonts w:hint="eastAsia" w:ascii="微软雅黑" w:hAnsi="微软雅黑" w:eastAsia="微软雅黑" w:cs="微软雅黑"/>
          <w:color w:val="auto"/>
          <w:sz w:val="28"/>
          <w:szCs w:val="28"/>
        </w:rPr>
        <w:t>[</w:t>
      </w:r>
      <w:r>
        <w:rPr>
          <w:rFonts w:hint="eastAsia"/>
          <w:color w:val="auto"/>
          <w:sz w:val="28"/>
          <w:szCs w:val="28"/>
        </w:rPr>
        <w:t>2021</w:t>
      </w:r>
      <w:r>
        <w:rPr>
          <w:rFonts w:hint="eastAsia" w:ascii="微软雅黑" w:hAnsi="微软雅黑" w:eastAsia="微软雅黑" w:cs="微软雅黑"/>
          <w:color w:val="auto"/>
          <w:sz w:val="28"/>
          <w:szCs w:val="28"/>
        </w:rPr>
        <w:t>]</w:t>
      </w:r>
      <w:r>
        <w:rPr>
          <w:rFonts w:hint="eastAsia"/>
          <w:color w:val="auto"/>
          <w:sz w:val="28"/>
          <w:szCs w:val="28"/>
        </w:rPr>
        <w:t>第0</w:t>
      </w:r>
      <w:r>
        <w:rPr>
          <w:rFonts w:hint="eastAsia"/>
          <w:color w:val="auto"/>
          <w:sz w:val="28"/>
          <w:szCs w:val="28"/>
          <w:lang w:val="en-US" w:eastAsia="zh-CN"/>
        </w:rPr>
        <w:t>61</w:t>
      </w:r>
      <w:r>
        <w:rPr>
          <w:rFonts w:hint="eastAsia"/>
          <w:color w:val="auto"/>
          <w:sz w:val="28"/>
          <w:szCs w:val="28"/>
        </w:rPr>
        <w:t>号评估报告</w:t>
      </w:r>
      <w:r>
        <w:rPr>
          <w:rFonts w:hint="eastAsia"/>
          <w:color w:val="auto"/>
          <w:sz w:val="28"/>
          <w:szCs w:val="28"/>
          <w:lang w:val="en-US" w:eastAsia="zh-CN"/>
        </w:rPr>
        <w:t>中第十一项特别事项说明（见附件）</w:t>
      </w:r>
      <w:r>
        <w:rPr>
          <w:rFonts w:hint="eastAsia"/>
          <w:color w:val="auto"/>
          <w:sz w:val="28"/>
          <w:szCs w:val="28"/>
        </w:rPr>
        <w:t>，</w:t>
      </w:r>
      <w:r>
        <w:rPr>
          <w:rFonts w:hint="eastAsia"/>
          <w:color w:val="auto"/>
          <w:sz w:val="28"/>
          <w:szCs w:val="28"/>
          <w:lang w:val="en-US" w:eastAsia="zh-CN"/>
        </w:rPr>
        <w:t>请</w:t>
      </w:r>
      <w:r>
        <w:rPr>
          <w:rFonts w:hint="eastAsia"/>
          <w:color w:val="auto"/>
          <w:sz w:val="28"/>
          <w:szCs w:val="28"/>
        </w:rPr>
        <w:t>意向受让方认真阅读。</w:t>
      </w:r>
    </w:p>
    <w:p>
      <w:pPr>
        <w:keepNext w:val="0"/>
        <w:keepLines w:val="0"/>
        <w:pageBreakBefore w:val="0"/>
        <w:widowControl w:val="0"/>
        <w:numPr>
          <w:ilvl w:val="0"/>
          <w:numId w:val="3"/>
        </w:numPr>
        <w:kinsoku/>
        <w:wordWrap/>
        <w:overflowPunct/>
        <w:topLinePunct w:val="0"/>
        <w:autoSpaceDE/>
        <w:autoSpaceDN/>
        <w:bidi w:val="0"/>
        <w:spacing w:line="600" w:lineRule="exact"/>
        <w:ind w:left="0" w:leftChars="0" w:firstLine="560" w:firstLineChars="200"/>
        <w:textAlignment w:val="auto"/>
        <w:rPr>
          <w:rFonts w:hint="eastAsia" w:ascii="宋体" w:hAnsi="宋体"/>
          <w:color w:val="auto"/>
          <w:sz w:val="28"/>
          <w:szCs w:val="28"/>
          <w:highlight w:val="none"/>
        </w:rPr>
      </w:pPr>
      <w:r>
        <w:rPr>
          <w:rFonts w:hint="eastAsia" w:ascii="宋体" w:hAnsi="宋体"/>
          <w:color w:val="auto"/>
          <w:sz w:val="28"/>
          <w:szCs w:val="28"/>
          <w:highlight w:val="none"/>
        </w:rPr>
        <w:t>债权债务处置</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color w:val="auto"/>
          <w:sz w:val="28"/>
          <w:szCs w:val="28"/>
          <w:highlight w:val="none"/>
          <w:lang w:val="en-US" w:eastAsia="zh-CN"/>
        </w:rPr>
      </w:pPr>
      <w:r>
        <w:rPr>
          <w:rFonts w:hint="eastAsia" w:ascii="宋体" w:hAnsi="宋体"/>
          <w:color w:val="auto"/>
          <w:sz w:val="28"/>
          <w:szCs w:val="28"/>
          <w:highlight w:val="none"/>
        </w:rPr>
        <w:t>本次股权转让后，</w:t>
      </w:r>
      <w:r>
        <w:rPr>
          <w:rFonts w:hint="eastAsia" w:ascii="宋体" w:hAnsi="宋体"/>
          <w:color w:val="auto"/>
          <w:sz w:val="28"/>
          <w:szCs w:val="28"/>
          <w:highlight w:val="none"/>
          <w:lang w:eastAsia="zh-CN"/>
        </w:rPr>
        <w:t>四强新材</w:t>
      </w:r>
      <w:r>
        <w:rPr>
          <w:rFonts w:hint="eastAsia" w:ascii="宋体" w:hAnsi="宋体"/>
          <w:color w:val="auto"/>
          <w:sz w:val="28"/>
          <w:szCs w:val="28"/>
          <w:highlight w:val="none"/>
        </w:rPr>
        <w:t>法人主体资格并未发生变化，为依法存续的有限责任公司，故此，债权债务依然由</w:t>
      </w:r>
      <w:r>
        <w:rPr>
          <w:rFonts w:hint="eastAsia" w:ascii="宋体" w:hAnsi="宋体"/>
          <w:color w:val="auto"/>
          <w:sz w:val="28"/>
          <w:szCs w:val="28"/>
          <w:highlight w:val="none"/>
          <w:lang w:eastAsia="zh-CN"/>
        </w:rPr>
        <w:t>四强新材</w:t>
      </w:r>
      <w:r>
        <w:rPr>
          <w:rFonts w:hint="eastAsia" w:ascii="宋体" w:hAnsi="宋体"/>
          <w:color w:val="auto"/>
          <w:sz w:val="28"/>
          <w:szCs w:val="28"/>
          <w:highlight w:val="none"/>
        </w:rPr>
        <w:t>继承。</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六、竞买人条件</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具有良好的商业信用及支付能力的境内企业</w:t>
      </w:r>
      <w:r>
        <w:rPr>
          <w:rFonts w:hint="eastAsia" w:ascii="宋体" w:hAnsi="宋体"/>
          <w:color w:val="auto"/>
          <w:sz w:val="28"/>
          <w:szCs w:val="28"/>
          <w:highlight w:val="none"/>
          <w:lang w:eastAsia="zh-CN"/>
        </w:rPr>
        <w:t>、</w:t>
      </w:r>
      <w:r>
        <w:rPr>
          <w:rFonts w:hint="eastAsia" w:ascii="宋体" w:hAnsi="宋体"/>
          <w:color w:val="auto"/>
          <w:sz w:val="28"/>
          <w:szCs w:val="28"/>
          <w:highlight w:val="none"/>
        </w:rPr>
        <w:t>其他组织</w:t>
      </w:r>
      <w:r>
        <w:rPr>
          <w:rFonts w:hint="eastAsia" w:ascii="宋体" w:hAnsi="宋体"/>
          <w:color w:val="auto"/>
          <w:sz w:val="28"/>
          <w:szCs w:val="28"/>
          <w:highlight w:val="none"/>
          <w:lang w:eastAsia="zh-CN"/>
        </w:rPr>
        <w:t>或自然人</w:t>
      </w:r>
      <w:r>
        <w:rPr>
          <w:rFonts w:hint="eastAsia" w:ascii="宋体" w:hAnsi="宋体"/>
          <w:color w:val="auto"/>
          <w:sz w:val="28"/>
          <w:szCs w:val="28"/>
          <w:highlight w:val="none"/>
        </w:rPr>
        <w:t>。</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2.意向竞买人承诺</w:t>
      </w:r>
      <w:r>
        <w:rPr>
          <w:rFonts w:hint="eastAsia" w:ascii="宋体" w:hAnsi="宋体"/>
          <w:color w:val="auto"/>
          <w:sz w:val="28"/>
          <w:szCs w:val="28"/>
          <w:highlight w:val="none"/>
          <w:lang w:eastAsia="zh-CN"/>
        </w:rPr>
        <w:t>四强新材</w:t>
      </w:r>
      <w:r>
        <w:rPr>
          <w:rFonts w:hint="eastAsia" w:ascii="宋体" w:hAnsi="宋体"/>
          <w:color w:val="auto"/>
          <w:sz w:val="28"/>
          <w:szCs w:val="28"/>
          <w:highlight w:val="none"/>
          <w:lang w:val="en-US" w:eastAsia="zh-CN"/>
        </w:rPr>
        <w:t>继续履行已订立的所有合同（包括书面及非书面）。</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本项目不接受联合体摘牌。</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七</w:t>
      </w:r>
      <w:r>
        <w:rPr>
          <w:rFonts w:hint="eastAsia" w:ascii="宋体" w:hAnsi="宋体"/>
          <w:color w:val="auto"/>
          <w:sz w:val="28"/>
          <w:szCs w:val="28"/>
          <w:highlight w:val="none"/>
        </w:rPr>
        <w:t>、竞买保证金缴纳、使用、退还</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1、竞买保证金缴纳：竞买人缴付的竞买保证金应在报名截止日前以转账方式缴入。</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2、竞买保证金使用：竞买人竞得标的后，竞买保证金可抵作应支付部分转让款项。</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3、出现下列情形竞买人保证金可在五个工作日内退还（不计息）：</w:t>
      </w:r>
    </w:p>
    <w:p>
      <w:pPr>
        <w:keepNext w:val="0"/>
        <w:keepLines w:val="0"/>
        <w:pageBreakBefore w:val="0"/>
        <w:widowControl w:val="0"/>
        <w:kinsoku/>
        <w:wordWrap/>
        <w:overflowPunct/>
        <w:topLinePunct w:val="0"/>
        <w:autoSpaceDE/>
        <w:autoSpaceDN/>
        <w:bidi w:val="0"/>
        <w:adjustRightInd w:val="0"/>
        <w:snapToGrid/>
        <w:spacing w:line="600" w:lineRule="exact"/>
        <w:ind w:firstLine="565" w:firstLineChars="202"/>
        <w:textAlignment w:val="auto"/>
        <w:rPr>
          <w:rFonts w:ascii="宋体" w:hAnsi="宋体"/>
          <w:color w:val="auto"/>
          <w:sz w:val="28"/>
          <w:szCs w:val="28"/>
          <w:highlight w:val="none"/>
        </w:rPr>
      </w:pPr>
      <w:r>
        <w:rPr>
          <w:rFonts w:hint="eastAsia" w:ascii="宋体" w:hAnsi="宋体"/>
          <w:color w:val="auto"/>
          <w:sz w:val="28"/>
          <w:szCs w:val="28"/>
          <w:highlight w:val="none"/>
        </w:rPr>
        <w:t>（1）经资格审核，不符合竞买资格的；</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（2）参加竞价并应价但未能竞得标的者；</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（3）竞价转让前，因政策等正当理由取消竞价转让的。</w:t>
      </w:r>
    </w:p>
    <w:p>
      <w:pPr>
        <w:keepNext w:val="0"/>
        <w:keepLines w:val="0"/>
        <w:pageBreakBefore w:val="0"/>
        <w:widowControl w:val="0"/>
        <w:tabs>
          <w:tab w:val="left" w:pos="6360"/>
        </w:tabs>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4、出现下列情形竞买人保证金不予退还：</w:t>
      </w:r>
    </w:p>
    <w:p>
      <w:pPr>
        <w:keepNext w:val="0"/>
        <w:keepLines w:val="0"/>
        <w:pageBreakBefore w:val="0"/>
        <w:widowControl w:val="0"/>
        <w:tabs>
          <w:tab w:val="left" w:pos="6360"/>
        </w:tabs>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（1）竞买人存在不当行为，包括但不限于：竞买人提供的资料和信息存在虚假、不真实、不具有效力等情形。</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）被确定为最终受让方后，未按期支付成交款项的；</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3</w:t>
      </w:r>
      <w:r>
        <w:rPr>
          <w:rFonts w:hint="eastAsia" w:ascii="宋体" w:hAnsi="宋体"/>
          <w:color w:val="auto"/>
          <w:sz w:val="28"/>
          <w:szCs w:val="28"/>
          <w:highlight w:val="none"/>
        </w:rPr>
        <w:t>）未按期与出让方签订《成交确定书》</w:t>
      </w:r>
      <w:r>
        <w:rPr>
          <w:rFonts w:hint="eastAsia" w:ascii="宋体" w:hAnsi="宋体"/>
          <w:color w:val="auto"/>
          <w:sz w:val="28"/>
          <w:szCs w:val="28"/>
          <w:highlight w:val="none"/>
          <w:lang w:val="en-US" w:eastAsia="zh-CN"/>
        </w:rPr>
        <w:t>或</w:t>
      </w: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股权</w:t>
      </w:r>
      <w:r>
        <w:rPr>
          <w:rFonts w:hint="eastAsia" w:ascii="宋体" w:hAnsi="宋体"/>
          <w:color w:val="auto"/>
          <w:sz w:val="28"/>
          <w:szCs w:val="28"/>
          <w:highlight w:val="none"/>
        </w:rPr>
        <w:t>转让合同》的；</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hint="eastAsia" w:ascii="宋体" w:hAnsi="宋体"/>
          <w:color w:val="auto"/>
          <w:sz w:val="28"/>
          <w:szCs w:val="28"/>
          <w:highlight w:val="none"/>
        </w:rPr>
      </w:pP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4</w:t>
      </w:r>
      <w:r>
        <w:rPr>
          <w:rFonts w:hint="eastAsia" w:ascii="宋体" w:hAnsi="宋体"/>
          <w:color w:val="auto"/>
          <w:sz w:val="28"/>
          <w:szCs w:val="28"/>
          <w:highlight w:val="none"/>
        </w:rPr>
        <w:t>）竞买人存在在重大</w:t>
      </w:r>
      <w:r>
        <w:rPr>
          <w:rFonts w:ascii="宋体" w:hAnsi="宋体"/>
          <w:color w:val="auto"/>
          <w:sz w:val="28"/>
          <w:szCs w:val="28"/>
          <w:highlight w:val="none"/>
        </w:rPr>
        <w:t>方面</w:t>
      </w:r>
      <w:r>
        <w:rPr>
          <w:rFonts w:hint="eastAsia" w:ascii="宋体" w:hAnsi="宋体"/>
          <w:color w:val="auto"/>
          <w:sz w:val="28"/>
          <w:szCs w:val="28"/>
          <w:highlight w:val="none"/>
        </w:rPr>
        <w:t>影响标的正常转让、竞价公正性或其他竞价程序要求的情形的。</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八</w:t>
      </w:r>
      <w:r>
        <w:rPr>
          <w:rFonts w:hint="eastAsia" w:ascii="宋体" w:hAnsi="宋体"/>
          <w:color w:val="auto"/>
          <w:sz w:val="28"/>
          <w:szCs w:val="28"/>
          <w:highlight w:val="none"/>
        </w:rPr>
        <w:t>、报名受理</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竞买人应提供下列竞买资料后，台州市产权交易所有限公司（下称“产交所”）予以报名受理，并出具受理通知书。</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1、竞买申请书及承诺函；</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2、竞买人的主体资格证明文件：企业法人须提交有效的企业法人营业执照、法定代表人身份证（复印件加盖竞买人公章）；</w:t>
      </w:r>
      <w:r>
        <w:rPr>
          <w:rFonts w:hint="eastAsia" w:ascii="宋体" w:hAnsi="宋体"/>
          <w:color w:val="auto"/>
          <w:sz w:val="28"/>
          <w:szCs w:val="28"/>
          <w:highlight w:val="none"/>
          <w:lang w:val="en-US" w:eastAsia="zh-CN"/>
        </w:rPr>
        <w:t>自然人提供身份证明；</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3、章程（复印件加盖竞买人公章）、参加本次股权竞买的内部决策文件及相应批准文件；</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4、其他有关本次批准挂牌转让报名所需的材料；</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5、竞买保证金缴纳依据。</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九</w:t>
      </w:r>
      <w:r>
        <w:rPr>
          <w:rFonts w:hint="eastAsia" w:ascii="宋体" w:hAnsi="宋体"/>
          <w:color w:val="auto"/>
          <w:sz w:val="28"/>
          <w:szCs w:val="28"/>
          <w:highlight w:val="none"/>
        </w:rPr>
        <w:t>、竞买资格审核</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根据竞买人提供的上述资料，产交所在本次股权转让报名截止时间后当日对竞买资格进行审核，并将审核意见书面告知转让方进行征询、确认。</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十、竞买资格确认</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hint="eastAsia" w:ascii="宋体" w:hAnsi="宋体" w:eastAsia="宋体"/>
          <w:color w:val="auto"/>
          <w:sz w:val="28"/>
          <w:szCs w:val="28"/>
          <w:highlight w:val="none"/>
          <w:lang w:val="en-US" w:eastAsia="zh-CN"/>
        </w:rPr>
      </w:pPr>
      <w:r>
        <w:rPr>
          <w:rFonts w:hint="eastAsia" w:ascii="宋体" w:hAnsi="宋体"/>
          <w:color w:val="auto"/>
          <w:sz w:val="28"/>
          <w:szCs w:val="28"/>
          <w:highlight w:val="none"/>
        </w:rPr>
        <w:t>竞买人的竞买资格经审核后，产交所将审核确认意见即时通知竞买人</w:t>
      </w:r>
      <w:r>
        <w:rPr>
          <w:rFonts w:hint="eastAsia" w:ascii="宋体" w:hAnsi="宋体"/>
          <w:color w:val="auto"/>
          <w:sz w:val="28"/>
          <w:szCs w:val="28"/>
          <w:highlight w:val="none"/>
          <w:lang w:eastAsia="zh-CN"/>
        </w:rPr>
        <w:t>。</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十一、本次股权挂牌转让按照下列情况确定是否成交</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shd w:val="clear" w:color="auto" w:fill="auto"/>
        </w:rPr>
      </w:pPr>
      <w:r>
        <w:rPr>
          <w:rFonts w:hint="eastAsia" w:ascii="宋体" w:hAnsi="宋体"/>
          <w:color w:val="auto"/>
          <w:sz w:val="28"/>
          <w:szCs w:val="28"/>
          <w:highlight w:val="none"/>
          <w:shd w:val="clear" w:color="auto" w:fill="auto"/>
          <w:lang w:eastAsia="zh-CN"/>
        </w:rPr>
        <w:t>1</w:t>
      </w:r>
      <w:r>
        <w:rPr>
          <w:rFonts w:hint="eastAsia" w:ascii="宋体" w:hAnsi="宋体"/>
          <w:color w:val="auto"/>
          <w:sz w:val="28"/>
          <w:szCs w:val="28"/>
          <w:highlight w:val="none"/>
          <w:shd w:val="clear" w:color="auto" w:fill="auto"/>
        </w:rPr>
        <w:t>、在挂牌报名截止时，无人报名或竞买人经竞买资格审核不符合条件的，则本次股权挂牌转让不成交。</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 w:val="0"/>
          <w:bCs w:val="0"/>
          <w:color w:val="auto"/>
          <w:sz w:val="28"/>
          <w:szCs w:val="28"/>
          <w:highlight w:val="none"/>
          <w:shd w:val="clear" w:color="auto" w:fill="auto"/>
        </w:rPr>
      </w:pPr>
      <w:r>
        <w:rPr>
          <w:rFonts w:hint="eastAsia" w:ascii="宋体" w:hAnsi="宋体"/>
          <w:color w:val="auto"/>
          <w:sz w:val="28"/>
          <w:szCs w:val="28"/>
          <w:highlight w:val="none"/>
          <w:shd w:val="clear" w:color="auto" w:fill="auto"/>
          <w:lang w:eastAsia="zh-CN"/>
        </w:rPr>
        <w:t>2</w:t>
      </w:r>
      <w:r>
        <w:rPr>
          <w:rFonts w:hint="eastAsia" w:ascii="宋体" w:hAnsi="宋体"/>
          <w:color w:val="auto"/>
          <w:sz w:val="28"/>
          <w:szCs w:val="28"/>
          <w:highlight w:val="none"/>
          <w:shd w:val="clear" w:color="auto" w:fill="auto"/>
        </w:rPr>
        <w:t>、在挂牌报名截止时，有</w:t>
      </w:r>
      <w:r>
        <w:rPr>
          <w:rFonts w:hint="eastAsia" w:ascii="宋体" w:hAnsi="宋体"/>
          <w:color w:val="auto"/>
          <w:sz w:val="28"/>
          <w:szCs w:val="28"/>
          <w:highlight w:val="none"/>
          <w:shd w:val="clear" w:color="auto" w:fill="auto"/>
          <w:lang w:eastAsia="zh-CN"/>
        </w:rPr>
        <w:t>一</w:t>
      </w:r>
      <w:r>
        <w:rPr>
          <w:rFonts w:hint="eastAsia" w:ascii="宋体" w:hAnsi="宋体"/>
          <w:color w:val="auto"/>
          <w:sz w:val="28"/>
          <w:szCs w:val="28"/>
          <w:highlight w:val="none"/>
          <w:shd w:val="clear" w:color="auto" w:fill="auto"/>
        </w:rPr>
        <w:t>个或</w:t>
      </w:r>
      <w:r>
        <w:rPr>
          <w:rFonts w:hint="eastAsia" w:ascii="宋体" w:hAnsi="宋体"/>
          <w:color w:val="auto"/>
          <w:sz w:val="28"/>
          <w:szCs w:val="28"/>
          <w:highlight w:val="none"/>
          <w:shd w:val="clear" w:color="auto" w:fill="auto"/>
          <w:lang w:eastAsia="zh-CN"/>
        </w:rPr>
        <w:t>一</w:t>
      </w:r>
      <w:r>
        <w:rPr>
          <w:rFonts w:hint="eastAsia" w:ascii="宋体" w:hAnsi="宋体"/>
          <w:color w:val="auto"/>
          <w:sz w:val="28"/>
          <w:szCs w:val="28"/>
          <w:highlight w:val="none"/>
          <w:shd w:val="clear" w:color="auto" w:fill="auto"/>
        </w:rPr>
        <w:t>个以上竞买人报名，竞买人的竞买资格经审核均合格的，则按照本次股权网络竞价规则实施竞价程序，出价最高</w:t>
      </w:r>
      <w:r>
        <w:rPr>
          <w:rFonts w:hint="eastAsia" w:ascii="宋体" w:hAnsi="宋体"/>
          <w:b w:val="0"/>
          <w:bCs w:val="0"/>
          <w:color w:val="auto"/>
          <w:sz w:val="28"/>
          <w:szCs w:val="28"/>
          <w:highlight w:val="none"/>
          <w:shd w:val="clear" w:color="auto" w:fill="auto"/>
        </w:rPr>
        <w:t>者为受让方，其出价为本次项目挂牌转让的成交价。</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b w:val="0"/>
          <w:bCs w:val="0"/>
          <w:color w:val="auto"/>
          <w:sz w:val="28"/>
          <w:szCs w:val="28"/>
          <w:highlight w:val="none"/>
        </w:rPr>
      </w:pPr>
      <w:r>
        <w:rPr>
          <w:rFonts w:hint="eastAsia" w:ascii="宋体" w:hAnsi="宋体"/>
          <w:b w:val="0"/>
          <w:bCs w:val="0"/>
          <w:color w:val="auto"/>
          <w:sz w:val="28"/>
          <w:szCs w:val="28"/>
          <w:highlight w:val="none"/>
          <w:lang w:val="en-US" w:eastAsia="zh-CN"/>
        </w:rPr>
        <w:t>自由（挂牌）报价时间：</w:t>
      </w:r>
      <w:r>
        <w:rPr>
          <w:rFonts w:hint="eastAsia" w:ascii="宋体" w:hAnsi="宋体"/>
          <w:b w:val="0"/>
          <w:bCs w:val="0"/>
          <w:color w:val="auto"/>
          <w:sz w:val="28"/>
          <w:szCs w:val="28"/>
          <w:highlight w:val="none"/>
          <w:lang w:eastAsia="zh-CN"/>
        </w:rPr>
        <w:t>2021年12月</w:t>
      </w:r>
      <w:r>
        <w:rPr>
          <w:rFonts w:hint="eastAsia" w:ascii="宋体" w:hAnsi="宋体"/>
          <w:b w:val="0"/>
          <w:bCs w:val="0"/>
          <w:color w:val="auto"/>
          <w:sz w:val="28"/>
          <w:szCs w:val="28"/>
          <w:highlight w:val="none"/>
          <w:lang w:val="en-US" w:eastAsia="zh-CN"/>
        </w:rPr>
        <w:t>9</w:t>
      </w:r>
      <w:r>
        <w:rPr>
          <w:rFonts w:hint="eastAsia" w:ascii="宋体" w:hAnsi="宋体"/>
          <w:b w:val="0"/>
          <w:bCs w:val="0"/>
          <w:color w:val="auto"/>
          <w:sz w:val="28"/>
          <w:szCs w:val="28"/>
          <w:highlight w:val="none"/>
          <w:lang w:eastAsia="zh-CN"/>
        </w:rPr>
        <w:t>日至202</w:t>
      </w:r>
      <w:r>
        <w:rPr>
          <w:rFonts w:hint="eastAsia" w:ascii="宋体" w:hAnsi="宋体"/>
          <w:b w:val="0"/>
          <w:bCs w:val="0"/>
          <w:color w:val="auto"/>
          <w:sz w:val="28"/>
          <w:szCs w:val="28"/>
          <w:highlight w:val="none"/>
          <w:lang w:val="en-US" w:eastAsia="zh-CN"/>
        </w:rPr>
        <w:t>2</w:t>
      </w:r>
      <w:r>
        <w:rPr>
          <w:rFonts w:hint="eastAsia" w:ascii="宋体" w:hAnsi="宋体"/>
          <w:b w:val="0"/>
          <w:bCs w:val="0"/>
          <w:color w:val="auto"/>
          <w:sz w:val="28"/>
          <w:szCs w:val="28"/>
          <w:highlight w:val="none"/>
          <w:lang w:eastAsia="zh-CN"/>
        </w:rPr>
        <w:t>年</w:t>
      </w:r>
      <w:r>
        <w:rPr>
          <w:rFonts w:hint="eastAsia" w:ascii="宋体" w:hAnsi="宋体"/>
          <w:b w:val="0"/>
          <w:bCs w:val="0"/>
          <w:color w:val="auto"/>
          <w:sz w:val="28"/>
          <w:szCs w:val="28"/>
          <w:highlight w:val="none"/>
          <w:lang w:val="en-US" w:eastAsia="zh-CN"/>
        </w:rPr>
        <w:t>1</w:t>
      </w:r>
      <w:r>
        <w:rPr>
          <w:rFonts w:hint="eastAsia" w:ascii="宋体" w:hAnsi="宋体"/>
          <w:b w:val="0"/>
          <w:bCs w:val="0"/>
          <w:color w:val="auto"/>
          <w:sz w:val="28"/>
          <w:szCs w:val="28"/>
          <w:highlight w:val="none"/>
          <w:lang w:eastAsia="zh-CN"/>
        </w:rPr>
        <w:t>月</w:t>
      </w:r>
      <w:r>
        <w:rPr>
          <w:rFonts w:hint="eastAsia" w:ascii="宋体" w:hAnsi="宋体"/>
          <w:b w:val="0"/>
          <w:bCs w:val="0"/>
          <w:color w:val="auto"/>
          <w:sz w:val="28"/>
          <w:szCs w:val="28"/>
          <w:highlight w:val="none"/>
          <w:lang w:val="en-US" w:eastAsia="zh-CN"/>
        </w:rPr>
        <w:t>7</w:t>
      </w:r>
      <w:r>
        <w:rPr>
          <w:rFonts w:hint="eastAsia" w:ascii="宋体" w:hAnsi="宋体"/>
          <w:b w:val="0"/>
          <w:bCs w:val="0"/>
          <w:color w:val="auto"/>
          <w:sz w:val="28"/>
          <w:szCs w:val="28"/>
          <w:highlight w:val="none"/>
          <w:lang w:eastAsia="zh-CN"/>
        </w:rPr>
        <w:t>日</w:t>
      </w:r>
      <w:r>
        <w:rPr>
          <w:rFonts w:hint="eastAsia" w:ascii="宋体" w:hAnsi="宋体"/>
          <w:b w:val="0"/>
          <w:bCs w:val="0"/>
          <w:color w:val="auto"/>
          <w:sz w:val="28"/>
          <w:szCs w:val="28"/>
          <w:highlight w:val="none"/>
          <w:lang w:val="en-US" w:eastAsia="zh-CN"/>
        </w:rPr>
        <w:t>9:30时</w:t>
      </w:r>
      <w:r>
        <w:rPr>
          <w:rFonts w:hint="eastAsia" w:ascii="宋体" w:hAnsi="宋体"/>
          <w:b w:val="0"/>
          <w:bCs w:val="0"/>
          <w:color w:val="auto"/>
          <w:sz w:val="28"/>
          <w:szCs w:val="28"/>
          <w:highlight w:val="none"/>
          <w:lang w:eastAsia="zh-CN"/>
        </w:rPr>
        <w:t>（</w:t>
      </w:r>
      <w:r>
        <w:rPr>
          <w:rFonts w:hint="eastAsia" w:ascii="宋体" w:hAnsi="宋体"/>
          <w:b w:val="0"/>
          <w:bCs w:val="0"/>
          <w:color w:val="auto"/>
          <w:sz w:val="28"/>
          <w:szCs w:val="28"/>
          <w:highlight w:val="none"/>
          <w:lang w:val="en-US" w:eastAsia="zh-CN"/>
        </w:rPr>
        <w:t>竞买人报名审核后方可报价</w:t>
      </w:r>
      <w:r>
        <w:rPr>
          <w:rFonts w:hint="eastAsia" w:ascii="宋体" w:hAnsi="宋体"/>
          <w:b w:val="0"/>
          <w:bCs w:val="0"/>
          <w:color w:val="auto"/>
          <w:sz w:val="28"/>
          <w:szCs w:val="28"/>
          <w:highlight w:val="none"/>
          <w:lang w:eastAsia="zh-CN"/>
        </w:rPr>
        <w:t>）；</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b w:val="0"/>
          <w:bCs w:val="0"/>
          <w:color w:val="auto"/>
          <w:sz w:val="28"/>
          <w:szCs w:val="28"/>
          <w:highlight w:val="none"/>
        </w:rPr>
      </w:pPr>
      <w:r>
        <w:rPr>
          <w:rFonts w:hint="eastAsia" w:ascii="宋体" w:hAnsi="宋体"/>
          <w:b w:val="0"/>
          <w:bCs w:val="0"/>
          <w:color w:val="auto"/>
          <w:sz w:val="28"/>
          <w:szCs w:val="28"/>
          <w:highlight w:val="none"/>
          <w:lang w:val="en-US" w:eastAsia="zh-CN"/>
        </w:rPr>
        <w:t>限时报价开始</w:t>
      </w:r>
      <w:r>
        <w:rPr>
          <w:rFonts w:hint="eastAsia" w:ascii="宋体" w:hAnsi="宋体"/>
          <w:b w:val="0"/>
          <w:bCs w:val="0"/>
          <w:color w:val="auto"/>
          <w:sz w:val="28"/>
          <w:szCs w:val="28"/>
          <w:highlight w:val="none"/>
        </w:rPr>
        <w:t>时间：</w:t>
      </w:r>
      <w:r>
        <w:rPr>
          <w:rFonts w:hint="eastAsia" w:ascii="宋体" w:hAnsi="宋体"/>
          <w:b w:val="0"/>
          <w:bCs w:val="0"/>
          <w:color w:val="auto"/>
          <w:sz w:val="28"/>
          <w:szCs w:val="28"/>
          <w:highlight w:val="none"/>
          <w:lang w:eastAsia="zh-CN"/>
        </w:rPr>
        <w:t>202</w:t>
      </w:r>
      <w:r>
        <w:rPr>
          <w:rFonts w:hint="eastAsia" w:ascii="宋体" w:hAnsi="宋体"/>
          <w:b w:val="0"/>
          <w:bCs w:val="0"/>
          <w:color w:val="auto"/>
          <w:sz w:val="28"/>
          <w:szCs w:val="28"/>
          <w:highlight w:val="none"/>
          <w:lang w:val="en-US" w:eastAsia="zh-CN"/>
        </w:rPr>
        <w:t>2</w:t>
      </w:r>
      <w:r>
        <w:rPr>
          <w:rFonts w:hint="eastAsia" w:ascii="宋体" w:hAnsi="宋体"/>
          <w:b w:val="0"/>
          <w:bCs w:val="0"/>
          <w:color w:val="auto"/>
          <w:sz w:val="28"/>
          <w:szCs w:val="28"/>
          <w:highlight w:val="none"/>
          <w:lang w:eastAsia="zh-CN"/>
        </w:rPr>
        <w:t>年</w:t>
      </w:r>
      <w:r>
        <w:rPr>
          <w:rFonts w:hint="eastAsia" w:ascii="宋体" w:hAnsi="宋体"/>
          <w:b w:val="0"/>
          <w:bCs w:val="0"/>
          <w:color w:val="auto"/>
          <w:sz w:val="28"/>
          <w:szCs w:val="28"/>
          <w:highlight w:val="none"/>
          <w:lang w:val="en-US" w:eastAsia="zh-CN"/>
        </w:rPr>
        <w:t>1</w:t>
      </w:r>
      <w:r>
        <w:rPr>
          <w:rFonts w:hint="eastAsia" w:ascii="宋体" w:hAnsi="宋体"/>
          <w:b w:val="0"/>
          <w:bCs w:val="0"/>
          <w:color w:val="auto"/>
          <w:sz w:val="28"/>
          <w:szCs w:val="28"/>
          <w:highlight w:val="none"/>
          <w:lang w:eastAsia="zh-CN"/>
        </w:rPr>
        <w:t>月</w:t>
      </w:r>
      <w:r>
        <w:rPr>
          <w:rFonts w:hint="eastAsia" w:ascii="宋体" w:hAnsi="宋体"/>
          <w:b w:val="0"/>
          <w:bCs w:val="0"/>
          <w:color w:val="auto"/>
          <w:sz w:val="28"/>
          <w:szCs w:val="28"/>
          <w:highlight w:val="none"/>
          <w:lang w:val="en-US" w:eastAsia="zh-CN"/>
        </w:rPr>
        <w:t>7</w:t>
      </w:r>
      <w:r>
        <w:rPr>
          <w:rFonts w:hint="eastAsia" w:ascii="宋体" w:hAnsi="宋体"/>
          <w:b w:val="0"/>
          <w:bCs w:val="0"/>
          <w:color w:val="auto"/>
          <w:sz w:val="28"/>
          <w:szCs w:val="28"/>
          <w:highlight w:val="none"/>
          <w:lang w:eastAsia="zh-CN"/>
        </w:rPr>
        <w:t>日（星期</w:t>
      </w:r>
      <w:r>
        <w:rPr>
          <w:rFonts w:hint="eastAsia" w:ascii="宋体" w:hAnsi="宋体"/>
          <w:b w:val="0"/>
          <w:bCs w:val="0"/>
          <w:color w:val="auto"/>
          <w:sz w:val="28"/>
          <w:szCs w:val="28"/>
          <w:highlight w:val="none"/>
          <w:lang w:val="en-US" w:eastAsia="zh-CN"/>
        </w:rPr>
        <w:t>五</w:t>
      </w:r>
      <w:r>
        <w:rPr>
          <w:rFonts w:hint="eastAsia" w:ascii="宋体" w:hAnsi="宋体"/>
          <w:b w:val="0"/>
          <w:bCs w:val="0"/>
          <w:color w:val="auto"/>
          <w:sz w:val="28"/>
          <w:szCs w:val="28"/>
          <w:highlight w:val="none"/>
          <w:lang w:eastAsia="zh-CN"/>
        </w:rPr>
        <w:t>）9：30</w:t>
      </w:r>
      <w:r>
        <w:rPr>
          <w:rFonts w:hint="eastAsia" w:ascii="宋体" w:hAnsi="宋体"/>
          <w:b w:val="0"/>
          <w:bCs w:val="0"/>
          <w:color w:val="auto"/>
          <w:sz w:val="28"/>
          <w:szCs w:val="28"/>
          <w:highlight w:val="none"/>
        </w:rPr>
        <w:t>时。</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实行网络报名：台州市公共资源交易网（https://tzztb.zjtz.gov.cn/tzcms/），现场资格确认。</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资格确认地址：台州市产权交易所（台州市府大道777号民泰商业银行大楼五楼511室）。</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rPr>
      </w:pPr>
      <w:r>
        <w:rPr>
          <w:rFonts w:hint="eastAsia"/>
          <w:color w:val="auto"/>
          <w:sz w:val="28"/>
          <w:szCs w:val="28"/>
          <w:highlight w:val="none"/>
        </w:rPr>
        <w:t>上述成交价不包括买受人在办理相关手续时所发生的税、费等。</w:t>
      </w:r>
    </w:p>
    <w:p>
      <w:pPr>
        <w:keepNext w:val="0"/>
        <w:keepLines w:val="0"/>
        <w:pageBreakBefore w:val="0"/>
        <w:widowControl w:val="0"/>
        <w:kinsoku/>
        <w:wordWrap/>
        <w:overflowPunct/>
        <w:topLinePunct w:val="0"/>
        <w:autoSpaceDE/>
        <w:autoSpaceDN/>
        <w:bidi w:val="0"/>
        <w:snapToGrid/>
        <w:spacing w:line="600" w:lineRule="exact"/>
        <w:ind w:firstLine="560"/>
        <w:textAlignment w:val="auto"/>
        <w:rPr>
          <w:color w:val="auto"/>
          <w:sz w:val="28"/>
          <w:szCs w:val="28"/>
          <w:highlight w:val="none"/>
        </w:rPr>
      </w:pPr>
      <w:r>
        <w:rPr>
          <w:rFonts w:hint="eastAsia" w:ascii="宋体" w:hAnsi="宋体"/>
          <w:color w:val="auto"/>
          <w:sz w:val="28"/>
          <w:szCs w:val="28"/>
          <w:highlight w:val="none"/>
        </w:rPr>
        <w:t>十二、挂牌转让成交后，受让方须两个工作日内签署《成交确认书》和《股权转让合同》。</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十三、交易佣金</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eastAsia="宋体" w:cs="Times New Roman"/>
          <w:color w:val="auto"/>
          <w:sz w:val="28"/>
          <w:szCs w:val="28"/>
          <w:highlight w:val="none"/>
        </w:rPr>
      </w:pPr>
      <w:bookmarkStart w:id="14" w:name="待定14"/>
      <w:r>
        <w:rPr>
          <w:rFonts w:hint="eastAsia" w:ascii="宋体" w:hAnsi="宋体" w:eastAsia="宋体" w:cs="Times New Roman"/>
          <w:color w:val="auto"/>
          <w:sz w:val="28"/>
          <w:szCs w:val="28"/>
          <w:highlight w:val="none"/>
        </w:rPr>
        <w:t>交易佣金为</w:t>
      </w:r>
      <w:bookmarkEnd w:id="14"/>
      <w:r>
        <w:rPr>
          <w:rFonts w:hint="eastAsia" w:ascii="宋体" w:hAnsi="宋体" w:eastAsia="宋体" w:cs="Times New Roman"/>
          <w:color w:val="auto"/>
          <w:sz w:val="28"/>
          <w:szCs w:val="28"/>
          <w:highlight w:val="none"/>
          <w:lang w:val="en-US" w:eastAsia="zh-CN"/>
        </w:rPr>
        <w:t>成交价的</w:t>
      </w:r>
      <w:r>
        <w:rPr>
          <w:rFonts w:hint="eastAsia" w:ascii="宋体" w:hAnsi="宋体" w:cs="Times New Roman"/>
          <w:color w:val="auto"/>
          <w:sz w:val="28"/>
          <w:szCs w:val="28"/>
          <w:highlight w:val="none"/>
          <w:lang w:val="en-US" w:eastAsia="zh-CN"/>
        </w:rPr>
        <w:t>1.87</w:t>
      </w:r>
      <w:r>
        <w:rPr>
          <w:rFonts w:hint="eastAsia" w:ascii="宋体" w:hAnsi="宋体" w:eastAsia="宋体" w:cs="Times New Roman"/>
          <w:color w:val="auto"/>
          <w:sz w:val="28"/>
          <w:szCs w:val="28"/>
          <w:highlight w:val="none"/>
          <w:lang w:val="en-US" w:eastAsia="zh-CN"/>
        </w:rPr>
        <w:t>%</w:t>
      </w:r>
      <w:r>
        <w:rPr>
          <w:rFonts w:hint="eastAsia" w:ascii="宋体" w:hAnsi="宋体" w:eastAsia="宋体" w:cs="Times New Roman"/>
          <w:color w:val="auto"/>
          <w:sz w:val="28"/>
          <w:szCs w:val="28"/>
          <w:highlight w:val="none"/>
        </w:rPr>
        <w:t>，由受让方在与转让方签订《股权转让合同》</w:t>
      </w:r>
      <w:r>
        <w:rPr>
          <w:rFonts w:hint="eastAsia" w:ascii="宋体" w:hAnsi="宋体" w:eastAsia="宋体" w:cs="Times New Roman"/>
          <w:color w:val="auto"/>
          <w:sz w:val="28"/>
          <w:szCs w:val="28"/>
          <w:highlight w:val="none"/>
          <w:lang w:eastAsia="zh-CN"/>
        </w:rPr>
        <w:t>之日起</w:t>
      </w:r>
      <w:r>
        <w:rPr>
          <w:rFonts w:hint="eastAsia" w:ascii="宋体" w:hAnsi="宋体" w:eastAsia="宋体" w:cs="Times New Roman"/>
          <w:color w:val="auto"/>
          <w:sz w:val="28"/>
          <w:szCs w:val="28"/>
          <w:highlight w:val="none"/>
        </w:rPr>
        <w:t>五个工作日内一次性付清。</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十四、付款方式</w:t>
      </w:r>
    </w:p>
    <w:p>
      <w:pPr>
        <w:keepNext w:val="0"/>
        <w:keepLines w:val="0"/>
        <w:pageBreakBefore w:val="0"/>
        <w:widowControl w:val="0"/>
        <w:numPr>
          <w:ilvl w:val="0"/>
          <w:numId w:val="0"/>
        </w:numPr>
        <w:tabs>
          <w:tab w:val="left" w:pos="6960"/>
        </w:tabs>
        <w:kinsoku/>
        <w:wordWrap/>
        <w:overflowPunct/>
        <w:topLinePunct w:val="0"/>
        <w:autoSpaceDE/>
        <w:autoSpaceDN/>
        <w:bidi w:val="0"/>
        <w:snapToGrid/>
        <w:spacing w:line="600" w:lineRule="exact"/>
        <w:ind w:firstLine="560"/>
        <w:jc w:val="left"/>
        <w:textAlignment w:val="auto"/>
        <w:rPr>
          <w:rFonts w:ascii="宋体" w:hAnsi="宋体"/>
          <w:b w:val="0"/>
          <w:bCs w:val="0"/>
          <w:color w:val="auto"/>
          <w:sz w:val="28"/>
          <w:szCs w:val="28"/>
          <w:highlight w:val="none"/>
        </w:rPr>
      </w:pPr>
      <w:r>
        <w:rPr>
          <w:rFonts w:hint="eastAsia" w:ascii="宋体" w:hAnsi="宋体"/>
          <w:color w:val="auto"/>
          <w:sz w:val="28"/>
          <w:szCs w:val="28"/>
          <w:highlight w:val="none"/>
        </w:rPr>
        <w:t>受让方</w:t>
      </w:r>
      <w:r>
        <w:rPr>
          <w:rFonts w:hint="eastAsia" w:ascii="宋体" w:hAnsi="宋体"/>
          <w:color w:val="auto"/>
          <w:sz w:val="28"/>
          <w:szCs w:val="28"/>
          <w:highlight w:val="none"/>
          <w:lang w:eastAsia="zh-CN"/>
        </w:rPr>
        <w:t>应在</w:t>
      </w:r>
      <w:r>
        <w:rPr>
          <w:rFonts w:hint="eastAsia" w:ascii="宋体" w:hAnsi="宋体"/>
          <w:color w:val="auto"/>
          <w:sz w:val="28"/>
          <w:szCs w:val="28"/>
          <w:highlight w:val="none"/>
        </w:rPr>
        <w:t>《股权转让合同》签订</w:t>
      </w:r>
      <w:r>
        <w:rPr>
          <w:rFonts w:hint="eastAsia" w:ascii="宋体" w:hAnsi="宋体"/>
          <w:color w:val="auto"/>
          <w:sz w:val="28"/>
          <w:szCs w:val="28"/>
          <w:highlight w:val="none"/>
          <w:lang w:eastAsia="zh-CN"/>
        </w:rPr>
        <w:t>之日起五</w:t>
      </w:r>
      <w:r>
        <w:rPr>
          <w:rFonts w:hint="eastAsia" w:ascii="宋体" w:hAnsi="宋体"/>
          <w:color w:val="auto"/>
          <w:sz w:val="28"/>
          <w:szCs w:val="28"/>
          <w:highlight w:val="none"/>
        </w:rPr>
        <w:t>个工作日内</w:t>
      </w:r>
      <w:r>
        <w:rPr>
          <w:rFonts w:hint="eastAsia" w:ascii="宋体" w:hAnsi="宋体"/>
          <w:color w:val="auto"/>
          <w:sz w:val="28"/>
          <w:szCs w:val="28"/>
          <w:highlight w:val="none"/>
          <w:lang w:eastAsia="zh-CN"/>
        </w:rPr>
        <w:t>一次性付清</w:t>
      </w:r>
      <w:r>
        <w:rPr>
          <w:rFonts w:hint="eastAsia" w:ascii="宋体" w:hAnsi="宋体"/>
          <w:color w:val="auto"/>
          <w:sz w:val="28"/>
          <w:szCs w:val="28"/>
          <w:highlight w:val="none"/>
        </w:rPr>
        <w:t>本次股</w:t>
      </w:r>
      <w:r>
        <w:rPr>
          <w:rFonts w:hint="eastAsia" w:ascii="宋体" w:hAnsi="宋体"/>
          <w:b w:val="0"/>
          <w:bCs w:val="0"/>
          <w:color w:val="auto"/>
          <w:sz w:val="28"/>
          <w:szCs w:val="28"/>
          <w:highlight w:val="none"/>
        </w:rPr>
        <w:t>权转让款。受让方</w:t>
      </w:r>
      <w:r>
        <w:rPr>
          <w:rFonts w:hint="eastAsia" w:ascii="宋体" w:hAnsi="宋体"/>
          <w:b w:val="0"/>
          <w:bCs w:val="0"/>
          <w:color w:val="auto"/>
          <w:sz w:val="28"/>
          <w:szCs w:val="28"/>
          <w:highlight w:val="none"/>
          <w:lang w:eastAsia="zh-CN"/>
        </w:rPr>
        <w:t>前期</w:t>
      </w:r>
      <w:r>
        <w:rPr>
          <w:rFonts w:hint="eastAsia" w:ascii="宋体" w:hAnsi="宋体"/>
          <w:b w:val="0"/>
          <w:bCs w:val="0"/>
          <w:color w:val="auto"/>
          <w:sz w:val="28"/>
          <w:szCs w:val="28"/>
          <w:highlight w:val="none"/>
        </w:rPr>
        <w:t>缴纳的竞买保证金可抵作</w:t>
      </w:r>
      <w:r>
        <w:rPr>
          <w:rFonts w:hint="eastAsia" w:ascii="宋体" w:hAnsi="宋体"/>
          <w:b w:val="0"/>
          <w:bCs w:val="0"/>
          <w:color w:val="auto"/>
          <w:sz w:val="28"/>
          <w:szCs w:val="28"/>
          <w:highlight w:val="none"/>
          <w:lang w:val="en-US" w:eastAsia="zh-CN"/>
        </w:rPr>
        <w:t>部分</w:t>
      </w:r>
      <w:r>
        <w:rPr>
          <w:rFonts w:hint="eastAsia" w:ascii="宋体" w:hAnsi="宋体"/>
          <w:b w:val="0"/>
          <w:bCs w:val="0"/>
          <w:color w:val="auto"/>
          <w:sz w:val="28"/>
          <w:szCs w:val="28"/>
          <w:highlight w:val="none"/>
        </w:rPr>
        <w:t>转让价款。</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eastAsia="宋体" w:cs="Times New Roman"/>
          <w:b w:val="0"/>
          <w:bCs w:val="0"/>
          <w:color w:val="auto"/>
          <w:sz w:val="28"/>
          <w:szCs w:val="28"/>
          <w:highlight w:val="none"/>
        </w:rPr>
      </w:pPr>
      <w:r>
        <w:rPr>
          <w:rFonts w:hint="eastAsia"/>
          <w:b w:val="0"/>
          <w:bCs w:val="0"/>
          <w:color w:val="auto"/>
          <w:sz w:val="28"/>
          <w:szCs w:val="28"/>
          <w:highlight w:val="none"/>
        </w:rPr>
        <w:t>受让方</w:t>
      </w:r>
      <w:r>
        <w:rPr>
          <w:rFonts w:hint="eastAsia" w:eastAsia="宋体"/>
          <w:b w:val="0"/>
          <w:bCs w:val="0"/>
          <w:color w:val="auto"/>
          <w:sz w:val="28"/>
          <w:szCs w:val="28"/>
          <w:highlight w:val="none"/>
          <w:lang w:eastAsia="zh-CN"/>
        </w:rPr>
        <w:t>应将上述股权转让</w:t>
      </w:r>
      <w:r>
        <w:rPr>
          <w:rFonts w:hint="eastAsia"/>
          <w:b w:val="0"/>
          <w:bCs w:val="0"/>
          <w:color w:val="auto"/>
          <w:sz w:val="28"/>
          <w:szCs w:val="28"/>
          <w:highlight w:val="none"/>
        </w:rPr>
        <w:t>成交款</w:t>
      </w:r>
      <w:r>
        <w:rPr>
          <w:rFonts w:hint="eastAsia" w:eastAsia="宋体"/>
          <w:b w:val="0"/>
          <w:bCs w:val="0"/>
          <w:color w:val="auto"/>
          <w:sz w:val="28"/>
          <w:szCs w:val="28"/>
          <w:highlight w:val="none"/>
          <w:lang w:eastAsia="zh-CN"/>
        </w:rPr>
        <w:t>转</w:t>
      </w:r>
      <w:r>
        <w:rPr>
          <w:rFonts w:hint="eastAsia"/>
          <w:b w:val="0"/>
          <w:bCs w:val="0"/>
          <w:color w:val="auto"/>
          <w:sz w:val="28"/>
          <w:szCs w:val="28"/>
          <w:highlight w:val="none"/>
        </w:rPr>
        <w:t>入</w:t>
      </w:r>
      <w:r>
        <w:rPr>
          <w:rFonts w:hint="eastAsia" w:eastAsia="宋体"/>
          <w:b w:val="0"/>
          <w:bCs w:val="0"/>
          <w:color w:val="auto"/>
          <w:sz w:val="28"/>
          <w:szCs w:val="28"/>
          <w:highlight w:val="none"/>
          <w:lang w:eastAsia="zh-CN"/>
        </w:rPr>
        <w:t>以下</w:t>
      </w:r>
      <w:r>
        <w:rPr>
          <w:rFonts w:hint="eastAsia"/>
          <w:b w:val="0"/>
          <w:bCs w:val="0"/>
          <w:color w:val="auto"/>
          <w:sz w:val="28"/>
          <w:szCs w:val="28"/>
          <w:highlight w:val="none"/>
        </w:rPr>
        <w:t>账户（</w:t>
      </w:r>
      <w:r>
        <w:rPr>
          <w:rFonts w:hint="eastAsia" w:ascii="宋体" w:hAnsi="宋体"/>
          <w:b w:val="0"/>
          <w:bCs w:val="0"/>
          <w:color w:val="auto"/>
          <w:sz w:val="28"/>
          <w:szCs w:val="28"/>
          <w:highlight w:val="none"/>
        </w:rPr>
        <w:t>开户单位名称：台州市产权交易所有限公司，人民币开户行：</w:t>
      </w:r>
      <w:r>
        <w:rPr>
          <w:rFonts w:hint="eastAsia" w:ascii="宋体" w:hAnsi="宋体"/>
          <w:b w:val="0"/>
          <w:bCs w:val="0"/>
          <w:color w:val="auto"/>
          <w:sz w:val="28"/>
          <w:szCs w:val="28"/>
          <w:highlight w:val="none"/>
          <w:lang w:val="en-GB"/>
        </w:rPr>
        <w:t>浙江民泰商业银行</w:t>
      </w:r>
      <w:r>
        <w:rPr>
          <w:rFonts w:hint="eastAsia" w:ascii="宋体" w:hAnsi="宋体"/>
          <w:b w:val="0"/>
          <w:bCs w:val="0"/>
          <w:color w:val="auto"/>
          <w:sz w:val="28"/>
          <w:szCs w:val="28"/>
          <w:highlight w:val="none"/>
        </w:rPr>
        <w:t>股份有限公司</w:t>
      </w:r>
      <w:r>
        <w:rPr>
          <w:rFonts w:hint="eastAsia" w:ascii="宋体" w:hAnsi="宋体"/>
          <w:b w:val="0"/>
          <w:bCs w:val="0"/>
          <w:color w:val="auto"/>
          <w:sz w:val="28"/>
          <w:szCs w:val="28"/>
          <w:highlight w:val="none"/>
          <w:lang w:val="en-GB"/>
        </w:rPr>
        <w:t>椒江</w:t>
      </w:r>
      <w:r>
        <w:rPr>
          <w:rFonts w:hint="eastAsia" w:ascii="宋体" w:hAnsi="宋体"/>
          <w:b w:val="0"/>
          <w:bCs w:val="0"/>
          <w:color w:val="auto"/>
          <w:sz w:val="28"/>
          <w:szCs w:val="28"/>
          <w:highlight w:val="none"/>
        </w:rPr>
        <w:t>市府大道</w:t>
      </w:r>
      <w:r>
        <w:rPr>
          <w:rFonts w:hint="eastAsia" w:ascii="宋体" w:hAnsi="宋体"/>
          <w:b w:val="0"/>
          <w:bCs w:val="0"/>
          <w:color w:val="auto"/>
          <w:sz w:val="28"/>
          <w:szCs w:val="28"/>
          <w:highlight w:val="none"/>
          <w:lang w:val="en-GB"/>
        </w:rPr>
        <w:t>支行</w:t>
      </w:r>
      <w:r>
        <w:rPr>
          <w:rFonts w:hint="eastAsia" w:ascii="宋体" w:hAnsi="宋体"/>
          <w:b w:val="0"/>
          <w:bCs w:val="0"/>
          <w:color w:val="auto"/>
          <w:sz w:val="28"/>
          <w:szCs w:val="28"/>
          <w:highlight w:val="none"/>
        </w:rPr>
        <w:t>，人民币账号：</w:t>
      </w:r>
      <w:r>
        <w:rPr>
          <w:rFonts w:ascii="宋体" w:hAnsi="宋体"/>
          <w:b w:val="0"/>
          <w:bCs w:val="0"/>
          <w:color w:val="auto"/>
          <w:sz w:val="28"/>
          <w:szCs w:val="28"/>
          <w:highlight w:val="none"/>
        </w:rPr>
        <w:t>583016260</w:t>
      </w:r>
      <w:r>
        <w:rPr>
          <w:rFonts w:hint="eastAsia" w:ascii="宋体" w:hAnsi="宋体"/>
          <w:b w:val="0"/>
          <w:bCs w:val="0"/>
          <w:color w:val="auto"/>
          <w:sz w:val="28"/>
          <w:szCs w:val="28"/>
          <w:highlight w:val="none"/>
        </w:rPr>
        <w:t>8</w:t>
      </w:r>
      <w:r>
        <w:rPr>
          <w:rFonts w:ascii="宋体" w:hAnsi="宋体"/>
          <w:b w:val="0"/>
          <w:bCs w:val="0"/>
          <w:color w:val="auto"/>
          <w:sz w:val="28"/>
          <w:szCs w:val="28"/>
          <w:highlight w:val="none"/>
        </w:rPr>
        <w:t>000</w:t>
      </w:r>
      <w:r>
        <w:rPr>
          <w:rFonts w:hint="eastAsia" w:ascii="宋体" w:hAnsi="宋体"/>
          <w:b w:val="0"/>
          <w:bCs w:val="0"/>
          <w:color w:val="auto"/>
          <w:sz w:val="28"/>
          <w:szCs w:val="28"/>
          <w:highlight w:val="none"/>
        </w:rPr>
        <w:t>28）</w:t>
      </w:r>
      <w:r>
        <w:rPr>
          <w:rFonts w:hint="eastAsia"/>
          <w:b w:val="0"/>
          <w:bCs w:val="0"/>
          <w:color w:val="auto"/>
          <w:sz w:val="28"/>
          <w:szCs w:val="28"/>
          <w:highlight w:val="none"/>
        </w:rPr>
        <w:t>。</w:t>
      </w:r>
    </w:p>
    <w:p>
      <w:pPr>
        <w:keepNext w:val="0"/>
        <w:keepLines w:val="0"/>
        <w:pageBreakBefore w:val="0"/>
        <w:widowControl w:val="0"/>
        <w:kinsoku/>
        <w:wordWrap/>
        <w:overflowPunct/>
        <w:topLinePunct w:val="0"/>
        <w:autoSpaceDE/>
        <w:autoSpaceDN/>
        <w:bidi w:val="0"/>
        <w:snapToGrid/>
        <w:spacing w:line="600" w:lineRule="exact"/>
        <w:ind w:firstLine="0" w:firstLineChars="0"/>
        <w:textAlignment w:val="auto"/>
        <w:rPr>
          <w:rFonts w:ascii="宋体" w:hAnsi="宋体"/>
          <w:bCs/>
          <w:color w:val="auto"/>
          <w:sz w:val="28"/>
          <w:szCs w:val="28"/>
          <w:highlight w:val="none"/>
        </w:rPr>
      </w:pPr>
      <w:r>
        <w:rPr>
          <w:rFonts w:hint="eastAsia" w:ascii="宋体" w:hAnsi="宋体"/>
          <w:color w:val="auto"/>
          <w:sz w:val="28"/>
          <w:szCs w:val="28"/>
          <w:highlight w:val="none"/>
        </w:rPr>
        <w:t xml:space="preserve">    十</w:t>
      </w:r>
      <w:r>
        <w:rPr>
          <w:rFonts w:hint="eastAsia" w:ascii="宋体" w:hAnsi="宋体"/>
          <w:color w:val="auto"/>
          <w:sz w:val="28"/>
          <w:szCs w:val="28"/>
          <w:highlight w:val="none"/>
          <w:lang w:eastAsia="zh-CN"/>
        </w:rPr>
        <w:t>五</w:t>
      </w:r>
      <w:r>
        <w:rPr>
          <w:rFonts w:hint="eastAsia" w:ascii="宋体" w:hAnsi="宋体"/>
          <w:color w:val="auto"/>
          <w:sz w:val="28"/>
          <w:szCs w:val="28"/>
          <w:highlight w:val="none"/>
        </w:rPr>
        <w:t>、</w:t>
      </w:r>
      <w:r>
        <w:rPr>
          <w:rFonts w:hint="eastAsia" w:ascii="宋体" w:hAnsi="宋体"/>
          <w:bCs/>
          <w:color w:val="auto"/>
          <w:sz w:val="28"/>
          <w:szCs w:val="28"/>
          <w:highlight w:val="none"/>
        </w:rPr>
        <w:t>股权转让的移交、交割与清算</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1、本次股权转让的交接，在出让方与受让方之间进行。受让方负责向产交所指定账户</w:t>
      </w:r>
      <w:r>
        <w:rPr>
          <w:rFonts w:hint="eastAsia" w:ascii="宋体" w:hAnsi="宋体"/>
          <w:bCs/>
          <w:color w:val="auto"/>
          <w:sz w:val="28"/>
          <w:szCs w:val="28"/>
          <w:highlight w:val="none"/>
          <w:lang w:val="en-US" w:eastAsia="zh-CN"/>
        </w:rPr>
        <w:t>一次性</w:t>
      </w:r>
      <w:r>
        <w:rPr>
          <w:rFonts w:hint="eastAsia" w:ascii="宋体" w:hAnsi="宋体"/>
          <w:bCs/>
          <w:color w:val="auto"/>
          <w:sz w:val="28"/>
          <w:szCs w:val="28"/>
          <w:highlight w:val="none"/>
        </w:rPr>
        <w:t>付清本次股权转让</w:t>
      </w:r>
      <w:r>
        <w:rPr>
          <w:rFonts w:hint="eastAsia" w:ascii="宋体" w:hAnsi="宋体"/>
          <w:bCs/>
          <w:color w:val="auto"/>
          <w:sz w:val="28"/>
          <w:szCs w:val="28"/>
          <w:highlight w:val="none"/>
          <w:lang w:val="en-US" w:eastAsia="zh-CN"/>
        </w:rPr>
        <w:t>款</w:t>
      </w:r>
      <w:r>
        <w:rPr>
          <w:rFonts w:hint="eastAsia" w:ascii="宋体" w:hAnsi="宋体"/>
          <w:bCs/>
          <w:color w:val="auto"/>
          <w:sz w:val="28"/>
          <w:szCs w:val="28"/>
          <w:highlight w:val="none"/>
        </w:rPr>
        <w:t>，且受让方付清其应承担的交易佣金后，产交所审核后向受让方出具本次股权转让的《产权交易凭证》，受让方方能要求与出让方办理股权挂牌转让标的交接手续。</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2、股权转让交割日：工商变更登记之日为股权转让交割日，表示本次股权转让交割完毕。</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3、股权转让评估基准日（20</w:t>
      </w:r>
      <w:r>
        <w:rPr>
          <w:rFonts w:hint="eastAsia" w:ascii="宋体" w:hAnsi="宋体"/>
          <w:bCs/>
          <w:color w:val="auto"/>
          <w:sz w:val="28"/>
          <w:szCs w:val="28"/>
          <w:highlight w:val="none"/>
          <w:lang w:val="en-US" w:eastAsia="zh-CN"/>
        </w:rPr>
        <w:t>21</w:t>
      </w:r>
      <w:r>
        <w:rPr>
          <w:rFonts w:hint="eastAsia" w:ascii="宋体" w:hAnsi="宋体"/>
          <w:bCs/>
          <w:color w:val="auto"/>
          <w:sz w:val="28"/>
          <w:szCs w:val="28"/>
          <w:highlight w:val="none"/>
        </w:rPr>
        <w:t>年</w:t>
      </w:r>
      <w:r>
        <w:rPr>
          <w:rFonts w:hint="eastAsia" w:ascii="宋体" w:hAnsi="宋体"/>
          <w:bCs/>
          <w:color w:val="auto"/>
          <w:sz w:val="28"/>
          <w:szCs w:val="28"/>
          <w:highlight w:val="none"/>
          <w:lang w:val="en-US" w:eastAsia="zh-CN"/>
        </w:rPr>
        <w:t>5</w:t>
      </w:r>
      <w:r>
        <w:rPr>
          <w:rFonts w:hint="eastAsia" w:ascii="宋体" w:hAnsi="宋体"/>
          <w:bCs/>
          <w:color w:val="auto"/>
          <w:sz w:val="28"/>
          <w:szCs w:val="28"/>
          <w:highlight w:val="none"/>
        </w:rPr>
        <w:t>月31日）至股权转让交割日期间，标的企业经营损益不再进行审计清算，相关权利和义务由受让方按照受让</w:t>
      </w:r>
      <w:r>
        <w:rPr>
          <w:rFonts w:ascii="宋体" w:hAnsi="宋体"/>
          <w:bCs/>
          <w:color w:val="auto"/>
          <w:sz w:val="28"/>
          <w:szCs w:val="28"/>
          <w:highlight w:val="none"/>
        </w:rPr>
        <w:t>股权比例</w:t>
      </w:r>
      <w:r>
        <w:rPr>
          <w:rFonts w:hint="eastAsia" w:ascii="宋体" w:hAnsi="宋体"/>
          <w:bCs/>
          <w:color w:val="auto"/>
          <w:sz w:val="28"/>
          <w:szCs w:val="28"/>
          <w:highlight w:val="none"/>
        </w:rPr>
        <w:t>享有或承担。</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color w:val="auto"/>
          <w:sz w:val="28"/>
          <w:szCs w:val="28"/>
          <w:highlight w:val="none"/>
        </w:rPr>
        <w:t>十</w:t>
      </w:r>
      <w:r>
        <w:rPr>
          <w:rFonts w:hint="eastAsia" w:ascii="宋体" w:hAnsi="宋体"/>
          <w:color w:val="auto"/>
          <w:sz w:val="28"/>
          <w:szCs w:val="28"/>
          <w:highlight w:val="none"/>
          <w:lang w:eastAsia="zh-CN"/>
        </w:rPr>
        <w:t>六</w:t>
      </w:r>
      <w:r>
        <w:rPr>
          <w:rFonts w:hint="eastAsia" w:ascii="宋体" w:hAnsi="宋体"/>
          <w:bCs/>
          <w:color w:val="auto"/>
          <w:sz w:val="28"/>
          <w:szCs w:val="28"/>
          <w:highlight w:val="none"/>
        </w:rPr>
        <w:t>、股权变更登记</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受让方取得产交所出具的《产权交易凭证》后，应在出让方配合协助下自行办妥股权转让法律程序必备的文件资料，并上报有关部门进行股权变更登记申请手续。股权变更所发生的费用（</w:t>
      </w:r>
      <w:r>
        <w:rPr>
          <w:rFonts w:hint="eastAsia" w:ascii="宋体" w:hAnsi="宋体"/>
          <w:bCs/>
          <w:color w:val="auto"/>
          <w:sz w:val="28"/>
          <w:szCs w:val="28"/>
          <w:highlight w:val="none"/>
          <w:lang w:val="en-US" w:eastAsia="zh-CN"/>
        </w:rPr>
        <w:t>税金按国家法律规定缴纳</w:t>
      </w:r>
      <w:r>
        <w:rPr>
          <w:rFonts w:hint="eastAsia" w:ascii="宋体" w:hAnsi="宋体"/>
          <w:bCs/>
          <w:color w:val="auto"/>
          <w:sz w:val="28"/>
          <w:szCs w:val="28"/>
          <w:highlight w:val="none"/>
        </w:rPr>
        <w:t>）由受让方承担。如果由于受让方的原因导致无法获准变更登记的，由受让方承担违约责任，出让方与产交所不承担任何责任。</w:t>
      </w:r>
    </w:p>
    <w:p>
      <w:pPr>
        <w:keepNext w:val="0"/>
        <w:keepLines w:val="0"/>
        <w:pageBreakBefore w:val="0"/>
        <w:widowControl w:val="0"/>
        <w:tabs>
          <w:tab w:val="left" w:pos="8222"/>
        </w:tabs>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十</w:t>
      </w:r>
      <w:r>
        <w:rPr>
          <w:rFonts w:hint="eastAsia" w:ascii="宋体" w:hAnsi="宋体"/>
          <w:bCs/>
          <w:color w:val="auto"/>
          <w:sz w:val="28"/>
          <w:szCs w:val="28"/>
          <w:highlight w:val="none"/>
          <w:lang w:eastAsia="zh-CN"/>
        </w:rPr>
        <w:t>七</w:t>
      </w:r>
      <w:r>
        <w:rPr>
          <w:rFonts w:hint="eastAsia" w:ascii="宋体" w:hAnsi="宋体"/>
          <w:bCs/>
          <w:color w:val="auto"/>
          <w:sz w:val="28"/>
          <w:szCs w:val="28"/>
          <w:highlight w:val="none"/>
        </w:rPr>
        <w:t>、委托人、产交所依法有权在竞价会开始前撤回、撤除转让标的并不受竞买人追索。对竞买人所造成的损失，由竞买人自行承担；交易内容发生变化的，经产交所审核后在竞价会开始前告知竞买人，相关补充内容为本次股权挂牌转让资料的有效组成部分。</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十</w:t>
      </w:r>
      <w:r>
        <w:rPr>
          <w:rFonts w:hint="eastAsia" w:ascii="宋体" w:hAnsi="宋体"/>
          <w:bCs/>
          <w:color w:val="auto"/>
          <w:sz w:val="28"/>
          <w:szCs w:val="28"/>
          <w:highlight w:val="none"/>
          <w:lang w:eastAsia="zh-CN"/>
        </w:rPr>
        <w:t>八</w:t>
      </w:r>
      <w:r>
        <w:rPr>
          <w:rFonts w:hint="eastAsia" w:ascii="宋体" w:hAnsi="宋体"/>
          <w:bCs/>
          <w:color w:val="auto"/>
          <w:sz w:val="28"/>
          <w:szCs w:val="28"/>
          <w:highlight w:val="none"/>
        </w:rPr>
        <w:t>、违约责任</w:t>
      </w:r>
    </w:p>
    <w:p>
      <w:pPr>
        <w:keepNext w:val="0"/>
        <w:keepLines w:val="0"/>
        <w:pageBreakBefore w:val="0"/>
        <w:widowControl w:val="0"/>
        <w:kinsoku/>
        <w:wordWrap/>
        <w:overflowPunct/>
        <w:topLinePunct w:val="0"/>
        <w:autoSpaceDE/>
        <w:autoSpaceDN/>
        <w:bidi w:val="0"/>
        <w:adjustRightInd w:val="0"/>
        <w:snapToGrid/>
        <w:spacing w:line="600" w:lineRule="exact"/>
        <w:ind w:firstLine="560"/>
        <w:textAlignment w:val="auto"/>
        <w:rPr>
          <w:rFonts w:hint="eastAsia" w:ascii="宋体" w:hAnsi="宋体"/>
          <w:bCs/>
          <w:color w:val="auto"/>
          <w:sz w:val="28"/>
          <w:szCs w:val="28"/>
          <w:highlight w:val="none"/>
          <w:u w:val="single"/>
        </w:rPr>
      </w:pPr>
      <w:r>
        <w:rPr>
          <w:rFonts w:hint="eastAsia" w:ascii="宋体" w:hAnsi="宋体"/>
          <w:bCs/>
          <w:color w:val="auto"/>
          <w:sz w:val="28"/>
          <w:szCs w:val="28"/>
          <w:highlight w:val="none"/>
        </w:rPr>
        <w:t>竞买人撤回报价或成交后拒绝签署《成交确认书》、《股权转让合同》，视为其</w:t>
      </w:r>
      <w:r>
        <w:rPr>
          <w:rFonts w:hint="eastAsia" w:ascii="宋体" w:hAnsi="宋体"/>
          <w:bCs/>
          <w:color w:val="auto"/>
          <w:sz w:val="28"/>
          <w:szCs w:val="28"/>
          <w:highlight w:val="none"/>
          <w:lang w:val="en-US" w:eastAsia="zh-CN"/>
        </w:rPr>
        <w:t>违</w:t>
      </w:r>
      <w:r>
        <w:rPr>
          <w:rFonts w:hint="eastAsia" w:ascii="宋体" w:hAnsi="宋体"/>
          <w:bCs/>
          <w:color w:val="auto"/>
          <w:sz w:val="28"/>
          <w:szCs w:val="28"/>
          <w:highlight w:val="none"/>
        </w:rPr>
        <w:t>约，产交所有权追究其违约责任；受让方逾期支付股权转让成交款项的，视为受让方根本违约；出让方有权解除《股权转让合同》，产权交易所有权解除《成交确认书》，</w:t>
      </w:r>
      <w:r>
        <w:rPr>
          <w:rFonts w:hint="eastAsia" w:ascii="宋体" w:hAnsi="宋体"/>
          <w:bCs/>
          <w:color w:val="auto"/>
          <w:sz w:val="28"/>
          <w:szCs w:val="28"/>
          <w:highlight w:val="none"/>
          <w:lang w:val="en-US" w:eastAsia="zh-CN"/>
        </w:rPr>
        <w:t>保证金不予返还</w:t>
      </w:r>
      <w:r>
        <w:rPr>
          <w:rFonts w:hint="eastAsia" w:ascii="宋体" w:hAnsi="宋体"/>
          <w:bCs/>
          <w:color w:val="auto"/>
          <w:sz w:val="28"/>
          <w:szCs w:val="28"/>
          <w:highlight w:val="none"/>
        </w:rPr>
        <w:t>。</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lang w:eastAsia="zh-CN"/>
        </w:rPr>
        <w:t>十九</w:t>
      </w:r>
      <w:r>
        <w:rPr>
          <w:rFonts w:hint="eastAsia" w:ascii="宋体" w:hAnsi="宋体"/>
          <w:bCs/>
          <w:color w:val="auto"/>
          <w:sz w:val="28"/>
          <w:szCs w:val="28"/>
          <w:highlight w:val="none"/>
        </w:rPr>
        <w:t>、竞买人应仔细分析投资风险。请竞买人自行对标的企业的资产、负债、经营以及相关政策等情况进行全面考察和了解。一旦报名，即表明竞买人自愿承担投资风险和责任。</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二十、本次挂牌转让是经公告后才举行的，挂牌转让标的涉及的相关资产、负债以现状为准。故产交所对本次挂牌转让标的涉及的相关资产、负债的状态及品质不作担保，也不承担瑕疵的担保责任。</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ascii="宋体" w:hAnsi="宋体"/>
          <w:bCs/>
          <w:color w:val="auto"/>
          <w:sz w:val="28"/>
          <w:szCs w:val="28"/>
          <w:highlight w:val="none"/>
        </w:rPr>
      </w:pPr>
      <w:r>
        <w:rPr>
          <w:rFonts w:hint="eastAsia" w:ascii="宋体" w:hAnsi="宋体"/>
          <w:bCs/>
          <w:color w:val="auto"/>
          <w:sz w:val="28"/>
          <w:szCs w:val="28"/>
          <w:highlight w:val="none"/>
        </w:rPr>
        <w:t>二十</w:t>
      </w:r>
      <w:r>
        <w:rPr>
          <w:rFonts w:hint="eastAsia" w:ascii="宋体" w:hAnsi="宋体"/>
          <w:bCs/>
          <w:color w:val="auto"/>
          <w:sz w:val="28"/>
          <w:szCs w:val="28"/>
          <w:highlight w:val="none"/>
          <w:lang w:eastAsia="zh-CN"/>
        </w:rPr>
        <w:t>一</w:t>
      </w:r>
      <w:r>
        <w:rPr>
          <w:rFonts w:hint="eastAsia" w:ascii="宋体" w:hAnsi="宋体"/>
          <w:bCs/>
          <w:color w:val="auto"/>
          <w:sz w:val="28"/>
          <w:szCs w:val="28"/>
          <w:highlight w:val="none"/>
        </w:rPr>
        <w:t>、凡参加本次挂牌转让的竞买人，即表明已全部了解《</w:t>
      </w:r>
      <w:r>
        <w:rPr>
          <w:rFonts w:hint="eastAsia" w:ascii="宋体" w:hAnsi="宋体"/>
          <w:bCs/>
          <w:color w:val="auto"/>
          <w:sz w:val="28"/>
          <w:szCs w:val="28"/>
          <w:highlight w:val="none"/>
          <w:lang w:eastAsia="zh-CN"/>
        </w:rPr>
        <w:t>台州四强新型建材有限公司</w:t>
      </w:r>
      <w:r>
        <w:rPr>
          <w:rFonts w:hint="eastAsia" w:ascii="宋体" w:hAnsi="宋体"/>
          <w:bCs/>
          <w:color w:val="auto"/>
          <w:sz w:val="28"/>
          <w:szCs w:val="28"/>
          <w:highlight w:val="none"/>
          <w:lang w:val="en-US" w:eastAsia="zh-CN"/>
        </w:rPr>
        <w:t>10%</w:t>
      </w:r>
      <w:r>
        <w:rPr>
          <w:rFonts w:hint="eastAsia" w:ascii="宋体" w:hAnsi="宋体"/>
          <w:bCs/>
          <w:color w:val="auto"/>
          <w:sz w:val="28"/>
          <w:szCs w:val="28"/>
          <w:highlight w:val="none"/>
        </w:rPr>
        <w:t>股权转让文件》所涉及的相关资料，并愿意履行有关的义务；表明对转让标的已充分了解，并愿意承担投资风险和责任。</w:t>
      </w:r>
    </w:p>
    <w:p>
      <w:pPr>
        <w:keepNext w:val="0"/>
        <w:keepLines w:val="0"/>
        <w:pageBreakBefore w:val="0"/>
        <w:widowControl w:val="0"/>
        <w:kinsoku/>
        <w:wordWrap/>
        <w:overflowPunct/>
        <w:topLinePunct w:val="0"/>
        <w:autoSpaceDE/>
        <w:autoSpaceDN/>
        <w:bidi w:val="0"/>
        <w:snapToGrid/>
        <w:spacing w:line="600" w:lineRule="exact"/>
        <w:ind w:firstLine="560"/>
        <w:textAlignment w:val="auto"/>
        <w:rPr>
          <w:rFonts w:hint="eastAsia" w:ascii="宋体" w:hAnsi="宋体"/>
          <w:bCs/>
          <w:color w:val="auto"/>
          <w:sz w:val="28"/>
          <w:szCs w:val="28"/>
          <w:highlight w:val="none"/>
        </w:rPr>
      </w:pPr>
      <w:r>
        <w:rPr>
          <w:rFonts w:hint="eastAsia" w:ascii="宋体" w:hAnsi="宋体"/>
          <w:bCs/>
          <w:color w:val="auto"/>
          <w:sz w:val="28"/>
          <w:szCs w:val="28"/>
          <w:highlight w:val="none"/>
        </w:rPr>
        <w:t>二十</w:t>
      </w:r>
      <w:r>
        <w:rPr>
          <w:rFonts w:hint="eastAsia" w:ascii="宋体" w:hAnsi="宋体"/>
          <w:bCs/>
          <w:color w:val="auto"/>
          <w:sz w:val="28"/>
          <w:szCs w:val="28"/>
          <w:highlight w:val="none"/>
          <w:lang w:eastAsia="zh-CN"/>
        </w:rPr>
        <w:t>二</w:t>
      </w:r>
      <w:r>
        <w:rPr>
          <w:rFonts w:hint="eastAsia" w:ascii="宋体" w:hAnsi="宋体"/>
          <w:bCs/>
          <w:color w:val="auto"/>
          <w:sz w:val="28"/>
          <w:szCs w:val="28"/>
          <w:highlight w:val="none"/>
        </w:rPr>
        <w:t>、本次转让文件的最终解释权归委托方和台州市产权交易所。</w:t>
      </w:r>
    </w:p>
    <w:p>
      <w:pPr>
        <w:keepNext w:val="0"/>
        <w:keepLines w:val="0"/>
        <w:pageBreakBefore w:val="0"/>
        <w:widowControl w:val="0"/>
        <w:kinsoku/>
        <w:wordWrap/>
        <w:overflowPunct/>
        <w:topLinePunct w:val="0"/>
        <w:autoSpaceDE/>
        <w:autoSpaceDN/>
        <w:bidi w:val="0"/>
        <w:snapToGrid/>
        <w:spacing w:line="600" w:lineRule="exact"/>
        <w:ind w:firstLine="560"/>
        <w:jc w:val="right"/>
        <w:textAlignment w:val="auto"/>
        <w:rPr>
          <w:rFonts w:hint="eastAsia" w:ascii="宋体" w:hAnsi="宋体"/>
          <w:bCs/>
          <w:color w:val="auto"/>
          <w:sz w:val="28"/>
          <w:szCs w:val="28"/>
          <w:highlight w:val="none"/>
        </w:rPr>
      </w:pPr>
    </w:p>
    <w:p>
      <w:pPr>
        <w:keepNext w:val="0"/>
        <w:keepLines w:val="0"/>
        <w:pageBreakBefore w:val="0"/>
        <w:widowControl w:val="0"/>
        <w:kinsoku/>
        <w:wordWrap/>
        <w:overflowPunct/>
        <w:topLinePunct w:val="0"/>
        <w:autoSpaceDE/>
        <w:autoSpaceDN/>
        <w:bidi w:val="0"/>
        <w:snapToGrid/>
        <w:spacing w:line="600" w:lineRule="exact"/>
        <w:ind w:left="0" w:leftChars="0" w:firstLine="280" w:firstLineChars="100"/>
        <w:jc w:val="right"/>
        <w:textAlignment w:val="auto"/>
        <w:rPr>
          <w:rFonts w:ascii="宋体" w:hAnsi="宋体"/>
          <w:bCs/>
          <w:color w:val="auto"/>
          <w:sz w:val="28"/>
          <w:szCs w:val="28"/>
          <w:highlight w:val="none"/>
        </w:rPr>
      </w:pPr>
      <w:r>
        <w:rPr>
          <w:rFonts w:hint="eastAsia" w:ascii="宋体" w:hAnsi="宋体"/>
          <w:bCs/>
          <w:color w:val="auto"/>
          <w:sz w:val="28"/>
          <w:szCs w:val="28"/>
          <w:highlight w:val="none"/>
        </w:rPr>
        <w:t>台州市产权交易所有限公司</w:t>
      </w:r>
    </w:p>
    <w:p>
      <w:pPr>
        <w:keepNext w:val="0"/>
        <w:keepLines w:val="0"/>
        <w:pageBreakBefore w:val="0"/>
        <w:widowControl w:val="0"/>
        <w:kinsoku/>
        <w:wordWrap/>
        <w:overflowPunct/>
        <w:topLinePunct w:val="0"/>
        <w:autoSpaceDE/>
        <w:autoSpaceDN/>
        <w:bidi w:val="0"/>
        <w:snapToGrid/>
        <w:spacing w:line="600" w:lineRule="exact"/>
        <w:ind w:firstLine="560"/>
        <w:jc w:val="right"/>
        <w:textAlignment w:val="auto"/>
        <w:rPr>
          <w:rFonts w:hint="eastAsia" w:ascii="宋体" w:hAnsi="宋体"/>
          <w:bCs/>
          <w:color w:val="auto"/>
          <w:sz w:val="28"/>
          <w:szCs w:val="28"/>
          <w:highlight w:val="none"/>
        </w:rPr>
      </w:pPr>
      <w:r>
        <w:rPr>
          <w:rFonts w:hint="eastAsia" w:ascii="宋体" w:hAnsi="宋体"/>
          <w:bCs/>
          <w:color w:val="auto"/>
          <w:sz w:val="28"/>
          <w:szCs w:val="28"/>
          <w:highlight w:val="none"/>
        </w:rPr>
        <w:t xml:space="preserve">                                   </w:t>
      </w:r>
      <w:bookmarkStart w:id="15" w:name="待定15"/>
      <w:r>
        <w:rPr>
          <w:rFonts w:hint="eastAsia" w:ascii="宋体" w:hAnsi="宋体"/>
          <w:bCs/>
          <w:color w:val="auto"/>
          <w:sz w:val="28"/>
          <w:szCs w:val="28"/>
          <w:highlight w:val="none"/>
          <w:lang w:val="en-US" w:eastAsia="zh-CN"/>
        </w:rPr>
        <w:t>2021</w:t>
      </w:r>
      <w:r>
        <w:rPr>
          <w:rFonts w:hint="eastAsia" w:ascii="宋体" w:hAnsi="宋体"/>
          <w:bCs/>
          <w:color w:val="auto"/>
          <w:sz w:val="28"/>
          <w:szCs w:val="28"/>
          <w:highlight w:val="none"/>
        </w:rPr>
        <w:t>年</w:t>
      </w:r>
      <w:r>
        <w:rPr>
          <w:rFonts w:hint="eastAsia" w:ascii="宋体" w:hAnsi="宋体"/>
          <w:bCs/>
          <w:color w:val="auto"/>
          <w:sz w:val="28"/>
          <w:szCs w:val="28"/>
          <w:highlight w:val="none"/>
          <w:lang w:val="en-US" w:eastAsia="zh-CN"/>
        </w:rPr>
        <w:t>12</w:t>
      </w:r>
      <w:r>
        <w:rPr>
          <w:rFonts w:hint="eastAsia" w:ascii="宋体" w:hAnsi="宋体"/>
          <w:bCs/>
          <w:color w:val="auto"/>
          <w:sz w:val="28"/>
          <w:szCs w:val="28"/>
          <w:highlight w:val="none"/>
        </w:rPr>
        <w:t>月</w:t>
      </w:r>
      <w:r>
        <w:rPr>
          <w:rFonts w:hint="eastAsia" w:ascii="宋体" w:hAnsi="宋体"/>
          <w:bCs/>
          <w:color w:val="auto"/>
          <w:sz w:val="28"/>
          <w:szCs w:val="28"/>
          <w:highlight w:val="none"/>
          <w:lang w:val="en-US" w:eastAsia="zh-CN"/>
        </w:rPr>
        <w:t>9</w:t>
      </w:r>
      <w:r>
        <w:rPr>
          <w:rFonts w:hint="eastAsia" w:ascii="宋体" w:hAnsi="宋体"/>
          <w:bCs/>
          <w:color w:val="auto"/>
          <w:sz w:val="28"/>
          <w:szCs w:val="28"/>
          <w:highlight w:val="none"/>
        </w:rPr>
        <w:t>日</w:t>
      </w:r>
      <w:bookmarkEnd w:id="15"/>
      <w:bookmarkStart w:id="16" w:name="_Toc16029"/>
    </w:p>
    <w:p>
      <w:pPr>
        <w:pStyle w:val="2"/>
        <w:rPr>
          <w:rFonts w:hint="eastAsia" w:ascii="宋体" w:hAnsi="宋体"/>
          <w:bCs/>
          <w:color w:val="auto"/>
          <w:sz w:val="28"/>
          <w:szCs w:val="28"/>
          <w:highlight w:val="none"/>
        </w:rPr>
      </w:pPr>
    </w:p>
    <w:p>
      <w:pPr>
        <w:pStyle w:val="2"/>
        <w:rPr>
          <w:rFonts w:hint="eastAsia" w:ascii="宋体" w:hAnsi="宋体"/>
          <w:bCs/>
          <w:color w:val="auto"/>
          <w:sz w:val="28"/>
          <w:szCs w:val="28"/>
          <w:highlight w:val="none"/>
          <w:lang w:val="en-US" w:eastAsia="zh-CN"/>
        </w:rPr>
      </w:pPr>
    </w:p>
    <w:p>
      <w:pPr>
        <w:keepNext/>
        <w:keepLines/>
        <w:pageBreakBefore w:val="0"/>
        <w:widowControl w:val="0"/>
        <w:kinsoku/>
        <w:overflowPunct/>
        <w:topLinePunct w:val="0"/>
        <w:autoSpaceDE/>
        <w:autoSpaceDN/>
        <w:bidi w:val="0"/>
        <w:adjustRightInd/>
        <w:snapToGrid/>
        <w:spacing w:before="100" w:beforeAutospacing="1" w:after="100" w:afterAutospacing="1" w:line="240" w:lineRule="auto"/>
        <w:ind w:firstLine="0" w:firstLineChars="0"/>
        <w:jc w:val="center"/>
        <w:textAlignment w:val="auto"/>
        <w:outlineLvl w:val="0"/>
        <w:rPr>
          <w:rFonts w:hint="eastAsia" w:ascii="Calibri" w:hAnsi="Calibri" w:eastAsia="宋体" w:cs="Times New Roman"/>
          <w:b/>
          <w:bCs/>
          <w:color w:val="auto"/>
          <w:kern w:val="44"/>
          <w:sz w:val="32"/>
          <w:szCs w:val="32"/>
          <w:highlight w:val="none"/>
          <w:lang w:val="en-US" w:eastAsia="zh-CN" w:bidi="ar-SA"/>
        </w:rPr>
      </w:pPr>
      <w:r>
        <w:rPr>
          <w:rFonts w:hint="eastAsia" w:ascii="Calibri" w:hAnsi="Calibri" w:eastAsia="宋体" w:cs="Times New Roman"/>
          <w:b/>
          <w:bCs/>
          <w:color w:val="auto"/>
          <w:kern w:val="44"/>
          <w:sz w:val="32"/>
          <w:szCs w:val="32"/>
          <w:highlight w:val="none"/>
          <w:lang w:val="en-US" w:eastAsia="zh-CN" w:bidi="ar-SA"/>
        </w:rPr>
        <w:t>网络竞价规则</w:t>
      </w:r>
      <w:bookmarkEnd w:id="16"/>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kern w:val="0"/>
          <w:sz w:val="28"/>
          <w:szCs w:val="28"/>
          <w:highlight w:val="none"/>
        </w:rPr>
        <w:t>受有关单位委托，台州市产权交易所对</w:t>
      </w:r>
      <w:r>
        <w:rPr>
          <w:rFonts w:hint="eastAsia" w:asciiTheme="minorEastAsia" w:hAnsiTheme="minorEastAsia" w:eastAsiaTheme="minorEastAsia" w:cstheme="minorEastAsia"/>
          <w:kern w:val="0"/>
          <w:sz w:val="28"/>
          <w:szCs w:val="28"/>
          <w:highlight w:val="none"/>
          <w:lang w:eastAsia="zh-CN"/>
        </w:rPr>
        <w:t>台州四强新型建材有限公司</w:t>
      </w:r>
      <w:r>
        <w:rPr>
          <w:rFonts w:hint="eastAsia" w:asciiTheme="minorEastAsia" w:hAnsiTheme="minorEastAsia" w:eastAsiaTheme="minorEastAsia" w:cstheme="minorEastAsia"/>
          <w:kern w:val="0"/>
          <w:sz w:val="28"/>
          <w:szCs w:val="28"/>
          <w:highlight w:val="none"/>
          <w:lang w:val="en-US" w:eastAsia="zh-CN"/>
        </w:rPr>
        <w:t>10%</w:t>
      </w:r>
      <w:r>
        <w:rPr>
          <w:rFonts w:hint="eastAsia" w:asciiTheme="minorEastAsia" w:hAnsiTheme="minorEastAsia" w:eastAsiaTheme="minorEastAsia" w:cstheme="minorEastAsia"/>
          <w:kern w:val="0"/>
          <w:sz w:val="28"/>
          <w:szCs w:val="28"/>
          <w:highlight w:val="none"/>
        </w:rPr>
        <w:t>股权进行公开转让</w:t>
      </w:r>
      <w:r>
        <w:rPr>
          <w:rFonts w:hint="eastAsia" w:asciiTheme="minorEastAsia" w:hAnsiTheme="minorEastAsia" w:eastAsiaTheme="minorEastAsia" w:cstheme="minorEastAsia"/>
          <w:sz w:val="28"/>
          <w:szCs w:val="28"/>
          <w:highlight w:val="none"/>
        </w:rPr>
        <w:t>，特制定本次网络竞价规则：</w:t>
      </w:r>
    </w:p>
    <w:p>
      <w:pPr>
        <w:keepNext w:val="0"/>
        <w:keepLines w:val="0"/>
        <w:pageBreakBefore w:val="0"/>
        <w:numPr>
          <w:ilvl w:val="0"/>
          <w:numId w:val="5"/>
        </w:numPr>
        <w:kinsoku/>
        <w:wordWrap/>
        <w:overflowPunct/>
        <w:topLinePunct w:val="0"/>
        <w:autoSpaceDE/>
        <w:autoSpaceDN/>
        <w:bidi w:val="0"/>
        <w:adjustRightInd/>
        <w:snapToGrid/>
        <w:spacing w:line="360" w:lineRule="auto"/>
        <w:ind w:left="0" w:leftChars="0" w:firstLine="42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竞买方报名及资格确认成功后，即表示已认真阅读并同意本</w:t>
      </w:r>
      <w:r>
        <w:rPr>
          <w:rFonts w:hint="eastAsia" w:asciiTheme="minorEastAsia" w:hAnsiTheme="minorEastAsia" w:eastAsiaTheme="minorEastAsia" w:cstheme="minorEastAsia"/>
          <w:color w:val="auto"/>
          <w:sz w:val="28"/>
          <w:szCs w:val="28"/>
          <w:highlight w:val="none"/>
          <w:lang w:val="en-US" w:eastAsia="zh-CN"/>
        </w:rPr>
        <w:t>转让</w:t>
      </w:r>
      <w:r>
        <w:rPr>
          <w:rFonts w:hint="eastAsia" w:asciiTheme="minorEastAsia" w:hAnsiTheme="minorEastAsia" w:eastAsiaTheme="minorEastAsia" w:cstheme="minorEastAsia"/>
          <w:color w:val="auto"/>
          <w:sz w:val="28"/>
          <w:szCs w:val="28"/>
          <w:highlight w:val="none"/>
        </w:rPr>
        <w:t>文件中提出的相关内容，报价一经确认提交即不可撤回，竞买方须谨</w:t>
      </w:r>
      <w:r>
        <w:rPr>
          <w:rFonts w:hint="eastAsia" w:asciiTheme="minorEastAsia" w:hAnsiTheme="minorEastAsia" w:eastAsiaTheme="minorEastAsia" w:cstheme="minorEastAsia"/>
          <w:sz w:val="28"/>
          <w:szCs w:val="28"/>
        </w:rPr>
        <w:t>慎报价。</w:t>
      </w:r>
    </w:p>
    <w:p>
      <w:pPr>
        <w:widowControl/>
        <w:numPr>
          <w:ilvl w:val="0"/>
          <w:numId w:val="0"/>
        </w:numPr>
        <w:shd w:val="clear" w:color="auto" w:fill="FFFFFF"/>
        <w:spacing w:line="560" w:lineRule="exact"/>
        <w:ind w:firstLine="560" w:firstLineChars="200"/>
        <w:jc w:val="left"/>
        <w:rPr>
          <w:rFonts w:hint="eastAsia" w:asciiTheme="minorEastAsia" w:hAnsiTheme="minorEastAsia" w:eastAsiaTheme="minorEastAsia" w:cstheme="minorEastAsia"/>
          <w:b w:val="0"/>
          <w:bCs/>
          <w:sz w:val="28"/>
          <w:szCs w:val="28"/>
        </w:rPr>
      </w:pPr>
      <w:r>
        <w:rPr>
          <w:rFonts w:hint="eastAsia" w:asciiTheme="minorEastAsia" w:hAnsiTheme="minorEastAsia" w:eastAsiaTheme="minorEastAsia" w:cstheme="minorEastAsia"/>
          <w:b w:val="0"/>
          <w:bCs/>
          <w:sz w:val="28"/>
          <w:szCs w:val="28"/>
          <w:lang w:val="en-US" w:eastAsia="zh-CN"/>
        </w:rPr>
        <w:t>二、</w:t>
      </w:r>
      <w:r>
        <w:rPr>
          <w:rFonts w:hint="eastAsia" w:asciiTheme="minorEastAsia" w:hAnsiTheme="minorEastAsia" w:eastAsiaTheme="minorEastAsia" w:cstheme="minorEastAsia"/>
          <w:b w:val="0"/>
          <w:bCs/>
          <w:sz w:val="28"/>
          <w:szCs w:val="28"/>
        </w:rPr>
        <w:t>本项目的报价以起始价开始</w:t>
      </w:r>
      <w:r>
        <w:rPr>
          <w:rFonts w:hint="eastAsia" w:asciiTheme="minorEastAsia" w:hAnsiTheme="minorEastAsia" w:eastAsiaTheme="minorEastAsia" w:cstheme="minorEastAsia"/>
          <w:b w:val="0"/>
          <w:bCs/>
          <w:sz w:val="28"/>
          <w:szCs w:val="28"/>
          <w:lang w:eastAsia="zh-CN"/>
        </w:rPr>
        <w:t>。</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left="0" w:leftChars="0" w:firstLine="560" w:firstLineChars="200"/>
        <w:jc w:val="left"/>
        <w:textAlignment w:val="auto"/>
        <w:rPr>
          <w:rFonts w:hint="eastAsia" w:asciiTheme="minorEastAsia" w:hAnsiTheme="minorEastAsia" w:eastAsiaTheme="minorEastAsia" w:cstheme="minorEastAsia"/>
          <w:i/>
          <w:sz w:val="28"/>
          <w:szCs w:val="28"/>
          <w:highlight w:val="yellow"/>
        </w:rPr>
      </w:pPr>
      <w:r>
        <w:rPr>
          <w:rFonts w:hint="eastAsia" w:asciiTheme="minorEastAsia" w:hAnsiTheme="minorEastAsia" w:eastAsiaTheme="minorEastAsia" w:cstheme="minorEastAsia"/>
          <w:b w:val="0"/>
          <w:bCs/>
          <w:sz w:val="28"/>
          <w:szCs w:val="28"/>
          <w:lang w:val="en-US" w:eastAsia="zh-CN"/>
        </w:rPr>
        <w:t>三、</w:t>
      </w:r>
      <w:r>
        <w:rPr>
          <w:rFonts w:hint="eastAsia" w:asciiTheme="minorEastAsia" w:hAnsiTheme="minorEastAsia" w:eastAsiaTheme="minorEastAsia" w:cstheme="minorEastAsia"/>
          <w:b w:val="0"/>
          <w:bCs/>
          <w:sz w:val="28"/>
          <w:szCs w:val="28"/>
        </w:rPr>
        <w:t>竞价活动以报价最高者为成交方</w:t>
      </w:r>
      <w:r>
        <w:rPr>
          <w:rFonts w:hint="eastAsia" w:asciiTheme="minorEastAsia" w:hAnsiTheme="minorEastAsia" w:eastAsiaTheme="minorEastAsia" w:cstheme="minorEastAsia"/>
          <w:b w:val="0"/>
          <w:bCs/>
          <w:sz w:val="28"/>
          <w:szCs w:val="28"/>
          <w:lang w:eastAsia="zh-CN"/>
        </w:rPr>
        <w:t>，</w:t>
      </w:r>
      <w:r>
        <w:rPr>
          <w:rFonts w:hint="eastAsia" w:asciiTheme="minorEastAsia" w:hAnsiTheme="minorEastAsia" w:eastAsiaTheme="minorEastAsia" w:cstheme="minorEastAsia"/>
          <w:b w:val="0"/>
          <w:bCs/>
          <w:sz w:val="28"/>
          <w:szCs w:val="28"/>
        </w:rPr>
        <w:t>原</w:t>
      </w:r>
      <w:r>
        <w:rPr>
          <w:rFonts w:hint="eastAsia" w:asciiTheme="minorEastAsia" w:hAnsiTheme="minorEastAsia" w:eastAsiaTheme="minorEastAsia" w:cstheme="minorEastAsia"/>
          <w:b w:val="0"/>
          <w:bCs/>
          <w:sz w:val="28"/>
          <w:szCs w:val="28"/>
          <w:lang w:val="en-US" w:eastAsia="zh-CN"/>
        </w:rPr>
        <w:t>股东</w:t>
      </w:r>
      <w:r>
        <w:rPr>
          <w:rFonts w:hint="eastAsia" w:asciiTheme="minorEastAsia" w:hAnsiTheme="minorEastAsia" w:eastAsiaTheme="minorEastAsia" w:cstheme="minorEastAsia"/>
          <w:b w:val="0"/>
          <w:bCs/>
          <w:sz w:val="28"/>
          <w:szCs w:val="28"/>
        </w:rPr>
        <w:t>在同等条件下享有优先</w:t>
      </w:r>
      <w:r>
        <w:rPr>
          <w:rFonts w:hint="eastAsia" w:asciiTheme="minorEastAsia" w:hAnsiTheme="minorEastAsia" w:eastAsiaTheme="minorEastAsia" w:cstheme="minorEastAsia"/>
          <w:b w:val="0"/>
          <w:bCs/>
          <w:sz w:val="28"/>
          <w:szCs w:val="28"/>
          <w:lang w:val="en-US" w:eastAsia="zh-CN"/>
        </w:rPr>
        <w:t>购买</w:t>
      </w:r>
      <w:r>
        <w:rPr>
          <w:rFonts w:hint="eastAsia" w:asciiTheme="minorEastAsia" w:hAnsiTheme="minorEastAsia" w:eastAsiaTheme="minorEastAsia" w:cstheme="minorEastAsia"/>
          <w:b w:val="0"/>
          <w:bCs/>
          <w:sz w:val="28"/>
          <w:szCs w:val="28"/>
          <w:highlight w:val="none"/>
        </w:rPr>
        <w:t>权</w:t>
      </w:r>
      <w:r>
        <w:rPr>
          <w:rFonts w:hint="eastAsia" w:ascii="仿宋_GB2312" w:hAnsi="仿宋_GB2312" w:eastAsia="仿宋_GB2312" w:cs="仿宋_GB2312"/>
          <w:b/>
          <w:bCs/>
          <w:sz w:val="24"/>
          <w:highlight w:val="none"/>
        </w:rPr>
        <w:t>。</w:t>
      </w:r>
    </w:p>
    <w:p>
      <w:pPr>
        <w:keepNext w:val="0"/>
        <w:keepLines w:val="0"/>
        <w:pageBreakBefore w:val="0"/>
        <w:numPr>
          <w:ilvl w:val="0"/>
          <w:numId w:val="0"/>
        </w:numPr>
        <w:tabs>
          <w:tab w:val="left" w:pos="6795"/>
        </w:tabs>
        <w:kinsoku/>
        <w:wordWrap/>
        <w:overflowPunct/>
        <w:topLinePunct w:val="0"/>
        <w:autoSpaceDE/>
        <w:autoSpaceDN/>
        <w:bidi w:val="0"/>
        <w:adjustRightInd/>
        <w:snapToGrid/>
        <w:spacing w:line="360" w:lineRule="auto"/>
        <w:ind w:left="420" w:leftChars="0"/>
        <w:textAlignment w:val="auto"/>
        <w:rPr>
          <w:rFonts w:hint="eastAsia" w:asciiTheme="minorEastAsia" w:hAnsiTheme="minorEastAsia" w:eastAsiaTheme="minorEastAsia" w:cstheme="minorEastAsia"/>
          <w:b/>
          <w:sz w:val="28"/>
          <w:szCs w:val="28"/>
        </w:rPr>
      </w:pPr>
      <w:r>
        <w:rPr>
          <w:rFonts w:hint="eastAsia" w:asciiTheme="minorEastAsia" w:hAnsiTheme="minorEastAsia" w:eastAsiaTheme="minorEastAsia" w:cstheme="minorEastAsia"/>
          <w:sz w:val="28"/>
          <w:szCs w:val="28"/>
          <w:lang w:val="en-US" w:eastAsia="zh-CN"/>
        </w:rPr>
        <w:t>四、</w:t>
      </w:r>
      <w:r>
        <w:rPr>
          <w:rFonts w:hint="eastAsia" w:asciiTheme="minorEastAsia" w:hAnsiTheme="minorEastAsia" w:eastAsiaTheme="minorEastAsia" w:cstheme="minorEastAsia"/>
          <w:sz w:val="28"/>
          <w:szCs w:val="28"/>
        </w:rPr>
        <w:t>网络竞价程序：</w:t>
      </w:r>
      <w:r>
        <w:rPr>
          <w:rFonts w:hint="eastAsia" w:asciiTheme="minorEastAsia" w:hAnsiTheme="minorEastAsia" w:eastAsiaTheme="minorEastAsia" w:cstheme="minorEastAsia"/>
          <w:b/>
          <w:sz w:val="28"/>
          <w:szCs w:val="28"/>
        </w:rPr>
        <w:tab/>
      </w:r>
    </w:p>
    <w:p>
      <w:pPr>
        <w:keepNext w:val="0"/>
        <w:keepLines w:val="0"/>
        <w:pageBreakBefore w:val="0"/>
        <w:numPr>
          <w:ilvl w:val="0"/>
          <w:numId w:val="6"/>
        </w:numPr>
        <w:kinsoku/>
        <w:wordWrap/>
        <w:overflowPunct/>
        <w:topLinePunct w:val="0"/>
        <w:autoSpaceDE/>
        <w:autoSpaceDN/>
        <w:bidi w:val="0"/>
        <w:adjustRightInd/>
        <w:snapToGrid/>
        <w:spacing w:line="360" w:lineRule="auto"/>
        <w:ind w:left="0" w:leftChars="0" w:firstLine="420" w:firstLineChars="0"/>
        <w:textAlignment w:val="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意向竞买方在台州市公共资源交易网</w:t>
      </w:r>
      <w:r>
        <w:rPr>
          <w:rFonts w:hint="eastAsia" w:asciiTheme="minorEastAsia" w:hAnsiTheme="minorEastAsia" w:eastAsiaTheme="minorEastAsia" w:cstheme="minorEastAsia"/>
          <w:b/>
          <w:kern w:val="0"/>
          <w:sz w:val="28"/>
          <w:szCs w:val="28"/>
        </w:rPr>
        <w:t>（https://tzztb.zjtz.gov.cn/tzcms/）</w:t>
      </w:r>
      <w:r>
        <w:rPr>
          <w:rFonts w:hint="eastAsia" w:asciiTheme="minorEastAsia" w:hAnsiTheme="minorEastAsia" w:eastAsiaTheme="minorEastAsia" w:cstheme="minorEastAsia"/>
          <w:sz w:val="28"/>
          <w:szCs w:val="28"/>
        </w:rPr>
        <w:t>上注册账户，登录网络竞价系统对本项目进行网络报名。如实登记手机号并牢记密码。</w:t>
      </w:r>
    </w:p>
    <w:p>
      <w:pPr>
        <w:keepNext w:val="0"/>
        <w:keepLines w:val="0"/>
        <w:pageBreakBefore w:val="0"/>
        <w:numPr>
          <w:ilvl w:val="0"/>
          <w:numId w:val="6"/>
        </w:numPr>
        <w:kinsoku/>
        <w:wordWrap/>
        <w:overflowPunct/>
        <w:topLinePunct w:val="0"/>
        <w:autoSpaceDE/>
        <w:autoSpaceDN/>
        <w:bidi w:val="0"/>
        <w:adjustRightInd/>
        <w:snapToGrid/>
        <w:spacing w:line="360" w:lineRule="auto"/>
        <w:ind w:left="0" w:leftChars="0" w:firstLine="420" w:firstLineChars="0"/>
        <w:textAlignment w:val="auto"/>
        <w:rPr>
          <w:rFonts w:hint="eastAsia" w:asciiTheme="minorEastAsia" w:hAnsiTheme="minorEastAsia" w:eastAsiaTheme="minorEastAsia" w:cstheme="minorEastAsia"/>
          <w:kern w:val="0"/>
          <w:sz w:val="28"/>
          <w:szCs w:val="28"/>
          <w:highlight w:val="none"/>
        </w:rPr>
      </w:pPr>
      <w:r>
        <w:rPr>
          <w:rFonts w:hint="eastAsia" w:asciiTheme="minorEastAsia" w:hAnsiTheme="minorEastAsia" w:eastAsiaTheme="minorEastAsia" w:cstheme="minorEastAsia"/>
          <w:sz w:val="28"/>
          <w:szCs w:val="28"/>
        </w:rPr>
        <w:t>报名成功并收到短信后在规定时间内</w:t>
      </w:r>
      <w:r>
        <w:rPr>
          <w:rFonts w:hint="eastAsia" w:asciiTheme="minorEastAsia" w:hAnsiTheme="minorEastAsia" w:eastAsiaTheme="minorEastAsia" w:cstheme="minorEastAsia"/>
          <w:kern w:val="0"/>
          <w:sz w:val="28"/>
          <w:szCs w:val="28"/>
        </w:rPr>
        <w:t>交纳保证金</w:t>
      </w:r>
      <w:r>
        <w:rPr>
          <w:rFonts w:hint="eastAsia" w:asciiTheme="minorEastAsia" w:hAnsiTheme="minorEastAsia" w:eastAsiaTheme="minorEastAsia" w:cstheme="minorEastAsia"/>
          <w:kern w:val="0"/>
          <w:sz w:val="28"/>
          <w:szCs w:val="28"/>
          <w:lang w:eastAsia="zh-CN"/>
        </w:rPr>
        <w:t>，</w:t>
      </w:r>
      <w:r>
        <w:rPr>
          <w:rFonts w:hint="eastAsia" w:asciiTheme="minorEastAsia" w:hAnsiTheme="minorEastAsia" w:eastAsiaTheme="minorEastAsia" w:cstheme="minorEastAsia"/>
          <w:color w:val="auto"/>
          <w:kern w:val="0"/>
          <w:sz w:val="28"/>
          <w:szCs w:val="28"/>
          <w:highlight w:val="none"/>
          <w:lang w:val="en-US" w:eastAsia="zh-CN"/>
        </w:rPr>
        <w:t>在</w:t>
      </w:r>
      <w:r>
        <w:rPr>
          <w:rFonts w:hint="eastAsia" w:asciiTheme="minorEastAsia" w:hAnsiTheme="minorEastAsia" w:eastAsiaTheme="minorEastAsia" w:cstheme="minorEastAsia"/>
          <w:color w:val="auto"/>
          <w:kern w:val="0"/>
          <w:sz w:val="28"/>
          <w:szCs w:val="28"/>
          <w:highlight w:val="none"/>
          <w:lang w:eastAsia="zh-CN"/>
        </w:rPr>
        <w:t>2021年12月</w:t>
      </w:r>
      <w:r>
        <w:rPr>
          <w:rFonts w:hint="eastAsia" w:asciiTheme="minorEastAsia" w:hAnsiTheme="minorEastAsia" w:eastAsiaTheme="minorEastAsia" w:cstheme="minorEastAsia"/>
          <w:color w:val="auto"/>
          <w:kern w:val="0"/>
          <w:sz w:val="28"/>
          <w:szCs w:val="28"/>
          <w:highlight w:val="none"/>
          <w:lang w:val="en-US" w:eastAsia="zh-CN"/>
        </w:rPr>
        <w:t>9</w:t>
      </w:r>
      <w:r>
        <w:rPr>
          <w:rFonts w:hint="eastAsia" w:asciiTheme="minorEastAsia" w:hAnsiTheme="minorEastAsia" w:eastAsiaTheme="minorEastAsia" w:cstheme="minorEastAsia"/>
          <w:color w:val="auto"/>
          <w:kern w:val="0"/>
          <w:sz w:val="28"/>
          <w:szCs w:val="28"/>
          <w:highlight w:val="none"/>
          <w:lang w:eastAsia="zh-CN"/>
        </w:rPr>
        <w:t>日至202</w:t>
      </w:r>
      <w:r>
        <w:rPr>
          <w:rFonts w:hint="eastAsia" w:asciiTheme="minorEastAsia" w:hAnsiTheme="minorEastAsia" w:eastAsiaTheme="minorEastAsia" w:cstheme="minorEastAsia"/>
          <w:color w:val="auto"/>
          <w:kern w:val="0"/>
          <w:sz w:val="28"/>
          <w:szCs w:val="28"/>
          <w:highlight w:val="none"/>
          <w:lang w:val="en-US" w:eastAsia="zh-CN"/>
        </w:rPr>
        <w:t>2</w:t>
      </w:r>
      <w:r>
        <w:rPr>
          <w:rFonts w:hint="eastAsia" w:asciiTheme="minorEastAsia" w:hAnsiTheme="minorEastAsia" w:eastAsiaTheme="minorEastAsia" w:cstheme="minorEastAsia"/>
          <w:color w:val="auto"/>
          <w:kern w:val="0"/>
          <w:sz w:val="28"/>
          <w:szCs w:val="28"/>
          <w:highlight w:val="none"/>
          <w:lang w:eastAsia="zh-CN"/>
        </w:rPr>
        <w:t>年</w:t>
      </w:r>
      <w:r>
        <w:rPr>
          <w:rFonts w:hint="eastAsia" w:asciiTheme="minorEastAsia" w:hAnsiTheme="minorEastAsia" w:eastAsiaTheme="minorEastAsia" w:cstheme="minorEastAsia"/>
          <w:color w:val="auto"/>
          <w:kern w:val="0"/>
          <w:sz w:val="28"/>
          <w:szCs w:val="28"/>
          <w:highlight w:val="none"/>
          <w:lang w:val="en-US" w:eastAsia="zh-CN"/>
        </w:rPr>
        <w:t>1</w:t>
      </w:r>
      <w:r>
        <w:rPr>
          <w:rFonts w:hint="eastAsia" w:asciiTheme="minorEastAsia" w:hAnsiTheme="minorEastAsia" w:eastAsiaTheme="minorEastAsia" w:cstheme="minorEastAsia"/>
          <w:color w:val="auto"/>
          <w:kern w:val="0"/>
          <w:sz w:val="28"/>
          <w:szCs w:val="28"/>
          <w:highlight w:val="none"/>
          <w:lang w:eastAsia="zh-CN"/>
        </w:rPr>
        <w:t>月</w:t>
      </w:r>
      <w:r>
        <w:rPr>
          <w:rFonts w:hint="eastAsia" w:asciiTheme="minorEastAsia" w:hAnsiTheme="minorEastAsia" w:eastAsiaTheme="minorEastAsia" w:cstheme="minorEastAsia"/>
          <w:color w:val="auto"/>
          <w:kern w:val="0"/>
          <w:sz w:val="28"/>
          <w:szCs w:val="28"/>
          <w:highlight w:val="none"/>
          <w:lang w:val="en-US" w:eastAsia="zh-CN"/>
        </w:rPr>
        <w:t>6</w:t>
      </w:r>
      <w:r>
        <w:rPr>
          <w:rFonts w:hint="eastAsia" w:asciiTheme="minorEastAsia" w:hAnsiTheme="minorEastAsia" w:eastAsiaTheme="minorEastAsia" w:cstheme="minorEastAsia"/>
          <w:color w:val="auto"/>
          <w:kern w:val="0"/>
          <w:sz w:val="28"/>
          <w:szCs w:val="28"/>
          <w:highlight w:val="none"/>
          <w:lang w:eastAsia="zh-CN"/>
        </w:rPr>
        <w:t>日</w:t>
      </w:r>
      <w:r>
        <w:rPr>
          <w:rFonts w:hint="eastAsia" w:asciiTheme="minorEastAsia" w:hAnsiTheme="minorEastAsia" w:eastAsiaTheme="minorEastAsia" w:cstheme="minorEastAsia"/>
          <w:color w:val="auto"/>
          <w:kern w:val="0"/>
          <w:sz w:val="28"/>
          <w:szCs w:val="28"/>
          <w:highlight w:val="none"/>
        </w:rPr>
        <w:t>16：00前（上午8：30—11：30，下午14：00—16：30，节假日除外）</w:t>
      </w:r>
      <w:r>
        <w:rPr>
          <w:rFonts w:hint="eastAsia" w:asciiTheme="minorEastAsia" w:hAnsiTheme="minorEastAsia" w:eastAsiaTheme="minorEastAsia" w:cstheme="minorEastAsia"/>
          <w:color w:val="auto"/>
          <w:sz w:val="28"/>
          <w:szCs w:val="28"/>
          <w:highlight w:val="none"/>
        </w:rPr>
        <w:t>到</w:t>
      </w:r>
      <w:r>
        <w:rPr>
          <w:rFonts w:hint="eastAsia" w:asciiTheme="minorEastAsia" w:hAnsiTheme="minorEastAsia" w:eastAsiaTheme="minorEastAsia" w:cstheme="minorEastAsia"/>
          <w:color w:val="auto"/>
          <w:kern w:val="0"/>
          <w:sz w:val="28"/>
          <w:szCs w:val="28"/>
          <w:highlight w:val="none"/>
        </w:rPr>
        <w:t>台州市产权交易所（台州市</w:t>
      </w:r>
      <w:r>
        <w:rPr>
          <w:rFonts w:hint="eastAsia" w:asciiTheme="minorEastAsia" w:hAnsiTheme="minorEastAsia" w:eastAsiaTheme="minorEastAsia" w:cstheme="minorEastAsia"/>
          <w:kern w:val="0"/>
          <w:sz w:val="28"/>
          <w:szCs w:val="28"/>
          <w:highlight w:val="none"/>
        </w:rPr>
        <w:t>市府大道777号浙江民泰商业银行五楼511室）进行资料审核。</w:t>
      </w:r>
    </w:p>
    <w:p>
      <w:pPr>
        <w:keepNext w:val="0"/>
        <w:keepLines w:val="0"/>
        <w:pageBreakBefore w:val="0"/>
        <w:numPr>
          <w:ilvl w:val="0"/>
          <w:numId w:val="6"/>
        </w:numPr>
        <w:kinsoku/>
        <w:wordWrap/>
        <w:overflowPunct/>
        <w:topLinePunct w:val="0"/>
        <w:autoSpaceDE/>
        <w:autoSpaceDN/>
        <w:bidi w:val="0"/>
        <w:adjustRightInd/>
        <w:snapToGrid/>
        <w:spacing w:line="360" w:lineRule="auto"/>
        <w:ind w:left="0" w:leftChars="0" w:firstLine="420" w:firstLineChars="0"/>
        <w:textAlignment w:val="auto"/>
        <w:rPr>
          <w:rFonts w:hint="eastAsia" w:asciiTheme="minorEastAsia" w:hAnsiTheme="minorEastAsia" w:eastAsiaTheme="minorEastAsia" w:cstheme="minorEastAsia"/>
          <w:bCs/>
          <w:color w:val="auto"/>
          <w:sz w:val="28"/>
          <w:szCs w:val="28"/>
          <w:u w:val="single"/>
        </w:rPr>
      </w:pPr>
      <w:r>
        <w:rPr>
          <w:rFonts w:hint="eastAsia" w:asciiTheme="minorEastAsia" w:hAnsiTheme="minorEastAsia" w:eastAsiaTheme="minorEastAsia" w:cstheme="minorEastAsia"/>
          <w:bCs/>
          <w:color w:val="auto"/>
          <w:kern w:val="0"/>
          <w:sz w:val="28"/>
          <w:szCs w:val="28"/>
        </w:rPr>
        <w:t>请提前登录</w:t>
      </w:r>
      <w:r>
        <w:rPr>
          <w:rFonts w:hint="eastAsia" w:asciiTheme="minorEastAsia" w:hAnsiTheme="minorEastAsia" w:eastAsiaTheme="minorEastAsia" w:cstheme="minorEastAsia"/>
          <w:bCs/>
          <w:color w:val="auto"/>
          <w:sz w:val="28"/>
          <w:szCs w:val="28"/>
        </w:rPr>
        <w:t>网络竞价大厅进行报价准备，并在规定时间内予以报价。</w:t>
      </w:r>
    </w:p>
    <w:p>
      <w:pPr>
        <w:keepNext w:val="0"/>
        <w:keepLines w:val="0"/>
        <w:pageBreakBefore w:val="0"/>
        <w:numPr>
          <w:ilvl w:val="0"/>
          <w:numId w:val="6"/>
        </w:numPr>
        <w:kinsoku/>
        <w:wordWrap/>
        <w:overflowPunct/>
        <w:topLinePunct w:val="0"/>
        <w:autoSpaceDE/>
        <w:autoSpaceDN/>
        <w:bidi w:val="0"/>
        <w:adjustRightInd/>
        <w:snapToGrid/>
        <w:spacing w:line="360" w:lineRule="auto"/>
        <w:ind w:left="0" w:leftChars="0" w:firstLine="420" w:firstLineChars="0"/>
        <w:textAlignment w:val="auto"/>
        <w:rPr>
          <w:rFonts w:hint="eastAsia" w:asciiTheme="minorEastAsia" w:hAnsiTheme="minorEastAsia" w:eastAsiaTheme="minorEastAsia" w:cstheme="minorEastAsia"/>
          <w:color w:val="auto"/>
          <w:sz w:val="28"/>
          <w:szCs w:val="28"/>
          <w:lang w:val="en-US" w:eastAsia="zh-CN"/>
        </w:rPr>
      </w:pPr>
      <w:r>
        <w:rPr>
          <w:rFonts w:hint="eastAsia" w:asciiTheme="minorEastAsia" w:hAnsiTheme="minorEastAsia" w:eastAsiaTheme="minorEastAsia" w:cstheme="minorEastAsia"/>
          <w:color w:val="auto"/>
          <w:sz w:val="28"/>
          <w:szCs w:val="28"/>
          <w:lang w:val="en-US" w:eastAsia="zh-CN"/>
        </w:rPr>
        <w:t>多次竞价规则</w:t>
      </w:r>
    </w:p>
    <w:p>
      <w:pPr>
        <w:keepNext w:val="0"/>
        <w:keepLines w:val="0"/>
        <w:pageBreakBefore w:val="0"/>
        <w:kinsoku/>
        <w:wordWrap/>
        <w:overflowPunct/>
        <w:topLinePunct w:val="0"/>
        <w:autoSpaceDE/>
        <w:autoSpaceDN/>
        <w:bidi w:val="0"/>
        <w:adjustRightInd/>
        <w:snapToGrid/>
        <w:spacing w:line="360" w:lineRule="auto"/>
        <w:ind w:firstLine="548" w:firstLineChars="196"/>
        <w:textAlignment w:val="auto"/>
        <w:rPr>
          <w:rFonts w:hint="eastAsia" w:asciiTheme="minorEastAsia" w:hAnsiTheme="minorEastAsia" w:eastAsiaTheme="minorEastAsia" w:cstheme="minorEastAsia"/>
          <w:bCs/>
          <w:color w:val="auto"/>
          <w:sz w:val="28"/>
          <w:szCs w:val="28"/>
          <w:u w:val="single"/>
          <w:shd w:val="clear" w:color="auto" w:fill="FFFFFF"/>
        </w:rPr>
      </w:pPr>
      <w:r>
        <w:rPr>
          <w:rFonts w:hint="eastAsia" w:asciiTheme="minorEastAsia" w:hAnsiTheme="minorEastAsia" w:eastAsiaTheme="minorEastAsia" w:cstheme="minorEastAsia"/>
          <w:color w:val="auto"/>
          <w:sz w:val="28"/>
          <w:szCs w:val="28"/>
          <w:shd w:val="clear" w:color="auto" w:fill="FFFFFF"/>
        </w:rPr>
        <w:t>1.</w:t>
      </w:r>
      <w:r>
        <w:rPr>
          <w:rFonts w:hint="eastAsia" w:asciiTheme="minorEastAsia" w:hAnsiTheme="minorEastAsia" w:eastAsiaTheme="minorEastAsia" w:cstheme="minorEastAsia"/>
          <w:bCs/>
          <w:color w:val="auto"/>
          <w:sz w:val="28"/>
          <w:szCs w:val="28"/>
          <w:shd w:val="clear" w:color="auto" w:fill="FFFFFF"/>
        </w:rPr>
        <w:t>多次竞价的报价时段分为</w:t>
      </w:r>
      <w:r>
        <w:rPr>
          <w:rFonts w:hint="eastAsia" w:asciiTheme="minorEastAsia" w:hAnsiTheme="minorEastAsia" w:eastAsiaTheme="minorEastAsia" w:cstheme="minorEastAsia"/>
          <w:bCs/>
          <w:color w:val="auto"/>
          <w:sz w:val="28"/>
          <w:szCs w:val="28"/>
          <w:u w:val="single"/>
          <w:shd w:val="clear" w:color="auto" w:fill="FFFFFF"/>
        </w:rPr>
        <w:t>自由报价（挂牌）时段</w:t>
      </w:r>
      <w:r>
        <w:rPr>
          <w:rFonts w:hint="eastAsia" w:asciiTheme="minorEastAsia" w:hAnsiTheme="minorEastAsia" w:eastAsiaTheme="minorEastAsia" w:cstheme="minorEastAsia"/>
          <w:bCs/>
          <w:color w:val="auto"/>
          <w:sz w:val="28"/>
          <w:szCs w:val="28"/>
          <w:shd w:val="clear" w:color="auto" w:fill="FFFFFF"/>
        </w:rPr>
        <w:t>和</w:t>
      </w:r>
      <w:r>
        <w:rPr>
          <w:rFonts w:hint="eastAsia" w:asciiTheme="minorEastAsia" w:hAnsiTheme="minorEastAsia" w:eastAsiaTheme="minorEastAsia" w:cstheme="minorEastAsia"/>
          <w:bCs/>
          <w:color w:val="auto"/>
          <w:sz w:val="28"/>
          <w:szCs w:val="28"/>
          <w:u w:val="single"/>
          <w:shd w:val="clear" w:color="auto" w:fill="FFFFFF"/>
        </w:rPr>
        <w:t xml:space="preserve">限时报价时段。 </w:t>
      </w:r>
    </w:p>
    <w:p>
      <w:pPr>
        <w:keepNext w:val="0"/>
        <w:keepLines w:val="0"/>
        <w:pageBreakBefore w:val="0"/>
        <w:kinsoku/>
        <w:wordWrap/>
        <w:overflowPunct/>
        <w:topLinePunct w:val="0"/>
        <w:autoSpaceDE/>
        <w:autoSpaceDN/>
        <w:bidi w:val="0"/>
        <w:adjustRightInd/>
        <w:snapToGrid/>
        <w:spacing w:line="360" w:lineRule="auto"/>
        <w:ind w:firstLine="548" w:firstLineChars="196"/>
        <w:textAlignment w:val="auto"/>
        <w:rPr>
          <w:rFonts w:hint="eastAsia"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lang w:val="en-US" w:eastAsia="zh-CN"/>
        </w:rPr>
        <w:t>2</w:t>
      </w:r>
      <w:r>
        <w:rPr>
          <w:rFonts w:hint="eastAsia" w:asciiTheme="minorEastAsia" w:hAnsiTheme="minorEastAsia" w:eastAsiaTheme="minorEastAsia" w:cstheme="minorEastAsia"/>
          <w:color w:val="auto"/>
          <w:sz w:val="28"/>
          <w:szCs w:val="28"/>
          <w:shd w:val="clear" w:color="auto" w:fill="FFFFFF"/>
        </w:rPr>
        <w:t>.</w:t>
      </w:r>
      <w:r>
        <w:rPr>
          <w:rFonts w:hint="eastAsia" w:asciiTheme="minorEastAsia" w:hAnsiTheme="minorEastAsia" w:eastAsiaTheme="minorEastAsia" w:cstheme="minorEastAsia"/>
          <w:bCs/>
          <w:color w:val="auto"/>
          <w:sz w:val="28"/>
          <w:szCs w:val="28"/>
          <w:shd w:val="clear" w:color="auto" w:fill="FFFFFF"/>
        </w:rPr>
        <w:t>自由报价（挂牌）时段是网络竞价系统中预设的一段时间周期。此时段内，多次网络竞价的竞买方可以多次发送报价，也可不发送报价。自由报价（挂牌）时段结束后，多次网络进入限时报价时段。</w:t>
      </w:r>
    </w:p>
    <w:p>
      <w:pPr>
        <w:keepNext w:val="0"/>
        <w:keepLines w:val="0"/>
        <w:pageBreakBefore w:val="0"/>
        <w:kinsoku/>
        <w:wordWrap/>
        <w:overflowPunct/>
        <w:topLinePunct w:val="0"/>
        <w:autoSpaceDE/>
        <w:autoSpaceDN/>
        <w:bidi w:val="0"/>
        <w:adjustRightInd/>
        <w:snapToGrid/>
        <w:spacing w:line="360" w:lineRule="auto"/>
        <w:ind w:firstLine="548" w:firstLineChars="196"/>
        <w:textAlignment w:val="auto"/>
        <w:rPr>
          <w:rFonts w:hint="eastAsia"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lang w:val="en-US" w:eastAsia="zh-CN"/>
        </w:rPr>
        <w:t>3</w:t>
      </w:r>
      <w:r>
        <w:rPr>
          <w:rFonts w:hint="eastAsia" w:asciiTheme="minorEastAsia" w:hAnsiTheme="minorEastAsia" w:eastAsiaTheme="minorEastAsia" w:cstheme="minorEastAsia"/>
          <w:color w:val="auto"/>
          <w:sz w:val="28"/>
          <w:szCs w:val="28"/>
          <w:shd w:val="clear" w:color="auto" w:fill="FFFFFF"/>
        </w:rPr>
        <w:t>.</w:t>
      </w:r>
      <w:r>
        <w:rPr>
          <w:rFonts w:hint="eastAsia" w:asciiTheme="minorEastAsia" w:hAnsiTheme="minorEastAsia" w:eastAsiaTheme="minorEastAsia" w:cstheme="minorEastAsia"/>
          <w:bCs/>
          <w:color w:val="auto"/>
          <w:sz w:val="28"/>
          <w:szCs w:val="28"/>
          <w:shd w:val="clear" w:color="auto" w:fill="FFFFFF"/>
        </w:rPr>
        <w:t>限时报价时段是在自由报价（挂牌）时段之外提供的不定时间的补充交易时段，设一定时长的限时周期。在一个限时周期内，如无竞买方继续报价，则竞价活动结束；如有竞买方报价，则重新进入一个限时周期，直到无人报价为止。“自由报价（挂牌）时长”和“限时报价时长”以本项目竞价厅为准。</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lang w:val="en-US" w:eastAsia="zh-CN"/>
        </w:rPr>
        <w:t>4</w:t>
      </w:r>
      <w:r>
        <w:rPr>
          <w:rFonts w:hint="eastAsia" w:asciiTheme="minorEastAsia" w:hAnsiTheme="minorEastAsia" w:eastAsiaTheme="minorEastAsia" w:cstheme="minorEastAsia"/>
          <w:color w:val="auto"/>
          <w:sz w:val="28"/>
          <w:szCs w:val="28"/>
          <w:shd w:val="clear" w:color="auto" w:fill="FFFFFF"/>
        </w:rPr>
        <w:t>.</w:t>
      </w:r>
      <w:r>
        <w:rPr>
          <w:rFonts w:hint="eastAsia" w:asciiTheme="minorEastAsia" w:hAnsiTheme="minorEastAsia" w:eastAsiaTheme="minorEastAsia" w:cstheme="minorEastAsia"/>
          <w:bCs/>
          <w:color w:val="auto"/>
          <w:sz w:val="28"/>
          <w:szCs w:val="28"/>
          <w:shd w:val="clear" w:color="auto" w:fill="FFFFFF"/>
        </w:rPr>
        <w:t>竞买方在规定的报价时段内通过网络竞价系统报价，报价指令未确认前可撤回或更改，经确认后不得撤销。在规定的报价时段内，所有竞买方均未报价的，网络竞价活动终止。</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lang w:val="en-US" w:eastAsia="zh-CN"/>
        </w:rPr>
        <w:t>5</w:t>
      </w:r>
      <w:r>
        <w:rPr>
          <w:rFonts w:hint="eastAsia" w:asciiTheme="minorEastAsia" w:hAnsiTheme="minorEastAsia" w:eastAsiaTheme="minorEastAsia" w:cstheme="minorEastAsia"/>
          <w:color w:val="auto"/>
          <w:sz w:val="28"/>
          <w:szCs w:val="28"/>
          <w:shd w:val="clear" w:color="auto" w:fill="FFFFFF"/>
        </w:rPr>
        <w:t>.</w:t>
      </w:r>
      <w:r>
        <w:rPr>
          <w:rFonts w:hint="eastAsia" w:asciiTheme="minorEastAsia" w:hAnsiTheme="minorEastAsia" w:eastAsiaTheme="minorEastAsia" w:cstheme="minorEastAsia"/>
          <w:bCs/>
          <w:color w:val="auto"/>
          <w:sz w:val="28"/>
          <w:szCs w:val="28"/>
          <w:shd w:val="clear" w:color="auto" w:fill="FFFFFF"/>
        </w:rPr>
        <w:t>多次竞价的首次报价是以起始价为基础，每次加价必须等于交易</w:t>
      </w:r>
      <w:r>
        <w:rPr>
          <w:rFonts w:hint="eastAsia" w:asciiTheme="minorEastAsia" w:hAnsiTheme="minorEastAsia" w:eastAsiaTheme="minorEastAsia" w:cstheme="minorEastAsia"/>
          <w:bCs/>
          <w:color w:val="auto"/>
          <w:sz w:val="28"/>
          <w:szCs w:val="28"/>
          <w:shd w:val="clear" w:color="auto" w:fill="FFFFFF"/>
          <w:lang w:val="en-US" w:eastAsia="zh-CN"/>
        </w:rPr>
        <w:t>所</w:t>
      </w:r>
      <w:r>
        <w:rPr>
          <w:rFonts w:hint="eastAsia" w:asciiTheme="minorEastAsia" w:hAnsiTheme="minorEastAsia" w:eastAsiaTheme="minorEastAsia" w:cstheme="minorEastAsia"/>
          <w:bCs/>
          <w:color w:val="auto"/>
          <w:sz w:val="28"/>
          <w:szCs w:val="28"/>
          <w:shd w:val="clear" w:color="auto" w:fill="FFFFFF"/>
        </w:rPr>
        <w:t>事先确定的加价幅度或加价幅度的整数倍，原报价即丧失其约束力。报价结束时的最高报价为成交价，其报价者即为成交方。</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bCs/>
          <w:color w:val="auto"/>
          <w:sz w:val="28"/>
          <w:szCs w:val="28"/>
          <w:shd w:val="clear" w:color="auto" w:fill="FFFFFF"/>
        </w:rPr>
      </w:pPr>
      <w:r>
        <w:rPr>
          <w:rFonts w:hint="eastAsia" w:asciiTheme="minorEastAsia" w:hAnsiTheme="minorEastAsia" w:eastAsiaTheme="minorEastAsia" w:cstheme="minorEastAsia"/>
          <w:bCs/>
          <w:color w:val="auto"/>
          <w:sz w:val="28"/>
          <w:szCs w:val="28"/>
          <w:shd w:val="clear" w:color="auto" w:fill="FFFFFF"/>
        </w:rPr>
        <w:t>（五）优先权</w:t>
      </w:r>
      <w:r>
        <w:rPr>
          <w:rFonts w:hint="eastAsia" w:asciiTheme="minorEastAsia" w:hAnsiTheme="minorEastAsia" w:eastAsiaTheme="minorEastAsia" w:cstheme="minorEastAsia"/>
          <w:bCs/>
          <w:color w:val="auto"/>
          <w:sz w:val="28"/>
          <w:szCs w:val="28"/>
          <w:shd w:val="clear" w:color="auto" w:fill="FFFFFF"/>
          <w:lang w:eastAsia="zh-CN"/>
        </w:rPr>
        <w:t>：</w:t>
      </w:r>
      <w:r>
        <w:rPr>
          <w:rFonts w:hint="eastAsia" w:asciiTheme="minorEastAsia" w:hAnsiTheme="minorEastAsia" w:eastAsiaTheme="minorEastAsia" w:cstheme="minorEastAsia"/>
          <w:bCs/>
          <w:color w:val="auto"/>
          <w:sz w:val="28"/>
          <w:szCs w:val="28"/>
          <w:shd w:val="clear" w:color="auto" w:fill="FFFFFF"/>
        </w:rPr>
        <w:t>是指竞买人在同等条件、同等价格、同等履行了交易文件规定的竞买义务前提下，优先享有受让标的的权利。</w:t>
      </w:r>
    </w:p>
    <w:p>
      <w:pPr>
        <w:keepNext w:val="0"/>
        <w:keepLines w:val="0"/>
        <w:pageBreakBefore w:val="0"/>
        <w:numPr>
          <w:ilvl w:val="0"/>
          <w:numId w:val="0"/>
        </w:numPr>
        <w:kinsoku/>
        <w:wordWrap/>
        <w:overflowPunct/>
        <w:topLinePunct w:val="0"/>
        <w:autoSpaceDE/>
        <w:autoSpaceDN/>
        <w:bidi w:val="0"/>
        <w:adjustRightInd/>
        <w:snapToGrid/>
        <w:spacing w:line="360" w:lineRule="auto"/>
        <w:ind w:left="420" w:leftChars="0"/>
        <w:textAlignment w:val="auto"/>
        <w:rPr>
          <w:rFonts w:hint="eastAsia" w:asciiTheme="minorEastAsia" w:hAnsiTheme="minorEastAsia" w:eastAsiaTheme="minorEastAsia" w:cstheme="minorEastAsia"/>
          <w:b w:val="0"/>
          <w:bCs w:val="0"/>
          <w:color w:val="auto"/>
          <w:kern w:val="0"/>
          <w:sz w:val="28"/>
          <w:szCs w:val="28"/>
          <w:highlight w:val="none"/>
          <w:u w:val="single"/>
        </w:rPr>
      </w:pPr>
      <w:r>
        <w:rPr>
          <w:rFonts w:hint="eastAsia" w:asciiTheme="minorEastAsia" w:hAnsiTheme="minorEastAsia" w:eastAsiaTheme="minorEastAsia" w:cstheme="minorEastAsia"/>
          <w:b w:val="0"/>
          <w:bCs w:val="0"/>
          <w:color w:val="auto"/>
          <w:sz w:val="28"/>
          <w:szCs w:val="28"/>
          <w:highlight w:val="none"/>
          <w:shd w:val="clear" w:color="auto" w:fill="FFFFFF"/>
          <w:lang w:val="en-US" w:eastAsia="zh-CN"/>
        </w:rPr>
        <w:t>五、网络竞价时间：</w:t>
      </w:r>
    </w:p>
    <w:p>
      <w:pPr>
        <w:keepNext w:val="0"/>
        <w:keepLines w:val="0"/>
        <w:pageBreakBefore w:val="0"/>
        <w:numPr>
          <w:ilvl w:val="0"/>
          <w:numId w:val="0"/>
        </w:numPr>
        <w:kinsoku/>
        <w:wordWrap/>
        <w:overflowPunct/>
        <w:topLinePunct w:val="0"/>
        <w:autoSpaceDE/>
        <w:autoSpaceDN/>
        <w:bidi w:val="0"/>
        <w:adjustRightInd/>
        <w:snapToGrid/>
        <w:spacing w:line="360" w:lineRule="auto"/>
        <w:ind w:left="0" w:leftChars="0" w:firstLine="490" w:firstLineChars="175"/>
        <w:textAlignment w:val="auto"/>
        <w:rPr>
          <w:rFonts w:hint="eastAsia" w:asciiTheme="minorEastAsia" w:hAnsiTheme="minorEastAsia" w:eastAsiaTheme="minorEastAsia" w:cstheme="minorEastAsia"/>
          <w:b w:val="0"/>
          <w:bCs w:val="0"/>
          <w:color w:val="auto"/>
          <w:kern w:val="0"/>
          <w:sz w:val="28"/>
          <w:szCs w:val="28"/>
          <w:highlight w:val="none"/>
          <w:u w:val="single"/>
        </w:rPr>
      </w:pPr>
      <w:r>
        <w:rPr>
          <w:rFonts w:hint="eastAsia" w:asciiTheme="minorEastAsia" w:hAnsiTheme="minorEastAsia" w:eastAsiaTheme="minorEastAsia" w:cstheme="minorEastAsia"/>
          <w:b w:val="0"/>
          <w:bCs w:val="0"/>
          <w:color w:val="auto"/>
          <w:sz w:val="28"/>
          <w:szCs w:val="28"/>
          <w:highlight w:val="none"/>
          <w:shd w:val="clear" w:color="auto" w:fill="FFFFFF"/>
          <w:lang w:val="en-US" w:eastAsia="zh-CN"/>
        </w:rPr>
        <w:t>自由（挂牌）报价时间：</w:t>
      </w:r>
      <w:r>
        <w:rPr>
          <w:rFonts w:hint="eastAsia" w:asciiTheme="minorEastAsia" w:hAnsiTheme="minorEastAsia" w:eastAsiaTheme="minorEastAsia" w:cstheme="minorEastAsia"/>
          <w:b w:val="0"/>
          <w:bCs w:val="0"/>
          <w:color w:val="auto"/>
          <w:kern w:val="0"/>
          <w:sz w:val="28"/>
          <w:szCs w:val="28"/>
          <w:highlight w:val="none"/>
          <w:lang w:eastAsia="zh-CN"/>
        </w:rPr>
        <w:t>2021年12月</w:t>
      </w:r>
      <w:r>
        <w:rPr>
          <w:rFonts w:hint="eastAsia" w:asciiTheme="minorEastAsia" w:hAnsiTheme="minorEastAsia" w:eastAsiaTheme="minorEastAsia" w:cstheme="minorEastAsia"/>
          <w:b w:val="0"/>
          <w:bCs w:val="0"/>
          <w:color w:val="auto"/>
          <w:kern w:val="0"/>
          <w:sz w:val="28"/>
          <w:szCs w:val="28"/>
          <w:highlight w:val="none"/>
          <w:lang w:val="en-US" w:eastAsia="zh-CN"/>
        </w:rPr>
        <w:t>9</w:t>
      </w:r>
      <w:r>
        <w:rPr>
          <w:rFonts w:hint="eastAsia" w:asciiTheme="minorEastAsia" w:hAnsiTheme="minorEastAsia" w:eastAsiaTheme="minorEastAsia" w:cstheme="minorEastAsia"/>
          <w:b w:val="0"/>
          <w:bCs w:val="0"/>
          <w:color w:val="auto"/>
          <w:kern w:val="0"/>
          <w:sz w:val="28"/>
          <w:szCs w:val="28"/>
          <w:highlight w:val="none"/>
          <w:lang w:eastAsia="zh-CN"/>
        </w:rPr>
        <w:t>日至202</w:t>
      </w:r>
      <w:r>
        <w:rPr>
          <w:rFonts w:hint="eastAsia" w:asciiTheme="minorEastAsia" w:hAnsiTheme="minorEastAsia" w:eastAsiaTheme="minorEastAsia" w:cstheme="minorEastAsia"/>
          <w:b w:val="0"/>
          <w:bCs w:val="0"/>
          <w:color w:val="auto"/>
          <w:kern w:val="0"/>
          <w:sz w:val="28"/>
          <w:szCs w:val="28"/>
          <w:highlight w:val="none"/>
          <w:lang w:val="en-US" w:eastAsia="zh-CN"/>
        </w:rPr>
        <w:t>2</w:t>
      </w:r>
      <w:r>
        <w:rPr>
          <w:rFonts w:hint="eastAsia" w:asciiTheme="minorEastAsia" w:hAnsiTheme="minorEastAsia" w:eastAsiaTheme="minorEastAsia" w:cstheme="minorEastAsia"/>
          <w:b w:val="0"/>
          <w:bCs w:val="0"/>
          <w:color w:val="auto"/>
          <w:kern w:val="0"/>
          <w:sz w:val="28"/>
          <w:szCs w:val="28"/>
          <w:highlight w:val="none"/>
          <w:lang w:eastAsia="zh-CN"/>
        </w:rPr>
        <w:t>年</w:t>
      </w:r>
      <w:r>
        <w:rPr>
          <w:rFonts w:hint="eastAsia" w:asciiTheme="minorEastAsia" w:hAnsiTheme="minorEastAsia" w:eastAsiaTheme="minorEastAsia" w:cstheme="minorEastAsia"/>
          <w:b w:val="0"/>
          <w:bCs w:val="0"/>
          <w:color w:val="auto"/>
          <w:kern w:val="0"/>
          <w:sz w:val="28"/>
          <w:szCs w:val="28"/>
          <w:highlight w:val="none"/>
          <w:lang w:val="en-US" w:eastAsia="zh-CN"/>
        </w:rPr>
        <w:t>1</w:t>
      </w:r>
      <w:r>
        <w:rPr>
          <w:rFonts w:hint="eastAsia" w:asciiTheme="minorEastAsia" w:hAnsiTheme="minorEastAsia" w:eastAsiaTheme="minorEastAsia" w:cstheme="minorEastAsia"/>
          <w:b w:val="0"/>
          <w:bCs w:val="0"/>
          <w:color w:val="auto"/>
          <w:kern w:val="0"/>
          <w:sz w:val="28"/>
          <w:szCs w:val="28"/>
          <w:highlight w:val="none"/>
          <w:lang w:eastAsia="zh-CN"/>
        </w:rPr>
        <w:t>月</w:t>
      </w:r>
      <w:r>
        <w:rPr>
          <w:rFonts w:hint="eastAsia" w:asciiTheme="minorEastAsia" w:hAnsiTheme="minorEastAsia" w:eastAsiaTheme="minorEastAsia" w:cstheme="minorEastAsia"/>
          <w:b w:val="0"/>
          <w:bCs w:val="0"/>
          <w:color w:val="auto"/>
          <w:kern w:val="0"/>
          <w:sz w:val="28"/>
          <w:szCs w:val="28"/>
          <w:highlight w:val="none"/>
          <w:lang w:val="en-US" w:eastAsia="zh-CN"/>
        </w:rPr>
        <w:t>7</w:t>
      </w:r>
      <w:r>
        <w:rPr>
          <w:rFonts w:hint="eastAsia" w:asciiTheme="minorEastAsia" w:hAnsiTheme="minorEastAsia" w:eastAsiaTheme="minorEastAsia" w:cstheme="minorEastAsia"/>
          <w:b w:val="0"/>
          <w:bCs w:val="0"/>
          <w:color w:val="auto"/>
          <w:kern w:val="0"/>
          <w:sz w:val="28"/>
          <w:szCs w:val="28"/>
          <w:highlight w:val="none"/>
          <w:lang w:eastAsia="zh-CN"/>
        </w:rPr>
        <w:t>日</w:t>
      </w:r>
      <w:r>
        <w:rPr>
          <w:rFonts w:hint="eastAsia" w:asciiTheme="minorEastAsia" w:hAnsiTheme="minorEastAsia" w:eastAsiaTheme="minorEastAsia" w:cstheme="minorEastAsia"/>
          <w:b w:val="0"/>
          <w:bCs w:val="0"/>
          <w:color w:val="auto"/>
          <w:kern w:val="0"/>
          <w:sz w:val="28"/>
          <w:szCs w:val="28"/>
          <w:highlight w:val="none"/>
          <w:lang w:val="en-US" w:eastAsia="zh-CN"/>
        </w:rPr>
        <w:t>9:30时</w:t>
      </w:r>
      <w:r>
        <w:rPr>
          <w:rFonts w:hint="eastAsia" w:asciiTheme="minorEastAsia" w:hAnsiTheme="minorEastAsia" w:eastAsiaTheme="minorEastAsia" w:cstheme="minorEastAsia"/>
          <w:b w:val="0"/>
          <w:bCs w:val="0"/>
          <w:color w:val="auto"/>
          <w:kern w:val="0"/>
          <w:sz w:val="28"/>
          <w:szCs w:val="28"/>
          <w:highlight w:val="none"/>
          <w:lang w:eastAsia="zh-CN"/>
        </w:rPr>
        <w:t>（</w:t>
      </w:r>
      <w:r>
        <w:rPr>
          <w:rFonts w:hint="eastAsia" w:asciiTheme="minorEastAsia" w:hAnsiTheme="minorEastAsia" w:eastAsiaTheme="minorEastAsia" w:cstheme="minorEastAsia"/>
          <w:b w:val="0"/>
          <w:bCs w:val="0"/>
          <w:color w:val="auto"/>
          <w:kern w:val="0"/>
          <w:sz w:val="28"/>
          <w:szCs w:val="28"/>
          <w:highlight w:val="none"/>
          <w:lang w:val="en-US" w:eastAsia="zh-CN"/>
        </w:rPr>
        <w:t>竞买人报名审核后方可报价</w:t>
      </w:r>
      <w:r>
        <w:rPr>
          <w:rFonts w:hint="eastAsia" w:asciiTheme="minorEastAsia" w:hAnsiTheme="minorEastAsia" w:eastAsiaTheme="minorEastAsia" w:cstheme="minorEastAsia"/>
          <w:b w:val="0"/>
          <w:bCs w:val="0"/>
          <w:color w:val="auto"/>
          <w:kern w:val="0"/>
          <w:sz w:val="28"/>
          <w:szCs w:val="28"/>
          <w:highlight w:val="none"/>
          <w:lang w:eastAsia="zh-CN"/>
        </w:rPr>
        <w:t>）；</w:t>
      </w:r>
      <w:r>
        <w:rPr>
          <w:rFonts w:hint="eastAsia" w:asciiTheme="minorEastAsia" w:hAnsiTheme="minorEastAsia" w:eastAsiaTheme="minorEastAsia" w:cstheme="minorEastAsia"/>
          <w:b w:val="0"/>
          <w:bCs w:val="0"/>
          <w:color w:val="auto"/>
          <w:sz w:val="28"/>
          <w:szCs w:val="28"/>
          <w:highlight w:val="none"/>
          <w:shd w:val="clear" w:color="auto" w:fill="FFFFFF"/>
          <w:lang w:val="en-US" w:eastAsia="zh-CN"/>
        </w:rPr>
        <w:t>限时报价开始</w:t>
      </w:r>
      <w:r>
        <w:rPr>
          <w:rFonts w:hint="eastAsia" w:asciiTheme="minorEastAsia" w:hAnsiTheme="minorEastAsia" w:eastAsiaTheme="minorEastAsia" w:cstheme="minorEastAsia"/>
          <w:b w:val="0"/>
          <w:bCs w:val="0"/>
          <w:color w:val="auto"/>
          <w:sz w:val="28"/>
          <w:szCs w:val="28"/>
          <w:highlight w:val="none"/>
          <w:shd w:val="clear" w:color="auto" w:fill="FFFFFF"/>
        </w:rPr>
        <w:t>时间：</w:t>
      </w:r>
      <w:r>
        <w:rPr>
          <w:rFonts w:hint="eastAsia" w:asciiTheme="minorEastAsia" w:hAnsiTheme="minorEastAsia" w:eastAsiaTheme="minorEastAsia" w:cstheme="minorEastAsia"/>
          <w:b w:val="0"/>
          <w:bCs w:val="0"/>
          <w:color w:val="auto"/>
          <w:sz w:val="28"/>
          <w:szCs w:val="28"/>
          <w:highlight w:val="none"/>
          <w:shd w:val="clear" w:color="auto" w:fill="FFFFFF"/>
          <w:lang w:eastAsia="zh-CN"/>
        </w:rPr>
        <w:t>202</w:t>
      </w:r>
      <w:r>
        <w:rPr>
          <w:rFonts w:hint="eastAsia" w:asciiTheme="minorEastAsia" w:hAnsiTheme="minorEastAsia" w:eastAsiaTheme="minorEastAsia" w:cstheme="minorEastAsia"/>
          <w:b w:val="0"/>
          <w:bCs w:val="0"/>
          <w:color w:val="auto"/>
          <w:sz w:val="28"/>
          <w:szCs w:val="28"/>
          <w:highlight w:val="none"/>
          <w:shd w:val="clear" w:color="auto" w:fill="FFFFFF"/>
          <w:lang w:val="en-US" w:eastAsia="zh-CN"/>
        </w:rPr>
        <w:t>2</w:t>
      </w:r>
      <w:r>
        <w:rPr>
          <w:rFonts w:hint="eastAsia" w:asciiTheme="minorEastAsia" w:hAnsiTheme="minorEastAsia" w:eastAsiaTheme="minorEastAsia" w:cstheme="minorEastAsia"/>
          <w:b w:val="0"/>
          <w:bCs w:val="0"/>
          <w:color w:val="auto"/>
          <w:sz w:val="28"/>
          <w:szCs w:val="28"/>
          <w:highlight w:val="none"/>
          <w:shd w:val="clear" w:color="auto" w:fill="FFFFFF"/>
          <w:lang w:eastAsia="zh-CN"/>
        </w:rPr>
        <w:t>年</w:t>
      </w:r>
      <w:r>
        <w:rPr>
          <w:rFonts w:hint="eastAsia" w:asciiTheme="minorEastAsia" w:hAnsiTheme="minorEastAsia" w:eastAsiaTheme="minorEastAsia" w:cstheme="minorEastAsia"/>
          <w:b w:val="0"/>
          <w:bCs w:val="0"/>
          <w:color w:val="auto"/>
          <w:sz w:val="28"/>
          <w:szCs w:val="28"/>
          <w:highlight w:val="none"/>
          <w:shd w:val="clear" w:color="auto" w:fill="FFFFFF"/>
          <w:lang w:val="en-US" w:eastAsia="zh-CN"/>
        </w:rPr>
        <w:t>1</w:t>
      </w:r>
      <w:r>
        <w:rPr>
          <w:rFonts w:hint="eastAsia" w:asciiTheme="minorEastAsia" w:hAnsiTheme="minorEastAsia" w:eastAsiaTheme="minorEastAsia" w:cstheme="minorEastAsia"/>
          <w:b w:val="0"/>
          <w:bCs w:val="0"/>
          <w:color w:val="auto"/>
          <w:sz w:val="28"/>
          <w:szCs w:val="28"/>
          <w:highlight w:val="none"/>
          <w:shd w:val="clear" w:color="auto" w:fill="FFFFFF"/>
          <w:lang w:eastAsia="zh-CN"/>
        </w:rPr>
        <w:t>月</w:t>
      </w:r>
      <w:r>
        <w:rPr>
          <w:rFonts w:hint="eastAsia" w:asciiTheme="minorEastAsia" w:hAnsiTheme="minorEastAsia" w:eastAsiaTheme="minorEastAsia" w:cstheme="minorEastAsia"/>
          <w:b w:val="0"/>
          <w:bCs w:val="0"/>
          <w:color w:val="auto"/>
          <w:sz w:val="28"/>
          <w:szCs w:val="28"/>
          <w:highlight w:val="none"/>
          <w:shd w:val="clear" w:color="auto" w:fill="FFFFFF"/>
          <w:lang w:val="en-US" w:eastAsia="zh-CN"/>
        </w:rPr>
        <w:t>7</w:t>
      </w:r>
      <w:r>
        <w:rPr>
          <w:rFonts w:hint="eastAsia" w:asciiTheme="minorEastAsia" w:hAnsiTheme="minorEastAsia" w:eastAsiaTheme="minorEastAsia" w:cstheme="minorEastAsia"/>
          <w:b w:val="0"/>
          <w:bCs w:val="0"/>
          <w:color w:val="auto"/>
          <w:sz w:val="28"/>
          <w:szCs w:val="28"/>
          <w:highlight w:val="none"/>
          <w:shd w:val="clear" w:color="auto" w:fill="FFFFFF"/>
          <w:lang w:eastAsia="zh-CN"/>
        </w:rPr>
        <w:t>日（星期</w:t>
      </w:r>
      <w:r>
        <w:rPr>
          <w:rFonts w:hint="eastAsia" w:asciiTheme="minorEastAsia" w:hAnsiTheme="minorEastAsia" w:eastAsiaTheme="minorEastAsia" w:cstheme="minorEastAsia"/>
          <w:b w:val="0"/>
          <w:bCs w:val="0"/>
          <w:color w:val="auto"/>
          <w:sz w:val="28"/>
          <w:szCs w:val="28"/>
          <w:highlight w:val="none"/>
          <w:shd w:val="clear" w:color="auto" w:fill="FFFFFF"/>
          <w:lang w:val="en-US" w:eastAsia="zh-CN"/>
        </w:rPr>
        <w:t>五</w:t>
      </w:r>
      <w:r>
        <w:rPr>
          <w:rFonts w:hint="eastAsia" w:asciiTheme="minorEastAsia" w:hAnsiTheme="minorEastAsia" w:eastAsiaTheme="minorEastAsia" w:cstheme="minorEastAsia"/>
          <w:b w:val="0"/>
          <w:bCs w:val="0"/>
          <w:color w:val="auto"/>
          <w:sz w:val="28"/>
          <w:szCs w:val="28"/>
          <w:highlight w:val="none"/>
          <w:shd w:val="clear" w:color="auto" w:fill="FFFFFF"/>
          <w:lang w:eastAsia="zh-CN"/>
        </w:rPr>
        <w:t>）9：30</w:t>
      </w:r>
      <w:r>
        <w:rPr>
          <w:rFonts w:hint="eastAsia" w:asciiTheme="minorEastAsia" w:hAnsiTheme="minorEastAsia" w:eastAsiaTheme="minorEastAsia" w:cstheme="minorEastAsia"/>
          <w:b w:val="0"/>
          <w:bCs w:val="0"/>
          <w:color w:val="auto"/>
          <w:sz w:val="28"/>
          <w:szCs w:val="28"/>
          <w:highlight w:val="none"/>
          <w:shd w:val="clear" w:color="auto" w:fill="FFFFFF"/>
        </w:rPr>
        <w:t>时。</w:t>
      </w:r>
    </w:p>
    <w:p>
      <w:pPr>
        <w:spacing w:line="360" w:lineRule="auto"/>
        <w:ind w:firstLine="560"/>
        <w:rPr>
          <w:color w:val="auto"/>
          <w:sz w:val="28"/>
          <w:szCs w:val="28"/>
          <w:highlight w:val="none"/>
        </w:rPr>
      </w:pPr>
      <w:r>
        <w:rPr>
          <w:rFonts w:hint="eastAsia" w:asciiTheme="minorEastAsia" w:hAnsiTheme="minorEastAsia" w:eastAsiaTheme="minorEastAsia" w:cstheme="minorEastAsia"/>
          <w:color w:val="auto"/>
          <w:kern w:val="0"/>
          <w:sz w:val="28"/>
          <w:szCs w:val="28"/>
          <w:highlight w:val="none"/>
        </w:rPr>
        <w:t>确定成交方后，</w:t>
      </w:r>
      <w:r>
        <w:rPr>
          <w:rFonts w:hint="eastAsia" w:asciiTheme="minorEastAsia" w:hAnsiTheme="minorEastAsia" w:eastAsiaTheme="minorEastAsia" w:cstheme="minorEastAsia"/>
          <w:color w:val="auto"/>
          <w:kern w:val="0"/>
          <w:sz w:val="28"/>
          <w:szCs w:val="28"/>
          <w:highlight w:val="none"/>
          <w:lang w:val="en-US" w:eastAsia="zh-CN"/>
        </w:rPr>
        <w:t>成交</w:t>
      </w:r>
      <w:r>
        <w:rPr>
          <w:rFonts w:hint="eastAsia" w:asciiTheme="minorEastAsia" w:hAnsiTheme="minorEastAsia" w:eastAsiaTheme="minorEastAsia" w:cstheme="minorEastAsia"/>
          <w:color w:val="auto"/>
          <w:kern w:val="0"/>
          <w:sz w:val="28"/>
          <w:szCs w:val="28"/>
          <w:highlight w:val="none"/>
        </w:rPr>
        <w:t>方须在二个工作日内到我所签署《成交确认书》</w:t>
      </w:r>
      <w:r>
        <w:rPr>
          <w:rFonts w:hint="eastAsia" w:ascii="宋体" w:hAnsi="宋体"/>
          <w:color w:val="auto"/>
          <w:sz w:val="28"/>
          <w:szCs w:val="28"/>
          <w:highlight w:val="none"/>
        </w:rPr>
        <w:t>和《股权转让合同》。</w:t>
      </w:r>
    </w:p>
    <w:p>
      <w:pPr>
        <w:keepNext w:val="0"/>
        <w:keepLines w:val="0"/>
        <w:pageBreakBefore w:val="0"/>
        <w:kinsoku/>
        <w:wordWrap/>
        <w:overflowPunct/>
        <w:topLinePunct w:val="0"/>
        <w:autoSpaceDE/>
        <w:autoSpaceDN/>
        <w:bidi w:val="0"/>
        <w:adjustRightInd/>
        <w:snapToGrid/>
        <w:spacing w:line="360" w:lineRule="auto"/>
        <w:ind w:firstLine="562"/>
        <w:textAlignment w:val="auto"/>
        <w:rPr>
          <w:rFonts w:hint="eastAsia" w:asciiTheme="minorEastAsia" w:hAnsiTheme="minorEastAsia" w:eastAsiaTheme="minorEastAsia" w:cstheme="minorEastAsia"/>
          <w:color w:val="auto"/>
          <w:kern w:val="0"/>
          <w:sz w:val="28"/>
          <w:szCs w:val="28"/>
          <w:highlight w:val="none"/>
        </w:rPr>
      </w:pPr>
      <w:r>
        <w:rPr>
          <w:rFonts w:hint="eastAsia" w:asciiTheme="minorEastAsia" w:hAnsiTheme="minorEastAsia" w:eastAsiaTheme="minorEastAsia" w:cstheme="minorEastAsia"/>
          <w:color w:val="auto"/>
          <w:kern w:val="0"/>
          <w:sz w:val="28"/>
          <w:szCs w:val="28"/>
          <w:highlight w:val="none"/>
        </w:rPr>
        <w:t>如</w:t>
      </w:r>
      <w:r>
        <w:rPr>
          <w:rFonts w:hint="eastAsia" w:asciiTheme="minorEastAsia" w:hAnsiTheme="minorEastAsia" w:eastAsiaTheme="minorEastAsia" w:cstheme="minorEastAsia"/>
          <w:color w:val="auto"/>
          <w:kern w:val="0"/>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rPr>
        <w:t>方</w:t>
      </w:r>
      <w:r>
        <w:rPr>
          <w:rFonts w:hint="eastAsia" w:asciiTheme="minorEastAsia" w:hAnsiTheme="minorEastAsia" w:eastAsiaTheme="minorEastAsia" w:cstheme="minorEastAsia"/>
          <w:color w:val="auto"/>
          <w:kern w:val="0"/>
          <w:sz w:val="28"/>
          <w:szCs w:val="28"/>
          <w:highlight w:val="none"/>
        </w:rPr>
        <w:t>无故拖延</w:t>
      </w:r>
      <w:r>
        <w:rPr>
          <w:rFonts w:hint="eastAsia" w:asciiTheme="minorEastAsia" w:hAnsiTheme="minorEastAsia" w:eastAsiaTheme="minorEastAsia" w:cstheme="minorEastAsia"/>
          <w:color w:val="auto"/>
          <w:kern w:val="0"/>
          <w:sz w:val="28"/>
          <w:szCs w:val="28"/>
          <w:highlight w:val="none"/>
          <w:lang w:eastAsia="zh-CN"/>
        </w:rPr>
        <w:t>、</w:t>
      </w:r>
      <w:r>
        <w:rPr>
          <w:rFonts w:hint="eastAsia" w:asciiTheme="minorEastAsia" w:hAnsiTheme="minorEastAsia" w:eastAsiaTheme="minorEastAsia" w:cstheme="minorEastAsia"/>
          <w:color w:val="auto"/>
          <w:kern w:val="0"/>
          <w:sz w:val="28"/>
          <w:szCs w:val="28"/>
          <w:highlight w:val="none"/>
        </w:rPr>
        <w:t>拒签《成交确认书》或</w:t>
      </w:r>
      <w:r>
        <w:rPr>
          <w:rFonts w:hint="eastAsia" w:ascii="宋体" w:hAnsi="宋体"/>
          <w:color w:val="auto"/>
          <w:sz w:val="28"/>
          <w:szCs w:val="28"/>
          <w:highlight w:val="none"/>
        </w:rPr>
        <w:t>《股权转让合同》</w:t>
      </w:r>
      <w:r>
        <w:rPr>
          <w:rFonts w:hint="eastAsia" w:asciiTheme="minorEastAsia" w:hAnsiTheme="minorEastAsia" w:eastAsiaTheme="minorEastAsia" w:cstheme="minorEastAsia"/>
          <w:color w:val="auto"/>
          <w:kern w:val="0"/>
          <w:sz w:val="28"/>
          <w:szCs w:val="28"/>
          <w:highlight w:val="none"/>
        </w:rPr>
        <w:t>的，</w:t>
      </w:r>
      <w:r>
        <w:rPr>
          <w:rFonts w:hint="eastAsia" w:asciiTheme="minorEastAsia" w:hAnsiTheme="minorEastAsia" w:eastAsiaTheme="minorEastAsia" w:cstheme="minorEastAsia"/>
          <w:color w:val="auto"/>
          <w:kern w:val="0"/>
          <w:sz w:val="28"/>
          <w:szCs w:val="28"/>
          <w:highlight w:val="none"/>
          <w:lang w:val="en-US" w:eastAsia="zh-CN"/>
        </w:rPr>
        <w:t>竞买</w:t>
      </w:r>
      <w:r>
        <w:rPr>
          <w:rFonts w:hint="eastAsia" w:asciiTheme="minorEastAsia" w:hAnsiTheme="minorEastAsia" w:eastAsiaTheme="minorEastAsia" w:cstheme="minorEastAsia"/>
          <w:color w:val="auto"/>
          <w:kern w:val="0"/>
          <w:sz w:val="28"/>
          <w:szCs w:val="28"/>
          <w:highlight w:val="none"/>
        </w:rPr>
        <w:t>保证金将不予退还并取消其成交资格。</w:t>
      </w:r>
    </w:p>
    <w:p>
      <w:pPr>
        <w:keepNext w:val="0"/>
        <w:keepLines w:val="0"/>
        <w:pageBreakBefore w:val="0"/>
        <w:numPr>
          <w:ilvl w:val="0"/>
          <w:numId w:val="0"/>
        </w:numPr>
        <w:tabs>
          <w:tab w:val="left" w:pos="6795"/>
        </w:tabs>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rPr>
      </w:pPr>
      <w:r>
        <w:rPr>
          <w:rFonts w:hint="eastAsia" w:asciiTheme="minorEastAsia" w:hAnsiTheme="minorEastAsia" w:eastAsiaTheme="minorEastAsia" w:cstheme="minorEastAsia"/>
          <w:color w:val="auto"/>
          <w:sz w:val="28"/>
          <w:szCs w:val="28"/>
          <w:lang w:val="en-US" w:eastAsia="zh-CN"/>
        </w:rPr>
        <w:t>六、</w:t>
      </w:r>
      <w:r>
        <w:rPr>
          <w:rFonts w:hint="eastAsia" w:asciiTheme="minorEastAsia" w:hAnsiTheme="minorEastAsia" w:eastAsiaTheme="minorEastAsia" w:cstheme="minorEastAsia"/>
          <w:color w:val="auto"/>
          <w:sz w:val="28"/>
          <w:szCs w:val="28"/>
        </w:rPr>
        <w:t>免责声明：</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1.竞买方在参加网络竞价活动之前，应对竞价标的进行了全面了解，接受</w:t>
      </w:r>
      <w:r>
        <w:rPr>
          <w:rFonts w:hint="eastAsia" w:asciiTheme="minorEastAsia" w:hAnsiTheme="minorEastAsia" w:eastAsiaTheme="minorEastAsia" w:cstheme="minorEastAsia"/>
          <w:color w:val="auto"/>
          <w:sz w:val="28"/>
          <w:szCs w:val="28"/>
          <w:shd w:val="clear" w:color="auto" w:fill="FFFFFF"/>
          <w:lang w:val="en-US" w:eastAsia="zh-CN"/>
        </w:rPr>
        <w:t>转让</w:t>
      </w:r>
      <w:r>
        <w:rPr>
          <w:rFonts w:hint="eastAsia" w:asciiTheme="minorEastAsia" w:hAnsiTheme="minorEastAsia" w:eastAsiaTheme="minorEastAsia" w:cstheme="minorEastAsia"/>
          <w:color w:val="auto"/>
          <w:sz w:val="28"/>
          <w:szCs w:val="28"/>
          <w:highlight w:val="none"/>
          <w:shd w:val="clear" w:color="auto" w:fill="FFFFFF"/>
        </w:rPr>
        <w:t>文件</w:t>
      </w:r>
      <w:r>
        <w:rPr>
          <w:rFonts w:hint="eastAsia" w:asciiTheme="minorEastAsia" w:hAnsiTheme="minorEastAsia" w:eastAsiaTheme="minorEastAsia" w:cstheme="minorEastAsia"/>
          <w:color w:val="auto"/>
          <w:sz w:val="28"/>
          <w:szCs w:val="28"/>
          <w:shd w:val="clear" w:color="auto" w:fill="FFFFFF"/>
        </w:rPr>
        <w:t>的内容和要求，对其报价行为负责，且网络报价实施后不得以不了解所竞得标的为由予以反悔。</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2.为确保网络传输的安全，保障竞买方的利益，网络报价平台对网络资料的传输采用数据加密处理，但无法保证电子信息绝对安全。</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3.如因不可抗力造成网络报价活动不能正常进行，台州市</w:t>
      </w:r>
      <w:r>
        <w:rPr>
          <w:rFonts w:hint="eastAsia" w:asciiTheme="minorEastAsia" w:hAnsiTheme="minorEastAsia" w:eastAsiaTheme="minorEastAsia" w:cstheme="minorEastAsia"/>
          <w:color w:val="auto"/>
          <w:sz w:val="28"/>
          <w:szCs w:val="28"/>
          <w:shd w:val="clear" w:color="auto" w:fill="FFFFFF"/>
          <w:lang w:val="en-US" w:eastAsia="zh-CN"/>
        </w:rPr>
        <w:t>产权交易所</w:t>
      </w:r>
      <w:r>
        <w:rPr>
          <w:rFonts w:hint="eastAsia" w:asciiTheme="minorEastAsia" w:hAnsiTheme="minorEastAsia" w:eastAsiaTheme="minorEastAsia" w:cstheme="minorEastAsia"/>
          <w:color w:val="auto"/>
          <w:sz w:val="28"/>
          <w:szCs w:val="28"/>
          <w:shd w:val="clear" w:color="auto" w:fill="FFFFFF"/>
        </w:rPr>
        <w:t>不承担任何责任。</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4.如因网络报价服务器等设备故障、网络传输线路（电信）故障、网络竞价平台软件故障、黑客攻击等原因造成网络报价不能正常进行，台</w:t>
      </w:r>
      <w:r>
        <w:rPr>
          <w:rFonts w:hint="eastAsia" w:asciiTheme="minorEastAsia" w:hAnsiTheme="minorEastAsia" w:eastAsiaTheme="minorEastAsia" w:cstheme="minorEastAsia"/>
          <w:color w:val="auto"/>
          <w:sz w:val="28"/>
          <w:szCs w:val="28"/>
        </w:rPr>
        <w:t>州市</w:t>
      </w:r>
      <w:r>
        <w:rPr>
          <w:rFonts w:hint="eastAsia" w:asciiTheme="minorEastAsia" w:hAnsiTheme="minorEastAsia" w:eastAsiaTheme="minorEastAsia" w:cstheme="minorEastAsia"/>
          <w:color w:val="auto"/>
          <w:sz w:val="28"/>
          <w:szCs w:val="28"/>
          <w:lang w:val="en-US" w:eastAsia="zh-CN"/>
        </w:rPr>
        <w:t>产权交易所</w:t>
      </w:r>
      <w:r>
        <w:rPr>
          <w:rFonts w:hint="eastAsia" w:asciiTheme="minorEastAsia" w:hAnsiTheme="minorEastAsia" w:eastAsiaTheme="minorEastAsia" w:cstheme="minorEastAsia"/>
          <w:color w:val="auto"/>
          <w:sz w:val="28"/>
          <w:szCs w:val="28"/>
          <w:shd w:val="clear" w:color="auto" w:fill="FFFFFF"/>
        </w:rPr>
        <w:t>不承担任何责任。我单位将全力排除故障，解决问题，尽快恢复网络报价平台的正常运行，并经监管处审核批准，组织已报名竞买方重新竞价。</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5.如因竞买方自身报价电脑设备故障、网络传输线路不畅通等原因，造成竞买方不能正常进行网络报价，我单位不承担任何责任。</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6.如因竞买方操作不当或操作失误而造成的任何损失，由当事人自己负责。</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7.如因竞买方的报价设备的系统时间与网络报价平台服务器时间不一致而造成的任何后果，由当事人自己负责。</w:t>
      </w:r>
    </w:p>
    <w:p>
      <w:pPr>
        <w:keepNext w:val="0"/>
        <w:keepLines w:val="0"/>
        <w:pageBreakBefore w:val="0"/>
        <w:kinsoku/>
        <w:wordWrap/>
        <w:overflowPunct/>
        <w:topLinePunct w:val="0"/>
        <w:autoSpaceDE/>
        <w:autoSpaceDN/>
        <w:bidi w:val="0"/>
        <w:adjustRightInd/>
        <w:snapToGrid/>
        <w:spacing w:line="360" w:lineRule="auto"/>
        <w:ind w:firstLine="560" w:firstLineChars="200"/>
        <w:textAlignment w:val="auto"/>
        <w:rPr>
          <w:rFonts w:hint="eastAsia" w:asciiTheme="minorEastAsia" w:hAnsiTheme="minorEastAsia" w:eastAsiaTheme="minorEastAsia" w:cstheme="minorEastAsia"/>
          <w:color w:val="auto"/>
          <w:sz w:val="28"/>
          <w:szCs w:val="28"/>
          <w:shd w:val="clear" w:color="auto" w:fill="FFFFFF"/>
        </w:rPr>
      </w:pPr>
      <w:r>
        <w:rPr>
          <w:rFonts w:hint="eastAsia" w:asciiTheme="minorEastAsia" w:hAnsiTheme="minorEastAsia" w:eastAsiaTheme="minorEastAsia" w:cstheme="minorEastAsia"/>
          <w:color w:val="auto"/>
          <w:sz w:val="28"/>
          <w:szCs w:val="28"/>
          <w:shd w:val="clear" w:color="auto" w:fill="FFFFFF"/>
        </w:rPr>
        <w:t>8.用户、竞买方应对自身的账户安全负责。若用户或竞买方的账户被盗用，则由当事人自己负责。</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420" w:leftChars="0"/>
        <w:jc w:val="left"/>
        <w:textAlignment w:val="auto"/>
        <w:rPr>
          <w:rFonts w:hint="eastAsia" w:asciiTheme="minorEastAsia" w:hAnsiTheme="minorEastAsia" w:eastAsiaTheme="minorEastAsia" w:cstheme="minorEastAsia"/>
          <w:b w:val="0"/>
          <w:bCs w:val="0"/>
          <w:color w:val="auto"/>
          <w:sz w:val="28"/>
          <w:szCs w:val="28"/>
          <w:highlight w:val="none"/>
        </w:rPr>
      </w:pPr>
      <w:r>
        <w:rPr>
          <w:rFonts w:hint="eastAsia" w:asciiTheme="minorEastAsia" w:hAnsiTheme="minorEastAsia" w:eastAsiaTheme="minorEastAsia" w:cstheme="minorEastAsia"/>
          <w:b w:val="0"/>
          <w:bCs w:val="0"/>
          <w:color w:val="auto"/>
          <w:sz w:val="28"/>
          <w:szCs w:val="28"/>
          <w:highlight w:val="none"/>
          <w:lang w:val="en-US" w:eastAsia="zh-CN"/>
        </w:rPr>
        <w:t>七、</w:t>
      </w:r>
      <w:r>
        <w:rPr>
          <w:rFonts w:hint="eastAsia" w:asciiTheme="minorEastAsia" w:hAnsiTheme="minorEastAsia" w:eastAsiaTheme="minorEastAsia" w:cstheme="minorEastAsia"/>
          <w:b w:val="0"/>
          <w:bCs w:val="0"/>
          <w:color w:val="auto"/>
          <w:sz w:val="28"/>
          <w:szCs w:val="28"/>
          <w:highlight w:val="none"/>
        </w:rPr>
        <w:t>本次</w:t>
      </w:r>
      <w:r>
        <w:rPr>
          <w:rFonts w:hint="eastAsia" w:ascii="宋体" w:hAnsi="宋体" w:cs="Times New Roman"/>
          <w:b w:val="0"/>
          <w:bCs w:val="0"/>
          <w:color w:val="auto"/>
          <w:sz w:val="28"/>
          <w:szCs w:val="28"/>
          <w:highlight w:val="none"/>
          <w:lang w:val="en-US" w:eastAsia="zh-CN"/>
        </w:rPr>
        <w:t>转让活动</w:t>
      </w:r>
      <w:r>
        <w:rPr>
          <w:rFonts w:hint="eastAsia" w:asciiTheme="minorEastAsia" w:hAnsiTheme="minorEastAsia" w:eastAsiaTheme="minorEastAsia" w:cstheme="minorEastAsia"/>
          <w:b w:val="0"/>
          <w:bCs w:val="0"/>
          <w:color w:val="auto"/>
          <w:sz w:val="28"/>
          <w:szCs w:val="28"/>
          <w:highlight w:val="none"/>
        </w:rPr>
        <w:t>向</w:t>
      </w:r>
      <w:r>
        <w:rPr>
          <w:rFonts w:hint="eastAsia" w:asciiTheme="minorEastAsia" w:hAnsiTheme="minorEastAsia" w:eastAsiaTheme="minorEastAsia" w:cstheme="minorEastAsia"/>
          <w:b w:val="0"/>
          <w:bCs w:val="0"/>
          <w:color w:val="auto"/>
          <w:sz w:val="28"/>
          <w:szCs w:val="28"/>
          <w:highlight w:val="none"/>
          <w:lang w:val="en-US" w:eastAsia="zh-CN"/>
        </w:rPr>
        <w:t>成交方收取</w:t>
      </w:r>
      <w:r>
        <w:rPr>
          <w:rFonts w:hint="eastAsia" w:ascii="宋体" w:hAnsi="宋体" w:eastAsia="宋体" w:cs="Times New Roman"/>
          <w:b w:val="0"/>
          <w:bCs w:val="0"/>
          <w:color w:val="auto"/>
          <w:sz w:val="28"/>
          <w:szCs w:val="28"/>
          <w:highlight w:val="none"/>
          <w:lang w:val="en-US" w:eastAsia="zh-CN"/>
        </w:rPr>
        <w:t>成交价的</w:t>
      </w:r>
      <w:r>
        <w:rPr>
          <w:rFonts w:hint="eastAsia" w:ascii="宋体" w:hAnsi="宋体" w:cs="Times New Roman"/>
          <w:b w:val="0"/>
          <w:bCs w:val="0"/>
          <w:color w:val="auto"/>
          <w:sz w:val="28"/>
          <w:szCs w:val="28"/>
          <w:highlight w:val="none"/>
          <w:lang w:val="en-US" w:eastAsia="zh-CN"/>
        </w:rPr>
        <w:t>1.87</w:t>
      </w:r>
      <w:r>
        <w:rPr>
          <w:rFonts w:hint="eastAsia" w:ascii="宋体" w:hAnsi="宋体" w:eastAsia="宋体" w:cs="Times New Roman"/>
          <w:b w:val="0"/>
          <w:bCs w:val="0"/>
          <w:color w:val="auto"/>
          <w:sz w:val="28"/>
          <w:szCs w:val="28"/>
          <w:highlight w:val="none"/>
          <w:lang w:val="en-US" w:eastAsia="zh-CN"/>
        </w:rPr>
        <w:t>%</w:t>
      </w:r>
      <w:r>
        <w:rPr>
          <w:rFonts w:hint="eastAsia" w:asciiTheme="minorEastAsia" w:hAnsiTheme="minorEastAsia" w:eastAsiaTheme="minorEastAsia" w:cstheme="minorEastAsia"/>
          <w:b w:val="0"/>
          <w:bCs w:val="0"/>
          <w:color w:val="auto"/>
          <w:sz w:val="28"/>
          <w:szCs w:val="28"/>
          <w:highlight w:val="none"/>
        </w:rPr>
        <w:t>交易佣金。</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360" w:lineRule="auto"/>
        <w:ind w:left="420" w:leftChars="0"/>
        <w:jc w:val="left"/>
        <w:textAlignment w:val="auto"/>
        <w:rPr>
          <w:rFonts w:hint="eastAsia" w:asciiTheme="minorEastAsia" w:hAnsiTheme="minorEastAsia" w:eastAsiaTheme="minorEastAsia" w:cstheme="minorEastAsia"/>
          <w:b w:val="0"/>
          <w:bCs w:val="0"/>
          <w:color w:val="auto"/>
          <w:sz w:val="28"/>
          <w:szCs w:val="28"/>
          <w:highlight w:val="none"/>
        </w:rPr>
      </w:pPr>
      <w:r>
        <w:rPr>
          <w:rFonts w:hint="eastAsia" w:asciiTheme="minorEastAsia" w:hAnsiTheme="minorEastAsia" w:eastAsiaTheme="minorEastAsia" w:cstheme="minorEastAsia"/>
          <w:b w:val="0"/>
          <w:bCs w:val="0"/>
          <w:color w:val="auto"/>
          <w:sz w:val="28"/>
          <w:szCs w:val="28"/>
          <w:highlight w:val="none"/>
          <w:lang w:val="en-US" w:eastAsia="zh-CN"/>
        </w:rPr>
        <w:t>八、</w:t>
      </w:r>
      <w:r>
        <w:rPr>
          <w:rFonts w:hint="eastAsia" w:asciiTheme="minorEastAsia" w:hAnsiTheme="minorEastAsia" w:eastAsiaTheme="minorEastAsia" w:cstheme="minorEastAsia"/>
          <w:b w:val="0"/>
          <w:bCs w:val="0"/>
          <w:color w:val="auto"/>
          <w:sz w:val="28"/>
          <w:szCs w:val="28"/>
          <w:highlight w:val="none"/>
        </w:rPr>
        <w:t>请各竞买方仔细阅读本</w:t>
      </w:r>
      <w:r>
        <w:rPr>
          <w:rFonts w:hint="eastAsia" w:asciiTheme="minorEastAsia" w:hAnsiTheme="minorEastAsia" w:eastAsiaTheme="minorEastAsia" w:cstheme="minorEastAsia"/>
          <w:b w:val="0"/>
          <w:bCs w:val="0"/>
          <w:color w:val="auto"/>
          <w:sz w:val="28"/>
          <w:szCs w:val="28"/>
          <w:highlight w:val="none"/>
          <w:lang w:val="en-US" w:eastAsia="zh-CN"/>
        </w:rPr>
        <w:t>转让</w:t>
      </w:r>
      <w:r>
        <w:rPr>
          <w:rFonts w:hint="eastAsia" w:asciiTheme="minorEastAsia" w:hAnsiTheme="minorEastAsia" w:eastAsiaTheme="minorEastAsia" w:cstheme="minorEastAsia"/>
          <w:b w:val="0"/>
          <w:bCs w:val="0"/>
          <w:color w:val="auto"/>
          <w:sz w:val="28"/>
          <w:szCs w:val="28"/>
          <w:highlight w:val="none"/>
        </w:rPr>
        <w:t>文件。</w:t>
      </w: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560" w:lineRule="exact"/>
        <w:ind w:right="600"/>
        <w:jc w:val="right"/>
        <w:rPr>
          <w:rFonts w:hint="eastAsia" w:asciiTheme="minorEastAsia" w:hAnsiTheme="minorEastAsia" w:eastAsiaTheme="minorEastAsia" w:cstheme="minorEastAsia"/>
          <w:color w:val="auto"/>
          <w:sz w:val="28"/>
          <w:szCs w:val="28"/>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480" w:lineRule="auto"/>
        <w:ind w:right="23" w:firstLine="4620" w:firstLineChars="1650"/>
        <w:jc w:val="left"/>
        <w:rPr>
          <w:rFonts w:hint="eastAsia" w:asciiTheme="minorEastAsia" w:hAnsiTheme="minorEastAsia" w:eastAsiaTheme="minorEastAsia" w:cstheme="minorEastAsia"/>
          <w:color w:val="auto"/>
          <w:sz w:val="28"/>
          <w:szCs w:val="28"/>
          <w:highlight w:val="none"/>
        </w:rPr>
      </w:pPr>
    </w:p>
    <w:p>
      <w:pPr>
        <w:tabs>
          <w:tab w:val="left" w:pos="580"/>
          <w:tab w:val="left" w:pos="720"/>
          <w:tab w:val="left" w:pos="2880"/>
          <w:tab w:val="left" w:pos="3600"/>
          <w:tab w:val="left" w:pos="4320"/>
          <w:tab w:val="left" w:pos="5040"/>
          <w:tab w:val="left" w:pos="5760"/>
          <w:tab w:val="left" w:pos="8280"/>
        </w:tabs>
        <w:autoSpaceDE w:val="0"/>
        <w:autoSpaceDN w:val="0"/>
        <w:adjustRightInd w:val="0"/>
        <w:spacing w:line="480" w:lineRule="auto"/>
        <w:ind w:right="23" w:firstLine="4620" w:firstLineChars="1650"/>
        <w:jc w:val="left"/>
        <w:rPr>
          <w:rFonts w:hint="eastAsia" w:asciiTheme="minorEastAsia" w:hAnsiTheme="minorEastAsia" w:eastAsiaTheme="minorEastAsia" w:cstheme="minorEastAsia"/>
          <w:color w:val="auto"/>
          <w:sz w:val="28"/>
          <w:szCs w:val="28"/>
          <w:highlight w:val="none"/>
        </w:rPr>
      </w:pPr>
      <w:r>
        <w:rPr>
          <w:rFonts w:hint="eastAsia" w:asciiTheme="minorEastAsia" w:hAnsiTheme="minorEastAsia" w:eastAsiaTheme="minorEastAsia" w:cstheme="minorEastAsia"/>
          <w:color w:val="auto"/>
          <w:sz w:val="28"/>
          <w:szCs w:val="28"/>
          <w:highlight w:val="none"/>
        </w:rPr>
        <w:t xml:space="preserve">  台州市产权交易所有限公司</w:t>
      </w:r>
    </w:p>
    <w:p>
      <w:pPr>
        <w:spacing w:line="480" w:lineRule="auto"/>
        <w:jc w:val="center"/>
        <w:rPr>
          <w:rFonts w:hint="eastAsia" w:asciiTheme="minorEastAsia" w:hAnsiTheme="minorEastAsia" w:eastAsiaTheme="minorEastAsia" w:cstheme="minorEastAsia"/>
          <w:bCs/>
          <w:color w:val="auto"/>
          <w:sz w:val="28"/>
          <w:szCs w:val="28"/>
          <w:highlight w:val="none"/>
          <w:lang w:eastAsia="zh-CN"/>
        </w:rPr>
      </w:pPr>
      <w:r>
        <w:rPr>
          <w:rFonts w:hint="eastAsia" w:asciiTheme="minorEastAsia" w:hAnsiTheme="minorEastAsia" w:eastAsiaTheme="minorEastAsia" w:cstheme="minorEastAsia"/>
          <w:bCs/>
          <w:color w:val="auto"/>
          <w:sz w:val="28"/>
          <w:szCs w:val="28"/>
          <w:highlight w:val="none"/>
        </w:rPr>
        <w:t xml:space="preserve">                                 </w:t>
      </w:r>
      <w:r>
        <w:rPr>
          <w:rFonts w:hint="eastAsia" w:asciiTheme="minorEastAsia" w:hAnsiTheme="minorEastAsia" w:eastAsiaTheme="minorEastAsia" w:cstheme="minorEastAsia"/>
          <w:bCs/>
          <w:color w:val="auto"/>
          <w:sz w:val="28"/>
          <w:szCs w:val="28"/>
          <w:highlight w:val="none"/>
          <w:lang w:val="en-US" w:eastAsia="zh-CN"/>
        </w:rPr>
        <w:t>2021</w:t>
      </w:r>
      <w:r>
        <w:rPr>
          <w:rFonts w:hint="eastAsia" w:asciiTheme="minorEastAsia" w:hAnsiTheme="minorEastAsia" w:eastAsiaTheme="minorEastAsia" w:cstheme="minorEastAsia"/>
          <w:bCs/>
          <w:color w:val="auto"/>
          <w:sz w:val="28"/>
          <w:szCs w:val="28"/>
          <w:highlight w:val="none"/>
          <w:lang w:eastAsia="zh-CN"/>
        </w:rPr>
        <w:t>年</w:t>
      </w:r>
      <w:r>
        <w:rPr>
          <w:rFonts w:hint="eastAsia" w:asciiTheme="minorEastAsia" w:hAnsiTheme="minorEastAsia" w:eastAsiaTheme="minorEastAsia" w:cstheme="minorEastAsia"/>
          <w:bCs/>
          <w:color w:val="auto"/>
          <w:sz w:val="28"/>
          <w:szCs w:val="28"/>
          <w:highlight w:val="none"/>
          <w:lang w:val="en-US" w:eastAsia="zh-CN"/>
        </w:rPr>
        <w:t>12</w:t>
      </w:r>
      <w:r>
        <w:rPr>
          <w:rFonts w:hint="eastAsia" w:asciiTheme="minorEastAsia" w:hAnsiTheme="minorEastAsia" w:eastAsiaTheme="minorEastAsia" w:cstheme="minorEastAsia"/>
          <w:bCs/>
          <w:color w:val="auto"/>
          <w:sz w:val="28"/>
          <w:szCs w:val="28"/>
          <w:highlight w:val="none"/>
          <w:lang w:eastAsia="zh-CN"/>
        </w:rPr>
        <w:t>月</w:t>
      </w:r>
      <w:r>
        <w:rPr>
          <w:rFonts w:hint="eastAsia" w:asciiTheme="minorEastAsia" w:hAnsiTheme="minorEastAsia" w:eastAsiaTheme="minorEastAsia" w:cstheme="minorEastAsia"/>
          <w:bCs/>
          <w:color w:val="auto"/>
          <w:sz w:val="28"/>
          <w:szCs w:val="28"/>
          <w:highlight w:val="none"/>
          <w:lang w:val="en-US" w:eastAsia="zh-CN"/>
        </w:rPr>
        <w:t>9</w:t>
      </w:r>
      <w:r>
        <w:rPr>
          <w:rFonts w:hint="eastAsia" w:asciiTheme="minorEastAsia" w:hAnsiTheme="minorEastAsia" w:eastAsiaTheme="minorEastAsia" w:cstheme="minorEastAsia"/>
          <w:bCs/>
          <w:color w:val="auto"/>
          <w:sz w:val="28"/>
          <w:szCs w:val="28"/>
          <w:highlight w:val="none"/>
          <w:lang w:eastAsia="zh-CN"/>
        </w:rPr>
        <w:t>日</w:t>
      </w:r>
    </w:p>
    <w:p>
      <w:pPr>
        <w:pStyle w:val="3"/>
        <w:spacing w:before="100" w:beforeAutospacing="1" w:after="100" w:afterAutospacing="1" w:line="360" w:lineRule="auto"/>
        <w:ind w:firstLine="0" w:firstLineChars="0"/>
        <w:jc w:val="center"/>
        <w:rPr>
          <w:rFonts w:hint="eastAsia"/>
          <w:color w:val="auto"/>
          <w:sz w:val="36"/>
          <w:highlight w:val="none"/>
        </w:rPr>
      </w:pPr>
    </w:p>
    <w:p>
      <w:pPr>
        <w:rPr>
          <w:rFonts w:hint="eastAsia"/>
          <w:color w:val="auto"/>
          <w:sz w:val="36"/>
          <w:highlight w:val="none"/>
        </w:rPr>
      </w:pPr>
    </w:p>
    <w:p>
      <w:pPr>
        <w:pStyle w:val="2"/>
        <w:rPr>
          <w:rFonts w:hint="eastAsia"/>
          <w:color w:val="auto"/>
          <w:sz w:val="36"/>
          <w:highlight w:val="none"/>
        </w:rPr>
      </w:pPr>
    </w:p>
    <w:p>
      <w:pPr>
        <w:pStyle w:val="2"/>
        <w:rPr>
          <w:rFonts w:hint="eastAsia"/>
          <w:color w:val="auto"/>
          <w:sz w:val="36"/>
          <w:highlight w:val="none"/>
        </w:rPr>
      </w:pPr>
    </w:p>
    <w:p>
      <w:pPr>
        <w:pStyle w:val="2"/>
        <w:rPr>
          <w:rFonts w:hint="eastAsia"/>
          <w:color w:val="auto"/>
          <w:sz w:val="36"/>
          <w:highlight w:val="none"/>
        </w:rPr>
      </w:pPr>
    </w:p>
    <w:p>
      <w:pPr>
        <w:pStyle w:val="2"/>
        <w:rPr>
          <w:rFonts w:hint="eastAsia"/>
          <w:color w:val="auto"/>
          <w:sz w:val="36"/>
          <w:highlight w:val="none"/>
        </w:rPr>
      </w:pPr>
    </w:p>
    <w:p>
      <w:pPr>
        <w:pStyle w:val="2"/>
        <w:rPr>
          <w:rFonts w:hint="eastAsia"/>
          <w:color w:val="auto"/>
          <w:sz w:val="36"/>
          <w:highlight w:val="none"/>
        </w:rPr>
      </w:pPr>
    </w:p>
    <w:p>
      <w:pPr>
        <w:pStyle w:val="2"/>
        <w:rPr>
          <w:rFonts w:hint="eastAsia"/>
          <w:color w:val="auto"/>
          <w:sz w:val="36"/>
          <w:highlight w:val="none"/>
        </w:rPr>
      </w:pPr>
    </w:p>
    <w:p>
      <w:pPr>
        <w:pStyle w:val="2"/>
        <w:rPr>
          <w:rFonts w:hint="eastAsia"/>
          <w:color w:val="auto"/>
          <w:sz w:val="36"/>
          <w:highlight w:val="none"/>
        </w:rPr>
      </w:pPr>
    </w:p>
    <w:p>
      <w:pPr>
        <w:pStyle w:val="2"/>
        <w:rPr>
          <w:rFonts w:hint="eastAsia"/>
          <w:color w:val="auto"/>
          <w:sz w:val="36"/>
          <w:highlight w:val="none"/>
        </w:rPr>
      </w:pPr>
    </w:p>
    <w:p>
      <w:pPr>
        <w:pStyle w:val="3"/>
        <w:spacing w:before="100" w:beforeAutospacing="1" w:after="100" w:afterAutospacing="1" w:line="360" w:lineRule="auto"/>
        <w:ind w:firstLine="0" w:firstLineChars="0"/>
        <w:jc w:val="center"/>
        <w:rPr>
          <w:color w:val="auto"/>
          <w:sz w:val="32"/>
          <w:szCs w:val="32"/>
          <w:highlight w:val="none"/>
        </w:rPr>
      </w:pPr>
      <w:r>
        <w:rPr>
          <w:rFonts w:hint="eastAsia"/>
          <w:color w:val="auto"/>
          <w:sz w:val="32"/>
          <w:szCs w:val="32"/>
          <w:highlight w:val="none"/>
        </w:rPr>
        <w:t>竞买申请书</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textAlignment w:val="auto"/>
        <w:rPr>
          <w:rFonts w:ascii="宋体" w:hAnsi="宋体"/>
          <w:color w:val="auto"/>
          <w:sz w:val="28"/>
          <w:szCs w:val="28"/>
          <w:highlight w:val="none"/>
        </w:rPr>
      </w:pPr>
      <w:r>
        <w:rPr>
          <w:rFonts w:hint="eastAsia" w:ascii="宋体" w:hAnsi="宋体"/>
          <w:color w:val="auto"/>
          <w:sz w:val="28"/>
          <w:szCs w:val="28"/>
          <w:highlight w:val="none"/>
        </w:rPr>
        <w:t>台州市产权交易所有限公司：</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经认真阅读《</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lang w:eastAsia="zh-CN"/>
        </w:rPr>
        <w:t>%股权</w:t>
      </w:r>
      <w:r>
        <w:rPr>
          <w:rFonts w:hint="eastAsia" w:ascii="宋体" w:hAnsi="宋体"/>
          <w:color w:val="auto"/>
          <w:sz w:val="28"/>
          <w:szCs w:val="28"/>
          <w:highlight w:val="none"/>
        </w:rPr>
        <w:t>转让文件》，对该转让文件无异议，对转让标的已作详细了解并对己方所作承诺负法律责任。特申请参加</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lang w:eastAsia="zh-CN"/>
        </w:rPr>
        <w:t>%</w:t>
      </w:r>
      <w:r>
        <w:rPr>
          <w:rFonts w:hint="eastAsia" w:ascii="宋体" w:hAnsi="宋体"/>
          <w:color w:val="auto"/>
          <w:sz w:val="28"/>
          <w:szCs w:val="28"/>
          <w:highlight w:val="none"/>
        </w:rPr>
        <w:t>股权竞买，遵守履行贵公司提出的</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lang w:eastAsia="zh-CN"/>
        </w:rPr>
        <w:t>%股权</w:t>
      </w:r>
      <w:r>
        <w:rPr>
          <w:rFonts w:hint="eastAsia" w:ascii="宋体" w:hAnsi="宋体"/>
          <w:color w:val="auto"/>
          <w:sz w:val="28"/>
          <w:szCs w:val="28"/>
          <w:highlight w:val="none"/>
        </w:rPr>
        <w:t>转让文件及其他有关程序、事项，并保证遵守我方所承诺的要求与规定履行。</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竞买申请人（盖章）：</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法定代表人：                     身份证号：</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委托代理人：                     身份证号：</w:t>
      </w:r>
    </w:p>
    <w:p>
      <w:pPr>
        <w:keepNext w:val="0"/>
        <w:keepLines w:val="0"/>
        <w:pageBreakBefore w:val="0"/>
        <w:widowControl w:val="0"/>
        <w:kinsoku/>
        <w:wordWrap/>
        <w:overflowPunct/>
        <w:topLinePunct w:val="0"/>
        <w:autoSpaceDE/>
        <w:autoSpaceDN/>
        <w:bidi w:val="0"/>
        <w:adjustRightInd/>
        <w:snapToGrid/>
        <w:spacing w:line="620" w:lineRule="exact"/>
        <w:ind w:firstLine="637" w:firstLineChars="177"/>
        <w:textAlignment w:val="auto"/>
        <w:rPr>
          <w:rFonts w:ascii="宋体" w:hAnsi="宋体"/>
          <w:color w:val="auto"/>
          <w:sz w:val="28"/>
          <w:szCs w:val="28"/>
          <w:highlight w:val="none"/>
        </w:rPr>
      </w:pPr>
      <w:r>
        <w:rPr>
          <w:rFonts w:hint="eastAsia" w:ascii="宋体" w:hAnsi="宋体"/>
          <w:color w:val="auto"/>
          <w:spacing w:val="40"/>
          <w:sz w:val="28"/>
          <w:szCs w:val="28"/>
          <w:highlight w:val="none"/>
        </w:rPr>
        <w:t>联系地址：</w:t>
      </w:r>
      <w:r>
        <w:rPr>
          <w:rFonts w:hint="eastAsia" w:ascii="宋体" w:hAnsi="宋体"/>
          <w:color w:val="auto"/>
          <w:sz w:val="28"/>
          <w:szCs w:val="28"/>
          <w:highlight w:val="none"/>
        </w:rPr>
        <w:t xml:space="preserve">                    邮政编码：</w:t>
      </w:r>
    </w:p>
    <w:p>
      <w:pPr>
        <w:keepNext w:val="0"/>
        <w:keepLines w:val="0"/>
        <w:pageBreakBefore w:val="0"/>
        <w:widowControl w:val="0"/>
        <w:kinsoku/>
        <w:wordWrap/>
        <w:overflowPunct/>
        <w:topLinePunct w:val="0"/>
        <w:autoSpaceDE/>
        <w:autoSpaceDN/>
        <w:bidi w:val="0"/>
        <w:adjustRightInd/>
        <w:snapToGrid/>
        <w:spacing w:line="620" w:lineRule="exact"/>
        <w:ind w:firstLine="637" w:firstLineChars="177"/>
        <w:textAlignment w:val="auto"/>
        <w:rPr>
          <w:rFonts w:ascii="宋体" w:hAnsi="宋体"/>
          <w:color w:val="auto"/>
          <w:sz w:val="28"/>
          <w:szCs w:val="28"/>
          <w:highlight w:val="none"/>
        </w:rPr>
      </w:pPr>
      <w:r>
        <w:rPr>
          <w:rFonts w:hint="eastAsia" w:ascii="宋体" w:hAnsi="宋体"/>
          <w:color w:val="auto"/>
          <w:spacing w:val="40"/>
          <w:sz w:val="28"/>
          <w:szCs w:val="28"/>
          <w:highlight w:val="none"/>
        </w:rPr>
        <w:t>联系电话：</w:t>
      </w:r>
      <w:r>
        <w:rPr>
          <w:rFonts w:hint="eastAsia" w:ascii="宋体" w:hAnsi="宋体"/>
          <w:color w:val="auto"/>
          <w:sz w:val="28"/>
          <w:szCs w:val="28"/>
          <w:highlight w:val="none"/>
        </w:rPr>
        <w:t xml:space="preserve">                    传    真：</w:t>
      </w:r>
      <w:r>
        <w:rPr>
          <w:rFonts w:ascii="宋体" w:hAnsi="宋体"/>
          <w:color w:val="auto"/>
          <w:sz w:val="28"/>
          <w:szCs w:val="28"/>
          <w:highlight w:val="none"/>
        </w:rPr>
        <w:br w:type="textWrapping"/>
      </w:r>
      <w:r>
        <w:rPr>
          <w:rFonts w:hint="eastAsia" w:ascii="宋体" w:hAnsi="宋体"/>
          <w:color w:val="auto"/>
          <w:sz w:val="28"/>
          <w:szCs w:val="28"/>
          <w:highlight w:val="none"/>
        </w:rPr>
        <w:t xml:space="preserve">                                     </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年   月   日</w:t>
      </w:r>
    </w:p>
    <w:p>
      <w:pPr>
        <w:keepNext w:val="0"/>
        <w:keepLines w:val="0"/>
        <w:pageBreakBefore w:val="0"/>
        <w:widowControl w:val="0"/>
        <w:kinsoku/>
        <w:wordWrap/>
        <w:overflowPunct/>
        <w:topLinePunct w:val="0"/>
        <w:autoSpaceDE/>
        <w:autoSpaceDN/>
        <w:bidi w:val="0"/>
        <w:adjustRightInd/>
        <w:snapToGrid/>
        <w:spacing w:line="620" w:lineRule="exact"/>
        <w:ind w:firstLine="0" w:firstLineChars="0"/>
        <w:jc w:val="left"/>
        <w:textAlignment w:val="auto"/>
        <w:rPr>
          <w:rFonts w:ascii="宋体" w:hAnsi="宋体"/>
          <w:color w:val="auto"/>
          <w:sz w:val="28"/>
          <w:szCs w:val="28"/>
          <w:highlight w:val="none"/>
        </w:rPr>
      </w:pPr>
      <w:bookmarkStart w:id="17" w:name="_Hlk25273447"/>
      <w:r>
        <w:rPr>
          <w:rFonts w:hint="eastAsia" w:ascii="宋体" w:hAnsi="宋体"/>
          <w:color w:val="auto"/>
          <w:sz w:val="28"/>
          <w:szCs w:val="28"/>
          <w:highlight w:val="none"/>
        </w:rPr>
        <w:t>附件：</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□企业（公司）法人主体资格证明文件，包含企业法人营业执照副本的复印件，法定代表人及授权委托人的身份证明及授权委托书、公司章程、相关决议。</w:t>
      </w:r>
      <w:r>
        <w:rPr>
          <w:rFonts w:hint="eastAsia" w:ascii="宋体" w:hAnsi="宋体"/>
          <w:bCs/>
          <w:color w:val="auto"/>
          <w:sz w:val="28"/>
          <w:szCs w:val="28"/>
          <w:highlight w:val="none"/>
        </w:rPr>
        <w:t>自然人须持本人身份证明及相关资料</w:t>
      </w:r>
      <w:r>
        <w:rPr>
          <w:rFonts w:hint="eastAsia" w:ascii="宋体" w:hAnsi="宋体"/>
          <w:bCs/>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□符合受让条件的有关证明及资料</w:t>
      </w:r>
      <w:r>
        <w:rPr>
          <w:rFonts w:hint="eastAsia" w:ascii="宋体" w:hAnsi="宋体"/>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w:t>
      </w:r>
      <w:bookmarkStart w:id="18" w:name="待定17"/>
      <w:r>
        <w:rPr>
          <w:rFonts w:hint="eastAsia" w:ascii="宋体" w:hAnsi="宋体"/>
          <w:color w:val="auto"/>
          <w:sz w:val="28"/>
          <w:szCs w:val="28"/>
          <w:highlight w:val="none"/>
        </w:rPr>
        <w:t>竞买保证金</w:t>
      </w:r>
      <w:r>
        <w:rPr>
          <w:rFonts w:hint="eastAsia" w:ascii="宋体" w:hAnsi="宋体"/>
          <w:color w:val="auto"/>
          <w:sz w:val="28"/>
          <w:szCs w:val="28"/>
          <w:highlight w:val="none"/>
          <w:lang w:val="en-US" w:eastAsia="zh-CN"/>
        </w:rPr>
        <w:t>1,920,000.00</w:t>
      </w:r>
      <w:r>
        <w:rPr>
          <w:rFonts w:hint="eastAsia" w:ascii="宋体" w:hAnsi="宋体"/>
          <w:color w:val="auto"/>
          <w:sz w:val="28"/>
          <w:szCs w:val="28"/>
          <w:highlight w:val="none"/>
          <w:u w:val="none"/>
        </w:rPr>
        <w:t>元</w:t>
      </w:r>
      <w:r>
        <w:rPr>
          <w:rFonts w:hint="eastAsia" w:ascii="宋体" w:hAnsi="宋体"/>
          <w:color w:val="auto"/>
          <w:sz w:val="28"/>
          <w:szCs w:val="28"/>
          <w:highlight w:val="none"/>
        </w:rPr>
        <w:t>人民币（汇单）</w:t>
      </w:r>
      <w:bookmarkEnd w:id="18"/>
      <w:r>
        <w:rPr>
          <w:rFonts w:hint="eastAsia" w:ascii="宋体" w:hAnsi="宋体"/>
          <w:color w:val="auto"/>
          <w:sz w:val="28"/>
          <w:szCs w:val="28"/>
          <w:highlight w:val="none"/>
          <w:lang w:eastAsia="zh-CN"/>
        </w:rPr>
        <w:t>。</w:t>
      </w:r>
    </w:p>
    <w:p>
      <w:pPr>
        <w:keepNext w:val="0"/>
        <w:keepLines w:val="0"/>
        <w:pageBreakBefore w:val="0"/>
        <w:widowControl w:val="0"/>
        <w:kinsoku/>
        <w:wordWrap/>
        <w:overflowPunct/>
        <w:topLinePunct w:val="0"/>
        <w:autoSpaceDE/>
        <w:autoSpaceDN/>
        <w:bidi w:val="0"/>
        <w:adjustRightInd/>
        <w:snapToGrid/>
        <w:spacing w:line="620" w:lineRule="exact"/>
        <w:ind w:firstLine="560"/>
        <w:textAlignment w:val="auto"/>
        <w:rPr>
          <w:rFonts w:ascii="宋体" w:hAnsi="宋体"/>
          <w:color w:val="auto"/>
          <w:sz w:val="28"/>
          <w:szCs w:val="28"/>
          <w:highlight w:val="none"/>
        </w:rPr>
      </w:pPr>
      <w:r>
        <w:rPr>
          <w:rFonts w:hint="eastAsia" w:ascii="宋体" w:hAnsi="宋体"/>
          <w:color w:val="auto"/>
          <w:sz w:val="28"/>
          <w:szCs w:val="28"/>
          <w:highlight w:val="none"/>
        </w:rPr>
        <w:t>备注：以上附件如非原件为复印件的应加盖公章或签名。</w:t>
      </w:r>
    </w:p>
    <w:bookmarkEnd w:id="17"/>
    <w:p>
      <w:pPr>
        <w:pStyle w:val="3"/>
        <w:spacing w:before="100" w:beforeAutospacing="1" w:after="100" w:afterAutospacing="1" w:line="360" w:lineRule="auto"/>
        <w:ind w:firstLine="0" w:firstLineChars="0"/>
        <w:jc w:val="center"/>
        <w:rPr>
          <w:color w:val="auto"/>
          <w:sz w:val="36"/>
          <w:highlight w:val="none"/>
        </w:rPr>
      </w:pPr>
      <w:bookmarkStart w:id="19" w:name="_Toc7306"/>
      <w:bookmarkStart w:id="20" w:name="_Toc30560"/>
      <w:bookmarkStart w:id="21" w:name="_Toc528773693"/>
      <w:r>
        <w:rPr>
          <w:rFonts w:hint="eastAsia"/>
          <w:color w:val="auto"/>
          <w:sz w:val="32"/>
          <w:szCs w:val="32"/>
          <w:highlight w:val="none"/>
        </w:rPr>
        <w:t>竞买人承诺函</w:t>
      </w:r>
      <w:bookmarkEnd w:id="19"/>
      <w:bookmarkEnd w:id="20"/>
      <w:bookmarkEnd w:id="21"/>
    </w:p>
    <w:p>
      <w:pPr>
        <w:ind w:firstLine="0" w:firstLineChars="0"/>
        <w:rPr>
          <w:rFonts w:ascii="宋体" w:hAnsi="宋体"/>
          <w:b/>
          <w:color w:val="auto"/>
          <w:sz w:val="28"/>
          <w:szCs w:val="28"/>
          <w:highlight w:val="none"/>
        </w:rPr>
      </w:pPr>
      <w:r>
        <w:rPr>
          <w:rFonts w:hint="eastAsia" w:ascii="宋体" w:hAnsi="宋体"/>
          <w:color w:val="auto"/>
          <w:sz w:val="28"/>
          <w:szCs w:val="28"/>
          <w:highlight w:val="none"/>
        </w:rPr>
        <w:t>台州市产权交易所有限公司：</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经认真阅读贵公司所提供的“</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lang w:eastAsia="zh-CN"/>
        </w:rPr>
        <w:t>%股权</w:t>
      </w:r>
      <w:r>
        <w:rPr>
          <w:rFonts w:hint="eastAsia" w:ascii="宋体" w:hAnsi="宋体"/>
          <w:color w:val="auto"/>
          <w:sz w:val="28"/>
          <w:szCs w:val="28"/>
          <w:highlight w:val="none"/>
        </w:rPr>
        <w:t>转让文件”以及贵公司提出的转让须知与网络竞价规则等</w:t>
      </w:r>
      <w:r>
        <w:rPr>
          <w:rFonts w:hint="eastAsia" w:ascii="宋体" w:hAnsi="宋体"/>
          <w:color w:val="auto"/>
          <w:sz w:val="28"/>
          <w:szCs w:val="28"/>
          <w:highlight w:val="none"/>
          <w:lang w:eastAsia="zh-CN"/>
        </w:rPr>
        <w:t>，对上述文件已充分知悉且无异议</w:t>
      </w:r>
      <w:r>
        <w:rPr>
          <w:rFonts w:hint="eastAsia" w:ascii="宋体" w:hAnsi="宋体"/>
          <w:color w:val="auto"/>
          <w:sz w:val="28"/>
          <w:szCs w:val="28"/>
          <w:highlight w:val="none"/>
        </w:rPr>
        <w:t>，我方愿意接受转让方提出的竞价条件及“</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lang w:eastAsia="zh-CN"/>
        </w:rPr>
        <w:t>%股权</w:t>
      </w:r>
      <w:r>
        <w:rPr>
          <w:rFonts w:hint="eastAsia" w:ascii="宋体" w:hAnsi="宋体"/>
          <w:color w:val="auto"/>
          <w:sz w:val="28"/>
          <w:szCs w:val="28"/>
          <w:highlight w:val="none"/>
        </w:rPr>
        <w:t>转让文件”中涉及的相关事项，现我方将有关事项承诺如下：</w:t>
      </w:r>
    </w:p>
    <w:p>
      <w:pPr>
        <w:ind w:firstLine="560"/>
        <w:rPr>
          <w:rFonts w:ascii="宋体" w:hAnsi="宋体"/>
          <w:color w:val="auto"/>
          <w:sz w:val="28"/>
          <w:szCs w:val="28"/>
          <w:highlight w:val="none"/>
        </w:rPr>
      </w:pPr>
      <w:r>
        <w:rPr>
          <w:rFonts w:hint="eastAsia" w:ascii="宋体" w:hAnsi="宋体"/>
          <w:color w:val="auto"/>
          <w:sz w:val="28"/>
          <w:szCs w:val="28"/>
          <w:highlight w:val="none"/>
        </w:rPr>
        <w:t>一、我方所提交的报名资料和文件符合竞价条件的有关证明为真实、合法、有效（含有关附件），我方确保我方竞买的主体资格和所提供的所有资料均能符合审批机关、工商管理部门对（企业）公司法人的股东主体资格的要求，否则我方所交保证金由转让方没收，并承担由此造成的违约责任及相关损失。</w:t>
      </w:r>
    </w:p>
    <w:p>
      <w:pPr>
        <w:ind w:firstLine="560"/>
        <w:rPr>
          <w:rFonts w:ascii="宋体" w:hAnsi="宋体"/>
          <w:color w:val="auto"/>
          <w:sz w:val="28"/>
          <w:szCs w:val="28"/>
          <w:highlight w:val="none"/>
        </w:rPr>
      </w:pPr>
      <w:r>
        <w:rPr>
          <w:rFonts w:hint="eastAsia" w:ascii="宋体" w:hAnsi="宋体"/>
          <w:color w:val="auto"/>
          <w:sz w:val="28"/>
          <w:szCs w:val="28"/>
          <w:highlight w:val="none"/>
        </w:rPr>
        <w:t>二、我方已详实了解本次转让标的有关情况，并保证成交后所支付的资金来源合法。</w:t>
      </w:r>
    </w:p>
    <w:p>
      <w:pPr>
        <w:ind w:firstLine="560"/>
        <w:rPr>
          <w:rFonts w:ascii="宋体" w:hAnsi="宋体"/>
          <w:color w:val="auto"/>
          <w:sz w:val="28"/>
          <w:szCs w:val="28"/>
          <w:highlight w:val="none"/>
        </w:rPr>
      </w:pPr>
      <w:r>
        <w:rPr>
          <w:rFonts w:hint="eastAsia" w:ascii="宋体" w:hAnsi="宋体"/>
          <w:color w:val="auto"/>
          <w:sz w:val="28"/>
          <w:szCs w:val="28"/>
          <w:highlight w:val="none"/>
        </w:rPr>
        <w:t>三、我方已阅读并了解《成交确认书》、《股权转让合同》及“</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lang w:eastAsia="zh-CN"/>
        </w:rPr>
        <w:t>%股权</w:t>
      </w:r>
      <w:r>
        <w:rPr>
          <w:rFonts w:hint="eastAsia" w:ascii="宋体" w:hAnsi="宋体"/>
          <w:color w:val="auto"/>
          <w:sz w:val="28"/>
          <w:szCs w:val="28"/>
          <w:highlight w:val="none"/>
        </w:rPr>
        <w:t>转让文件”并不持异议，成交后按上述条款履行义务。</w:t>
      </w:r>
    </w:p>
    <w:p>
      <w:pPr>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四、作为该项目的竞买人，我方承诺接受参与网络竞价的方式，竞得后保证二个工作日内签订《成交确认书》、《股权转让合同》并履行相关义务</w:t>
      </w:r>
      <w:r>
        <w:rPr>
          <w:rFonts w:hint="eastAsia" w:ascii="宋体" w:hAnsi="宋体"/>
          <w:color w:val="auto"/>
          <w:sz w:val="28"/>
          <w:szCs w:val="28"/>
          <w:highlight w:val="none"/>
          <w:lang w:eastAsia="zh-CN"/>
        </w:rPr>
        <w:t>。</w:t>
      </w:r>
    </w:p>
    <w:p>
      <w:pPr>
        <w:ind w:firstLine="560"/>
        <w:rPr>
          <w:rFonts w:ascii="宋体" w:hAnsi="宋体"/>
          <w:color w:val="auto"/>
          <w:sz w:val="28"/>
          <w:szCs w:val="28"/>
          <w:highlight w:val="none"/>
        </w:rPr>
      </w:pPr>
      <w:r>
        <w:rPr>
          <w:rFonts w:hint="eastAsia" w:ascii="宋体" w:hAnsi="宋体"/>
          <w:color w:val="auto"/>
          <w:sz w:val="28"/>
          <w:szCs w:val="28"/>
          <w:highlight w:val="none"/>
        </w:rPr>
        <w:t>五、若我方竞得，所缴纳的竞买保证金根据合同的约定可抵作成交价款的支付，交易佣金按标的成交额</w:t>
      </w:r>
      <w:r>
        <w:rPr>
          <w:rFonts w:hint="eastAsia" w:ascii="宋体" w:hAnsi="宋体"/>
          <w:color w:val="auto"/>
          <w:sz w:val="28"/>
          <w:szCs w:val="28"/>
          <w:highlight w:val="none"/>
          <w:lang w:val="en-US" w:eastAsia="zh-CN"/>
        </w:rPr>
        <w:t>1.87</w:t>
      </w:r>
      <w:r>
        <w:rPr>
          <w:rFonts w:hint="eastAsia" w:ascii="宋体" w:hAnsi="宋体"/>
          <w:color w:val="auto"/>
          <w:sz w:val="28"/>
          <w:szCs w:val="28"/>
          <w:highlight w:val="none"/>
        </w:rPr>
        <w:t>%计算支付。</w:t>
      </w:r>
    </w:p>
    <w:p>
      <w:pPr>
        <w:ind w:firstLine="560"/>
        <w:rPr>
          <w:rFonts w:hint="eastAsia" w:ascii="宋体" w:hAnsi="宋体" w:eastAsia="宋体" w:cs="Times New Roman"/>
          <w:color w:val="auto"/>
          <w:sz w:val="28"/>
          <w:szCs w:val="28"/>
          <w:highlight w:val="none"/>
        </w:rPr>
      </w:pPr>
      <w:r>
        <w:rPr>
          <w:rFonts w:hint="eastAsia" w:ascii="宋体" w:hAnsi="宋体" w:eastAsia="宋体" w:cs="Times New Roman"/>
          <w:color w:val="auto"/>
          <w:sz w:val="28"/>
          <w:szCs w:val="28"/>
          <w:highlight w:val="none"/>
        </w:rPr>
        <w:t>六、如因正当理由在竞价会开始前撤回转让标的的，我方愿意接受该事实，并配合贵公司办理退还保证金等手续，不再向贵公司追索保证金利息及其他任何费用与责任。</w:t>
      </w:r>
    </w:p>
    <w:p>
      <w:pPr>
        <w:ind w:firstLine="560"/>
        <w:rPr>
          <w:rFonts w:ascii="宋体" w:hAnsi="宋体"/>
          <w:color w:val="auto"/>
          <w:sz w:val="28"/>
          <w:szCs w:val="28"/>
          <w:highlight w:val="none"/>
        </w:rPr>
      </w:pPr>
      <w:r>
        <w:rPr>
          <w:rFonts w:hint="eastAsia" w:ascii="宋体" w:hAnsi="宋体"/>
          <w:color w:val="auto"/>
          <w:sz w:val="28"/>
          <w:szCs w:val="28"/>
          <w:highlight w:val="none"/>
        </w:rPr>
        <w:t>七、如在竞价该项目的过程中发生争议需提起诉讼或仲裁，除贵公司存在重大过错、故意行为之外，我方承诺不将贵公司列为相关诉讼、仲裁的被告，被申请人和第三人。</w:t>
      </w: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p>
    <w:p>
      <w:pPr>
        <w:ind w:right="1200" w:firstLine="560"/>
        <w:jc w:val="right"/>
        <w:rPr>
          <w:rFonts w:ascii="宋体" w:hAnsi="宋体"/>
          <w:color w:val="auto"/>
          <w:sz w:val="28"/>
          <w:szCs w:val="28"/>
          <w:highlight w:val="none"/>
        </w:rPr>
      </w:pPr>
      <w:r>
        <w:rPr>
          <w:rFonts w:hint="eastAsia" w:ascii="宋体" w:hAnsi="宋体"/>
          <w:color w:val="auto"/>
          <w:sz w:val="28"/>
          <w:szCs w:val="28"/>
          <w:highlight w:val="none"/>
        </w:rPr>
        <w:t>承诺人（签章）</w:t>
      </w:r>
    </w:p>
    <w:p>
      <w:pPr>
        <w:ind w:firstLine="560"/>
        <w:jc w:val="right"/>
        <w:rPr>
          <w:rFonts w:ascii="宋体" w:hAnsi="宋体"/>
          <w:color w:val="auto"/>
          <w:sz w:val="28"/>
          <w:szCs w:val="28"/>
          <w:highlight w:val="none"/>
        </w:rPr>
      </w:pPr>
      <w:r>
        <w:rPr>
          <w:rFonts w:hint="eastAsia" w:ascii="宋体" w:hAnsi="宋体"/>
          <w:color w:val="auto"/>
          <w:sz w:val="28"/>
          <w:szCs w:val="28"/>
          <w:highlight w:val="none"/>
        </w:rPr>
        <w:t>二○</w:t>
      </w:r>
      <w:r>
        <w:rPr>
          <w:rFonts w:hint="eastAsia" w:ascii="宋体" w:hAnsi="宋体"/>
          <w:color w:val="auto"/>
          <w:sz w:val="28"/>
          <w:szCs w:val="28"/>
          <w:highlight w:val="none"/>
          <w:lang w:eastAsia="zh-CN"/>
        </w:rPr>
        <w:t>二一</w:t>
      </w:r>
      <w:r>
        <w:rPr>
          <w:rFonts w:hint="eastAsia" w:ascii="宋体" w:hAnsi="宋体"/>
          <w:color w:val="auto"/>
          <w:sz w:val="28"/>
          <w:szCs w:val="28"/>
          <w:highlight w:val="none"/>
        </w:rPr>
        <w:t>年    月    日</w:t>
      </w:r>
    </w:p>
    <w:p>
      <w:pPr>
        <w:pStyle w:val="3"/>
        <w:spacing w:before="100" w:beforeAutospacing="1" w:after="100" w:afterAutospacing="1" w:line="360" w:lineRule="auto"/>
        <w:ind w:firstLine="0" w:firstLineChars="0"/>
        <w:jc w:val="center"/>
        <w:rPr>
          <w:color w:val="auto"/>
          <w:sz w:val="36"/>
          <w:highlight w:val="none"/>
        </w:rPr>
      </w:pPr>
      <w:r>
        <w:rPr>
          <w:rFonts w:hint="eastAsia" w:ascii="宋体" w:hAnsi="宋体"/>
          <w:color w:val="auto"/>
          <w:sz w:val="28"/>
          <w:szCs w:val="28"/>
          <w:highlight w:val="none"/>
        </w:rPr>
        <w:br w:type="page"/>
      </w:r>
      <w:bookmarkStart w:id="22" w:name="_Toc4653"/>
      <w:bookmarkStart w:id="23" w:name="_Toc5554"/>
      <w:bookmarkStart w:id="24" w:name="_Toc528773694"/>
      <w:r>
        <w:rPr>
          <w:rFonts w:hint="eastAsia"/>
          <w:color w:val="auto"/>
          <w:sz w:val="32"/>
          <w:szCs w:val="32"/>
          <w:highlight w:val="none"/>
        </w:rPr>
        <w:t>成交确认书</w:t>
      </w:r>
      <w:bookmarkEnd w:id="22"/>
      <w:bookmarkEnd w:id="23"/>
      <w:bookmarkEnd w:id="24"/>
    </w:p>
    <w:p>
      <w:pPr>
        <w:spacing w:line="360" w:lineRule="auto"/>
        <w:ind w:firstLine="0" w:firstLineChars="0"/>
        <w:rPr>
          <w:rFonts w:ascii="宋体" w:hAnsi="宋体"/>
          <w:b/>
          <w:color w:val="auto"/>
          <w:sz w:val="28"/>
          <w:szCs w:val="28"/>
          <w:highlight w:val="none"/>
        </w:rPr>
      </w:pPr>
      <w:r>
        <w:rPr>
          <w:rFonts w:hint="eastAsia" w:ascii="宋体" w:hAnsi="宋体"/>
          <w:b/>
          <w:color w:val="auto"/>
          <w:sz w:val="28"/>
          <w:szCs w:val="28"/>
          <w:highlight w:val="none"/>
        </w:rPr>
        <w:t>挂牌方：台州市产权交易所有限公司</w:t>
      </w:r>
    </w:p>
    <w:p>
      <w:pPr>
        <w:spacing w:line="360" w:lineRule="auto"/>
        <w:ind w:firstLine="0" w:firstLineChars="0"/>
        <w:rPr>
          <w:rFonts w:ascii="宋体" w:hAnsi="宋体"/>
          <w:color w:val="auto"/>
          <w:sz w:val="28"/>
          <w:szCs w:val="28"/>
          <w:highlight w:val="none"/>
        </w:rPr>
      </w:pPr>
      <w:r>
        <w:rPr>
          <w:rFonts w:hint="eastAsia" w:ascii="宋体" w:hAnsi="宋体"/>
          <w:color w:val="auto"/>
          <w:sz w:val="28"/>
          <w:szCs w:val="28"/>
          <w:highlight w:val="none"/>
        </w:rPr>
        <w:t xml:space="preserve">受让方：                         联系电话：  </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受让方</w:t>
      </w:r>
      <w:r>
        <w:rPr>
          <w:rFonts w:hint="eastAsia" w:ascii="宋体" w:hAnsi="宋体"/>
          <w:color w:val="auto"/>
          <w:sz w:val="28"/>
          <w:szCs w:val="28"/>
          <w:highlight w:val="none"/>
          <w:lang w:val="en-US" w:eastAsia="zh-CN"/>
        </w:rPr>
        <w:t>于2022年1月7日（星期五）</w:t>
      </w:r>
      <w:r>
        <w:rPr>
          <w:rFonts w:hint="eastAsia" w:ascii="宋体" w:hAnsi="宋体"/>
          <w:color w:val="auto"/>
          <w:sz w:val="28"/>
          <w:szCs w:val="28"/>
          <w:highlight w:val="none"/>
        </w:rPr>
        <w:t>的</w:t>
      </w:r>
      <w:bookmarkStart w:id="25" w:name="待定19"/>
      <w:r>
        <w:rPr>
          <w:rFonts w:hint="eastAsia" w:ascii="宋体" w:hAnsi="宋体"/>
          <w:color w:val="auto"/>
          <w:sz w:val="28"/>
          <w:szCs w:val="28"/>
          <w:highlight w:val="none"/>
        </w:rPr>
        <w:t>(台交所挂〔20</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34</w:t>
      </w:r>
      <w:r>
        <w:rPr>
          <w:rFonts w:hint="eastAsia" w:ascii="宋体" w:hAnsi="宋体"/>
          <w:color w:val="auto"/>
          <w:sz w:val="28"/>
          <w:szCs w:val="28"/>
          <w:highlight w:val="none"/>
        </w:rPr>
        <w:t>号)</w:t>
      </w:r>
      <w:bookmarkEnd w:id="25"/>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lang w:eastAsia="zh-CN"/>
        </w:rPr>
        <w:t>%股权转</w:t>
      </w:r>
      <w:r>
        <w:rPr>
          <w:rFonts w:hint="eastAsia" w:ascii="宋体" w:hAnsi="宋体"/>
          <w:color w:val="auto"/>
          <w:sz w:val="28"/>
          <w:szCs w:val="28"/>
          <w:highlight w:val="none"/>
        </w:rPr>
        <w:t>让竞价活动中，受让以下股权，根据国务院《企业国有资产交易监督管理办法》和相关法律法规规定，双方签订成交确认书如下：</w:t>
      </w:r>
    </w:p>
    <w:p>
      <w:pPr>
        <w:numPr>
          <w:ilvl w:val="0"/>
          <w:numId w:val="7"/>
        </w:numPr>
        <w:spacing w:line="360" w:lineRule="auto"/>
        <w:ind w:firstLine="560"/>
        <w:rPr>
          <w:rFonts w:ascii="宋体" w:hAnsi="宋体"/>
          <w:color w:val="auto"/>
          <w:sz w:val="28"/>
          <w:szCs w:val="28"/>
          <w:highlight w:val="none"/>
          <w:lang w:val="ms-MY"/>
        </w:rPr>
      </w:pPr>
      <w:r>
        <w:rPr>
          <w:rFonts w:hint="eastAsia" w:ascii="宋体" w:hAnsi="宋体"/>
          <w:color w:val="auto"/>
          <w:sz w:val="28"/>
          <w:szCs w:val="28"/>
          <w:highlight w:val="none"/>
        </w:rPr>
        <w:t>受让方受让标的：</w:t>
      </w:r>
      <w:r>
        <w:rPr>
          <w:rFonts w:hint="eastAsia" w:ascii="宋体" w:hAnsi="宋体"/>
          <w:color w:val="auto"/>
          <w:sz w:val="28"/>
          <w:szCs w:val="28"/>
          <w:highlight w:val="none"/>
          <w:u w:val="single"/>
        </w:rPr>
        <w:t>玉环市国有资产投资经营集团有限公司持有的</w:t>
      </w:r>
      <w:r>
        <w:rPr>
          <w:rFonts w:hint="eastAsia" w:ascii="宋体" w:hAnsi="宋体"/>
          <w:color w:val="auto"/>
          <w:sz w:val="28"/>
          <w:szCs w:val="28"/>
          <w:highlight w:val="none"/>
          <w:u w:val="single"/>
          <w:lang w:eastAsia="zh-CN"/>
        </w:rPr>
        <w:t>台州四强新型建材有限公司</w:t>
      </w:r>
      <w:r>
        <w:rPr>
          <w:rFonts w:hint="eastAsia" w:ascii="宋体" w:hAnsi="宋体"/>
          <w:color w:val="auto"/>
          <w:sz w:val="28"/>
          <w:szCs w:val="28"/>
          <w:highlight w:val="none"/>
          <w:u w:val="single"/>
          <w:lang w:val="en-US" w:eastAsia="zh-CN"/>
        </w:rPr>
        <w:t>10</w:t>
      </w:r>
      <w:r>
        <w:rPr>
          <w:rFonts w:hint="eastAsia" w:ascii="宋体" w:hAnsi="宋体"/>
          <w:color w:val="auto"/>
          <w:sz w:val="28"/>
          <w:szCs w:val="28"/>
          <w:highlight w:val="none"/>
          <w:u w:val="single"/>
          <w:lang w:eastAsia="zh-CN"/>
        </w:rPr>
        <w:t>%股权</w:t>
      </w:r>
      <w:r>
        <w:rPr>
          <w:rFonts w:hint="eastAsia" w:ascii="宋体" w:hAnsi="宋体"/>
          <w:color w:val="auto"/>
          <w:sz w:val="28"/>
          <w:szCs w:val="28"/>
          <w:highlight w:val="none"/>
          <w:u w:val="single"/>
          <w:lang w:val="en-US" w:eastAsia="zh-CN"/>
        </w:rPr>
        <w:t>转让</w:t>
      </w:r>
      <w:r>
        <w:rPr>
          <w:rFonts w:hint="eastAsia" w:ascii="宋体" w:hAnsi="宋体"/>
          <w:color w:val="auto"/>
          <w:sz w:val="28"/>
          <w:szCs w:val="28"/>
          <w:highlight w:val="none"/>
          <w:u w:val="single"/>
          <w:lang w:val="ms-MY"/>
        </w:rPr>
        <w:t>。</w:t>
      </w:r>
    </w:p>
    <w:p>
      <w:pPr>
        <w:numPr>
          <w:ilvl w:val="0"/>
          <w:numId w:val="7"/>
        </w:numPr>
        <w:spacing w:line="360" w:lineRule="auto"/>
        <w:ind w:firstLine="560"/>
        <w:rPr>
          <w:rFonts w:hint="eastAsia" w:ascii="宋体" w:hAnsi="宋体"/>
          <w:color w:val="auto"/>
          <w:sz w:val="28"/>
          <w:szCs w:val="28"/>
          <w:highlight w:val="none"/>
          <w:lang w:val="ms-MY"/>
        </w:rPr>
      </w:pPr>
      <w:r>
        <w:rPr>
          <w:rFonts w:hint="eastAsia" w:ascii="宋体" w:hAnsi="宋体"/>
          <w:color w:val="auto"/>
          <w:sz w:val="28"/>
          <w:szCs w:val="28"/>
          <w:highlight w:val="none"/>
          <w:lang w:val="ms-MY"/>
        </w:rPr>
        <w:t>成交金额：本转让标的成交金额为小写￥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lang w:val="ms-MY"/>
        </w:rPr>
        <w:t>万元（大写：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lang w:val="ms-MY"/>
        </w:rPr>
        <w:t>元整 ）。</w:t>
      </w:r>
    </w:p>
    <w:p>
      <w:pPr>
        <w:numPr>
          <w:ilvl w:val="0"/>
          <w:numId w:val="7"/>
        </w:numPr>
        <w:spacing w:line="360" w:lineRule="auto"/>
        <w:ind w:firstLine="560"/>
        <w:rPr>
          <w:rFonts w:hint="eastAsia" w:ascii="宋体" w:hAnsi="宋体"/>
          <w:color w:val="auto"/>
          <w:sz w:val="28"/>
          <w:szCs w:val="28"/>
          <w:highlight w:val="none"/>
          <w:lang w:val="ms-MY"/>
        </w:rPr>
      </w:pPr>
      <w:r>
        <w:rPr>
          <w:rFonts w:hint="eastAsia" w:ascii="宋体" w:hAnsi="宋体"/>
          <w:color w:val="auto"/>
          <w:sz w:val="28"/>
          <w:szCs w:val="28"/>
          <w:highlight w:val="none"/>
          <w:lang w:val="ms-MY"/>
        </w:rPr>
        <w:t>交易佣金为成交额的</w:t>
      </w:r>
      <w:r>
        <w:rPr>
          <w:rFonts w:hint="eastAsia" w:ascii="宋体" w:hAnsi="宋体"/>
          <w:color w:val="auto"/>
          <w:sz w:val="28"/>
          <w:szCs w:val="28"/>
          <w:highlight w:val="none"/>
          <w:lang w:val="en-US" w:eastAsia="zh-CN"/>
        </w:rPr>
        <w:t>1.87</w:t>
      </w:r>
      <w:r>
        <w:rPr>
          <w:rFonts w:hint="eastAsia" w:ascii="宋体" w:hAnsi="宋体"/>
          <w:color w:val="auto"/>
          <w:sz w:val="28"/>
          <w:szCs w:val="28"/>
          <w:highlight w:val="none"/>
          <w:lang w:val="ms-MY"/>
        </w:rPr>
        <w:t>%，即小写￥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lang w:val="ms-MY"/>
        </w:rPr>
        <w:t>万元（大写：</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lang w:val="ms-MY"/>
        </w:rPr>
        <w:t>元整）</w:t>
      </w:r>
      <w:r>
        <w:rPr>
          <w:rFonts w:hint="eastAsia" w:ascii="宋体" w:hAnsi="宋体"/>
          <w:color w:val="auto"/>
          <w:sz w:val="28"/>
          <w:szCs w:val="28"/>
          <w:highlight w:val="none"/>
          <w:lang w:val="ms-MY" w:eastAsia="zh-CN"/>
        </w:rPr>
        <w:t>，</w:t>
      </w:r>
      <w:r>
        <w:rPr>
          <w:rFonts w:hint="eastAsia" w:ascii="宋体" w:hAnsi="宋体"/>
          <w:color w:val="auto"/>
          <w:sz w:val="28"/>
          <w:szCs w:val="28"/>
          <w:highlight w:val="none"/>
          <w:lang w:val="en-US" w:eastAsia="zh-CN"/>
        </w:rPr>
        <w:t>由受让方支付</w:t>
      </w:r>
      <w:r>
        <w:rPr>
          <w:rFonts w:hint="eastAsia" w:ascii="宋体" w:hAnsi="宋体"/>
          <w:color w:val="auto"/>
          <w:sz w:val="28"/>
          <w:szCs w:val="28"/>
          <w:highlight w:val="none"/>
          <w:lang w:val="ms-MY"/>
        </w:rPr>
        <w:t>。</w:t>
      </w:r>
    </w:p>
    <w:p>
      <w:pPr>
        <w:numPr>
          <w:ilvl w:val="0"/>
          <w:numId w:val="7"/>
        </w:numPr>
        <w:spacing w:line="360" w:lineRule="auto"/>
        <w:ind w:firstLine="560"/>
        <w:rPr>
          <w:rFonts w:ascii="宋体" w:hAnsi="宋体"/>
          <w:color w:val="auto"/>
          <w:sz w:val="28"/>
          <w:szCs w:val="28"/>
          <w:highlight w:val="none"/>
          <w:lang w:val="ms-MY"/>
        </w:rPr>
      </w:pPr>
      <w:r>
        <w:rPr>
          <w:rFonts w:hint="eastAsia" w:ascii="宋体" w:hAnsi="宋体"/>
          <w:color w:val="auto"/>
          <w:sz w:val="28"/>
          <w:szCs w:val="28"/>
          <w:highlight w:val="none"/>
          <w:lang w:val="ms-MY"/>
        </w:rPr>
        <w:t>付款方式：买受人签署本《成交确认书》后当天与出让方签订《</w:t>
      </w:r>
      <w:r>
        <w:rPr>
          <w:rFonts w:hint="eastAsia" w:ascii="宋体" w:hAnsi="宋体"/>
          <w:color w:val="auto"/>
          <w:sz w:val="28"/>
          <w:szCs w:val="28"/>
          <w:highlight w:val="none"/>
        </w:rPr>
        <w:t>股权转让合同</w:t>
      </w:r>
      <w:r>
        <w:rPr>
          <w:rFonts w:hint="eastAsia" w:ascii="宋体" w:hAnsi="宋体"/>
          <w:color w:val="auto"/>
          <w:sz w:val="28"/>
          <w:szCs w:val="28"/>
          <w:highlight w:val="none"/>
          <w:lang w:val="ms-MY"/>
        </w:rPr>
        <w:t>》。《</w:t>
      </w:r>
      <w:r>
        <w:rPr>
          <w:rFonts w:hint="eastAsia" w:ascii="宋体" w:hAnsi="宋体"/>
          <w:color w:val="auto"/>
          <w:sz w:val="28"/>
          <w:szCs w:val="28"/>
          <w:highlight w:val="none"/>
        </w:rPr>
        <w:t>股权转让合同</w:t>
      </w:r>
      <w:r>
        <w:rPr>
          <w:rFonts w:hint="eastAsia" w:ascii="宋体" w:hAnsi="宋体"/>
          <w:color w:val="auto"/>
          <w:sz w:val="28"/>
          <w:szCs w:val="28"/>
          <w:highlight w:val="none"/>
          <w:lang w:val="ms-MY"/>
        </w:rPr>
        <w:t>》生效后五个工作日内支付全部转让价款，成交款及交易佣金汇入（开户行：浙江民泰商业银行股份有限公司椒江市府大道支行  开户单位：台州市产权交易所有限公司  账号：583016260800028），受让方先期缴纳的竞买保证金可转为部分成交款。</w:t>
      </w:r>
    </w:p>
    <w:p>
      <w:pPr>
        <w:spacing w:line="360" w:lineRule="auto"/>
        <w:ind w:firstLine="560"/>
        <w:rPr>
          <w:rFonts w:hint="eastAsia" w:ascii="宋体" w:hAnsi="宋体" w:eastAsia="宋体"/>
          <w:bCs/>
          <w:color w:val="auto"/>
          <w:sz w:val="28"/>
          <w:szCs w:val="28"/>
          <w:highlight w:val="none"/>
          <w:lang w:val="en-US" w:eastAsia="zh-CN"/>
        </w:rPr>
      </w:pPr>
      <w:r>
        <w:rPr>
          <w:rFonts w:hint="eastAsia" w:ascii="宋体" w:hAnsi="宋体"/>
          <w:color w:val="auto"/>
          <w:sz w:val="28"/>
          <w:szCs w:val="28"/>
          <w:highlight w:val="none"/>
          <w:lang w:val="en-US" w:eastAsia="zh-CN"/>
        </w:rPr>
        <w:t>五</w:t>
      </w:r>
      <w:r>
        <w:rPr>
          <w:rFonts w:hint="eastAsia" w:ascii="宋体" w:hAnsi="宋体"/>
          <w:color w:val="auto"/>
          <w:sz w:val="28"/>
          <w:szCs w:val="28"/>
          <w:highlight w:val="none"/>
        </w:rPr>
        <w:t>、买受人成交后拒绝签署《成交确认书》、《</w:t>
      </w:r>
      <w:r>
        <w:rPr>
          <w:rFonts w:hint="eastAsia" w:ascii="宋体" w:hAnsi="宋体"/>
          <w:color w:val="auto"/>
          <w:sz w:val="28"/>
          <w:szCs w:val="28"/>
          <w:highlight w:val="none"/>
          <w:lang w:val="en-US" w:eastAsia="zh-CN"/>
        </w:rPr>
        <w:t>股</w:t>
      </w:r>
      <w:r>
        <w:rPr>
          <w:rFonts w:hint="eastAsia" w:ascii="宋体" w:hAnsi="宋体"/>
          <w:color w:val="auto"/>
          <w:sz w:val="28"/>
          <w:szCs w:val="28"/>
          <w:highlight w:val="none"/>
        </w:rPr>
        <w:t>权转让合同》，或不依本确认书足额按期支付转让款，视为其违约，产交所不再返还其已付的保证金并有权追究其违约责任。买受人逾期支付转让成交款项的，视为买受人根本违约。出让方有权解除《</w:t>
      </w:r>
      <w:r>
        <w:rPr>
          <w:rFonts w:hint="eastAsia" w:ascii="宋体" w:hAnsi="宋体"/>
          <w:color w:val="auto"/>
          <w:sz w:val="28"/>
          <w:szCs w:val="28"/>
          <w:highlight w:val="none"/>
          <w:lang w:val="en-US" w:eastAsia="zh-CN"/>
        </w:rPr>
        <w:t>股</w:t>
      </w:r>
      <w:r>
        <w:rPr>
          <w:rFonts w:hint="eastAsia" w:ascii="宋体" w:hAnsi="宋体"/>
          <w:color w:val="auto"/>
          <w:sz w:val="28"/>
          <w:szCs w:val="28"/>
          <w:highlight w:val="none"/>
        </w:rPr>
        <w:t>权转让合同》，产权交易所有权解除《成交确认书》，</w:t>
      </w:r>
      <w:r>
        <w:rPr>
          <w:rFonts w:hint="eastAsia" w:ascii="宋体" w:hAnsi="宋体"/>
          <w:bCs/>
          <w:color w:val="auto"/>
          <w:sz w:val="28"/>
          <w:szCs w:val="28"/>
          <w:highlight w:val="none"/>
          <w:lang w:val="en-US" w:eastAsia="zh-CN"/>
        </w:rPr>
        <w:t>保证金不予返还</w:t>
      </w:r>
      <w:r>
        <w:rPr>
          <w:rFonts w:hint="eastAsia" w:ascii="宋体" w:hAnsi="宋体"/>
          <w:color w:val="auto"/>
          <w:sz w:val="28"/>
          <w:szCs w:val="28"/>
          <w:highlight w:val="none"/>
        </w:rPr>
        <w:t>。</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六、确定本次挂牌转让活动各方当事人权利义务的依据：</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1、《</w:t>
      </w:r>
      <w:r>
        <w:rPr>
          <w:rFonts w:hint="eastAsia" w:ascii="宋体" w:hAnsi="宋体"/>
          <w:color w:val="auto"/>
          <w:sz w:val="28"/>
          <w:szCs w:val="28"/>
          <w:highlight w:val="none"/>
          <w:lang w:val="en-US" w:eastAsia="zh-CN"/>
        </w:rPr>
        <w:t>股权</w:t>
      </w:r>
      <w:r>
        <w:rPr>
          <w:rFonts w:hint="eastAsia" w:ascii="宋体" w:hAnsi="宋体"/>
          <w:color w:val="auto"/>
          <w:sz w:val="28"/>
          <w:szCs w:val="28"/>
          <w:highlight w:val="none"/>
        </w:rPr>
        <w:t>委托出让协议书》；</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2、《股权转让合同》及</w:t>
      </w:r>
      <w:r>
        <w:rPr>
          <w:rFonts w:ascii="宋体" w:hAnsi="宋体"/>
          <w:color w:val="auto"/>
          <w:sz w:val="28"/>
          <w:szCs w:val="28"/>
          <w:highlight w:val="none"/>
        </w:rPr>
        <w:t>其补充协议（如有）</w:t>
      </w:r>
      <w:r>
        <w:rPr>
          <w:rFonts w:hint="eastAsia" w:ascii="宋体" w:hAnsi="宋体"/>
          <w:color w:val="auto"/>
          <w:sz w:val="28"/>
          <w:szCs w:val="28"/>
          <w:highlight w:val="none"/>
        </w:rPr>
        <w:t>；</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3、《转让须知》；</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4、受让方办理的竞买申请手续及提供的有关文件和资料；</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5、其他本次挂牌转让有关的</w:t>
      </w:r>
      <w:r>
        <w:rPr>
          <w:rFonts w:ascii="宋体" w:hAnsi="宋体"/>
          <w:color w:val="auto"/>
          <w:sz w:val="28"/>
          <w:szCs w:val="28"/>
          <w:highlight w:val="none"/>
        </w:rPr>
        <w:t>文件及</w:t>
      </w:r>
      <w:r>
        <w:rPr>
          <w:rFonts w:hint="eastAsia" w:ascii="宋体" w:hAnsi="宋体"/>
          <w:color w:val="auto"/>
          <w:sz w:val="28"/>
          <w:szCs w:val="28"/>
          <w:highlight w:val="none"/>
        </w:rPr>
        <w:t>内容。</w:t>
      </w:r>
    </w:p>
    <w:p>
      <w:pPr>
        <w:spacing w:line="360" w:lineRule="auto"/>
        <w:ind w:firstLine="420" w:firstLineChars="150"/>
        <w:rPr>
          <w:rFonts w:ascii="宋体" w:hAnsi="宋体"/>
          <w:color w:val="auto"/>
          <w:sz w:val="28"/>
          <w:szCs w:val="28"/>
          <w:highlight w:val="none"/>
        </w:rPr>
      </w:pPr>
      <w:r>
        <w:rPr>
          <w:rFonts w:hint="eastAsia" w:ascii="宋体" w:hAnsi="宋体"/>
          <w:color w:val="auto"/>
          <w:sz w:val="28"/>
          <w:szCs w:val="28"/>
          <w:highlight w:val="none"/>
        </w:rPr>
        <w:t>七、本确认书在履行中若发生争议，双方应协商解决，协商不成的，可向</w:t>
      </w:r>
      <w:r>
        <w:rPr>
          <w:rFonts w:hint="eastAsia" w:ascii="宋体" w:hAnsi="宋体"/>
          <w:color w:val="auto"/>
          <w:sz w:val="28"/>
          <w:szCs w:val="28"/>
          <w:highlight w:val="none"/>
          <w:lang w:eastAsia="zh-CN"/>
        </w:rPr>
        <w:t>挂牌方所在地</w:t>
      </w:r>
      <w:r>
        <w:rPr>
          <w:rFonts w:hint="eastAsia" w:ascii="宋体" w:hAnsi="宋体"/>
          <w:color w:val="auto"/>
          <w:sz w:val="28"/>
          <w:szCs w:val="28"/>
          <w:highlight w:val="none"/>
        </w:rPr>
        <w:t>人民法院以起诉方式解决。</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八、本《成交确认书》一式陆份。挂牌方、受让方各执二份，委托人、监管部门各执一份。</w:t>
      </w:r>
    </w:p>
    <w:p>
      <w:pPr>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挂牌方（盖章）：     　　　　　　受让方（盖章）：</w:t>
      </w:r>
    </w:p>
    <w:p>
      <w:pPr>
        <w:tabs>
          <w:tab w:val="left" w:pos="521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法定代表人：</w:t>
      </w:r>
      <w:r>
        <w:rPr>
          <w:rFonts w:ascii="宋体" w:hAnsi="宋体"/>
          <w:color w:val="auto"/>
          <w:sz w:val="28"/>
          <w:szCs w:val="28"/>
          <w:highlight w:val="none"/>
        </w:rPr>
        <w:tab/>
      </w:r>
      <w:r>
        <w:rPr>
          <w:rFonts w:hint="eastAsia" w:ascii="宋体" w:hAnsi="宋体"/>
          <w:color w:val="auto"/>
          <w:sz w:val="28"/>
          <w:szCs w:val="28"/>
          <w:highlight w:val="none"/>
        </w:rPr>
        <w:t>法定代表人：</w:t>
      </w:r>
    </w:p>
    <w:p>
      <w:pPr>
        <w:tabs>
          <w:tab w:val="left" w:pos="5210"/>
        </w:tabs>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委托代理人：</w:t>
      </w:r>
      <w:r>
        <w:rPr>
          <w:rFonts w:ascii="宋体" w:hAnsi="宋体"/>
          <w:color w:val="auto"/>
          <w:sz w:val="28"/>
          <w:szCs w:val="28"/>
          <w:highlight w:val="none"/>
        </w:rPr>
        <w:tab/>
      </w:r>
      <w:r>
        <w:rPr>
          <w:rFonts w:hint="eastAsia" w:ascii="宋体" w:hAnsi="宋体"/>
          <w:color w:val="auto"/>
          <w:sz w:val="28"/>
          <w:szCs w:val="28"/>
          <w:highlight w:val="none"/>
        </w:rPr>
        <w:t>委托代理人：</w:t>
      </w:r>
    </w:p>
    <w:p>
      <w:pPr>
        <w:tabs>
          <w:tab w:val="left" w:pos="5210"/>
        </w:tabs>
        <w:spacing w:line="360" w:lineRule="auto"/>
        <w:ind w:firstLine="560"/>
        <w:rPr>
          <w:rFonts w:ascii="宋体" w:hAnsi="宋体"/>
          <w:b/>
          <w:color w:val="auto"/>
          <w:sz w:val="48"/>
          <w:szCs w:val="48"/>
          <w:highlight w:val="none"/>
        </w:rPr>
      </w:pPr>
      <w:r>
        <w:rPr>
          <w:rFonts w:hint="eastAsia" w:ascii="宋体" w:hAnsi="宋体"/>
          <w:color w:val="auto"/>
          <w:sz w:val="28"/>
          <w:szCs w:val="28"/>
          <w:highlight w:val="none"/>
        </w:rPr>
        <w:t xml:space="preserve">签订日期：    年   月  日      </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 xml:space="preserve">签订日期：    年   月  </w:t>
      </w:r>
      <w:r>
        <w:rPr>
          <w:rFonts w:hint="eastAsia" w:ascii="宋体" w:hAnsi="宋体"/>
          <w:color w:val="auto"/>
          <w:sz w:val="28"/>
          <w:szCs w:val="28"/>
          <w:highlight w:val="none"/>
          <w:lang w:val="en-US" w:eastAsia="zh-CN"/>
        </w:rPr>
        <w:t xml:space="preserve"> </w:t>
      </w:r>
      <w:r>
        <w:rPr>
          <w:rFonts w:hint="eastAsia" w:ascii="宋体" w:hAnsi="宋体"/>
          <w:color w:val="auto"/>
          <w:sz w:val="28"/>
          <w:szCs w:val="28"/>
          <w:highlight w:val="none"/>
        </w:rPr>
        <w:t>日</w:t>
      </w:r>
      <w:r>
        <w:rPr>
          <w:rFonts w:hint="eastAsia" w:ascii="宋体" w:hAnsi="宋体"/>
          <w:b/>
          <w:color w:val="auto"/>
          <w:sz w:val="48"/>
          <w:szCs w:val="48"/>
          <w:highlight w:val="none"/>
        </w:rPr>
        <w:br w:type="page"/>
      </w: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360" w:lineRule="auto"/>
        <w:ind w:right="-395" w:rightChars="-188" w:firstLine="0" w:firstLineChars="0"/>
        <w:jc w:val="center"/>
        <w:rPr>
          <w:rFonts w:ascii="宋体" w:hAnsi="宋体"/>
          <w:b/>
          <w:color w:val="auto"/>
          <w:sz w:val="48"/>
          <w:szCs w:val="48"/>
          <w:highlight w:val="none"/>
        </w:rPr>
      </w:pPr>
    </w:p>
    <w:p>
      <w:pPr>
        <w:spacing w:line="60" w:lineRule="auto"/>
        <w:ind w:firstLine="0" w:firstLineChars="0"/>
        <w:jc w:val="center"/>
        <w:rPr>
          <w:rFonts w:hint="eastAsia" w:ascii="宋体" w:hAnsi="宋体" w:eastAsia="宋体"/>
          <w:b/>
          <w:bCs w:val="0"/>
          <w:color w:val="auto"/>
          <w:spacing w:val="0"/>
          <w:sz w:val="44"/>
          <w:szCs w:val="44"/>
          <w:highlight w:val="none"/>
        </w:rPr>
      </w:pPr>
      <w:r>
        <w:rPr>
          <w:rFonts w:hint="eastAsia" w:ascii="宋体" w:hAnsi="宋体" w:eastAsia="宋体"/>
          <w:b/>
          <w:bCs w:val="0"/>
          <w:color w:val="auto"/>
          <w:spacing w:val="0"/>
          <w:sz w:val="44"/>
          <w:szCs w:val="44"/>
          <w:highlight w:val="none"/>
          <w:lang w:eastAsia="zh-CN"/>
        </w:rPr>
        <w:t>台州四强新型建材有限公司</w:t>
      </w:r>
      <w:r>
        <w:rPr>
          <w:rFonts w:hint="eastAsia" w:ascii="宋体" w:hAnsi="宋体" w:eastAsia="宋体"/>
          <w:b/>
          <w:bCs w:val="0"/>
          <w:color w:val="auto"/>
          <w:spacing w:val="0"/>
          <w:sz w:val="44"/>
          <w:szCs w:val="44"/>
          <w:highlight w:val="none"/>
          <w:lang w:val="en-US" w:eastAsia="zh-CN"/>
        </w:rPr>
        <w:t>10%</w:t>
      </w:r>
      <w:r>
        <w:rPr>
          <w:rFonts w:hint="eastAsia" w:ascii="宋体" w:hAnsi="宋体" w:eastAsia="宋体"/>
          <w:b/>
          <w:bCs w:val="0"/>
          <w:color w:val="auto"/>
          <w:spacing w:val="0"/>
          <w:sz w:val="44"/>
          <w:szCs w:val="44"/>
          <w:highlight w:val="none"/>
        </w:rPr>
        <w:t>股权</w:t>
      </w:r>
    </w:p>
    <w:p>
      <w:pPr>
        <w:spacing w:line="360" w:lineRule="auto"/>
        <w:ind w:firstLine="723"/>
        <w:jc w:val="center"/>
        <w:rPr>
          <w:rFonts w:ascii="宋体" w:hAnsi="宋体"/>
          <w:b/>
          <w:color w:val="auto"/>
          <w:sz w:val="36"/>
          <w:szCs w:val="36"/>
          <w:highlight w:val="none"/>
        </w:rPr>
      </w:pPr>
    </w:p>
    <w:p>
      <w:pPr>
        <w:pStyle w:val="3"/>
        <w:spacing w:before="100" w:beforeAutospacing="1" w:after="100" w:afterAutospacing="1" w:line="360" w:lineRule="auto"/>
        <w:ind w:firstLine="0" w:firstLineChars="0"/>
        <w:jc w:val="center"/>
        <w:rPr>
          <w:rFonts w:hint="eastAsia" w:ascii="宋体" w:hAnsi="宋体"/>
          <w:color w:val="auto"/>
          <w:kern w:val="2"/>
          <w:sz w:val="48"/>
          <w:szCs w:val="48"/>
          <w:highlight w:val="none"/>
        </w:rPr>
      </w:pPr>
      <w:bookmarkStart w:id="26" w:name="_Toc528773695"/>
      <w:bookmarkStart w:id="27" w:name="_Toc6735"/>
      <w:bookmarkStart w:id="28" w:name="_Toc10080"/>
      <w:r>
        <w:rPr>
          <w:rFonts w:hint="eastAsia" w:ascii="宋体" w:hAnsi="宋体"/>
          <w:color w:val="auto"/>
          <w:kern w:val="2"/>
          <w:sz w:val="48"/>
          <w:szCs w:val="48"/>
          <w:highlight w:val="none"/>
        </w:rPr>
        <w:t>转让合同</w:t>
      </w:r>
      <w:bookmarkEnd w:id="26"/>
      <w:bookmarkEnd w:id="27"/>
      <w:bookmarkEnd w:id="28"/>
    </w:p>
    <w:p>
      <w:pPr>
        <w:spacing w:line="360" w:lineRule="auto"/>
        <w:ind w:firstLine="0" w:firstLineChars="0"/>
        <w:jc w:val="center"/>
        <w:rPr>
          <w:rFonts w:ascii="宋体" w:hAnsi="宋体"/>
          <w:b/>
          <w:color w:val="auto"/>
          <w:sz w:val="70"/>
          <w:szCs w:val="70"/>
          <w:highlight w:val="none"/>
        </w:rPr>
      </w:pPr>
    </w:p>
    <w:p>
      <w:pPr>
        <w:spacing w:line="360" w:lineRule="auto"/>
        <w:ind w:firstLine="0" w:firstLineChars="0"/>
        <w:jc w:val="center"/>
        <w:rPr>
          <w:rFonts w:ascii="宋体" w:hAnsi="宋体"/>
          <w:b/>
          <w:color w:val="auto"/>
          <w:sz w:val="56"/>
          <w:szCs w:val="56"/>
          <w:highlight w:val="none"/>
        </w:rPr>
      </w:pPr>
      <w:r>
        <w:rPr>
          <w:rFonts w:hint="eastAsia" w:ascii="宋体" w:hAnsi="宋体"/>
          <w:b/>
          <w:color w:val="auto"/>
          <w:sz w:val="56"/>
          <w:szCs w:val="56"/>
          <w:highlight w:val="none"/>
        </w:rPr>
        <w:t>（样稿）</w:t>
      </w:r>
    </w:p>
    <w:p>
      <w:pPr>
        <w:spacing w:line="360" w:lineRule="auto"/>
        <w:ind w:firstLine="720"/>
        <w:rPr>
          <w:rFonts w:ascii="宋体" w:hAnsi="宋体"/>
          <w:color w:val="auto"/>
          <w:sz w:val="36"/>
          <w:szCs w:val="36"/>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ind w:firstLine="560"/>
        <w:rPr>
          <w:rFonts w:ascii="宋体" w:hAnsi="宋体"/>
          <w:color w:val="auto"/>
          <w:sz w:val="28"/>
          <w:szCs w:val="28"/>
          <w:highlight w:val="none"/>
        </w:rPr>
      </w:pPr>
    </w:p>
    <w:p>
      <w:pPr>
        <w:spacing w:line="240" w:lineRule="auto"/>
        <w:ind w:firstLine="0" w:firstLineChars="0"/>
        <w:jc w:val="center"/>
        <w:outlineLvl w:val="9"/>
        <w:rPr>
          <w:rFonts w:ascii="宋体" w:hAnsi="宋体"/>
          <w:b/>
          <w:color w:val="auto"/>
          <w:sz w:val="28"/>
          <w:szCs w:val="28"/>
          <w:highlight w:val="none"/>
        </w:rPr>
      </w:pPr>
      <w:r>
        <w:rPr>
          <w:rFonts w:hint="eastAsia" w:ascii="宋体" w:hAnsi="宋体"/>
          <w:color w:val="auto"/>
          <w:sz w:val="28"/>
          <w:szCs w:val="28"/>
          <w:highlight w:val="none"/>
        </w:rPr>
        <w:t>台州市产权交易所有限公司   编制</w:t>
      </w:r>
    </w:p>
    <w:p>
      <w:pPr>
        <w:ind w:firstLine="562"/>
        <w:rPr>
          <w:b/>
          <w:color w:val="auto"/>
          <w:sz w:val="28"/>
          <w:szCs w:val="28"/>
          <w:highlight w:val="none"/>
        </w:rPr>
      </w:pPr>
      <w:r>
        <w:rPr>
          <w:b/>
          <w:color w:val="auto"/>
          <w:sz w:val="28"/>
          <w:szCs w:val="28"/>
          <w:highlight w:val="none"/>
        </w:rPr>
        <w:br w:type="page"/>
      </w:r>
    </w:p>
    <w:p>
      <w:pPr>
        <w:pStyle w:val="5"/>
        <w:adjustRightInd w:val="0"/>
        <w:snapToGrid w:val="0"/>
        <w:spacing w:line="360" w:lineRule="auto"/>
        <w:jc w:val="center"/>
        <w:rPr>
          <w:b/>
          <w:color w:val="auto"/>
          <w:sz w:val="32"/>
          <w:szCs w:val="32"/>
          <w:highlight w:val="none"/>
        </w:rPr>
      </w:pPr>
      <w:r>
        <w:rPr>
          <w:rFonts w:hint="eastAsia"/>
          <w:b/>
          <w:color w:val="auto"/>
          <w:sz w:val="32"/>
          <w:szCs w:val="32"/>
          <w:highlight w:val="none"/>
        </w:rPr>
        <w:t>本合同的当事人</w:t>
      </w: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left="0" w:leftChars="0" w:firstLine="560" w:firstLineChars="200"/>
        <w:rPr>
          <w:rFonts w:hint="eastAsia" w:ascii="宋体" w:hAnsi="宋体"/>
          <w:color w:val="auto"/>
          <w:sz w:val="28"/>
          <w:szCs w:val="28"/>
          <w:highlight w:val="none"/>
        </w:rPr>
      </w:pPr>
      <w:r>
        <w:rPr>
          <w:rFonts w:hint="eastAsia" w:ascii="宋体" w:hAnsi="宋体"/>
          <w:color w:val="auto"/>
          <w:sz w:val="28"/>
          <w:szCs w:val="28"/>
          <w:highlight w:val="none"/>
        </w:rPr>
        <w:t>出让人（以下简称甲方）：玉环市国有资产投资经营集团有限公司</w:t>
      </w:r>
    </w:p>
    <w:p>
      <w:pPr>
        <w:adjustRightInd w:val="0"/>
        <w:snapToGrid w:val="0"/>
        <w:spacing w:line="360" w:lineRule="auto"/>
        <w:ind w:firstLine="560"/>
        <w:rPr>
          <w:rFonts w:hint="eastAsia" w:ascii="宋体" w:hAnsi="宋体"/>
          <w:color w:val="auto"/>
          <w:sz w:val="28"/>
          <w:szCs w:val="28"/>
          <w:highlight w:val="none"/>
          <w:lang w:val="en-US" w:eastAsia="zh-CN"/>
        </w:rPr>
      </w:pPr>
      <w:r>
        <w:rPr>
          <w:rFonts w:hint="eastAsia" w:ascii="宋体" w:hAnsi="宋体"/>
          <w:color w:val="auto"/>
          <w:sz w:val="28"/>
          <w:szCs w:val="28"/>
          <w:highlight w:val="none"/>
        </w:rPr>
        <w:t>主体资格证号：91331021704700099D</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注册地址/住所：浙江省玉环市玉城街道城中路与长治路东北转角</w:t>
      </w:r>
      <w:r>
        <w:rPr>
          <w:rFonts w:hint="eastAsia" w:ascii="宋体" w:hAnsi="宋体"/>
          <w:color w:val="auto"/>
          <w:sz w:val="28"/>
          <w:szCs w:val="28"/>
          <w:highlight w:val="none"/>
          <w:lang w:val="en-US"/>
        </w:rPr>
        <w:t xml:space="preserve">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经济性质</w:t>
      </w:r>
      <w:r>
        <w:rPr>
          <w:rFonts w:hint="eastAsia" w:ascii="宋体" w:hAnsi="宋体"/>
          <w:color w:val="auto"/>
          <w:sz w:val="28"/>
          <w:szCs w:val="28"/>
          <w:highlight w:val="none"/>
          <w:lang w:val="en-US"/>
        </w:rPr>
        <w:t>：有限责任公司(国有控股)</w:t>
      </w:r>
    </w:p>
    <w:p>
      <w:pPr>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注册资本：12000万元人民币</w:t>
      </w:r>
    </w:p>
    <w:p>
      <w:pPr>
        <w:adjustRightInd w:val="0"/>
        <w:snapToGrid w:val="0"/>
        <w:spacing w:line="360" w:lineRule="auto"/>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法定代表人：张黎曙          职务：</w:t>
      </w:r>
      <w:r>
        <w:rPr>
          <w:rFonts w:hint="eastAsia" w:ascii="宋体" w:hAnsi="宋体"/>
          <w:color w:val="auto"/>
          <w:sz w:val="28"/>
          <w:szCs w:val="28"/>
          <w:highlight w:val="none"/>
          <w:lang w:eastAsia="zh-CN"/>
        </w:rPr>
        <w:t>总经理</w:t>
      </w:r>
    </w:p>
    <w:p>
      <w:pPr>
        <w:adjustRightInd w:val="0"/>
        <w:snapToGrid w:val="0"/>
        <w:spacing w:line="360" w:lineRule="auto"/>
        <w:ind w:firstLine="560"/>
        <w:rPr>
          <w:rFonts w:hint="eastAsia" w:ascii="宋体" w:hAnsi="宋体" w:eastAsia="宋体"/>
          <w:color w:val="auto"/>
          <w:sz w:val="28"/>
          <w:szCs w:val="28"/>
          <w:highlight w:val="none"/>
          <w:lang w:eastAsia="zh-CN"/>
        </w:rPr>
      </w:pPr>
      <w:r>
        <w:rPr>
          <w:rFonts w:hint="eastAsia" w:ascii="宋体" w:hAnsi="宋体"/>
          <w:color w:val="auto"/>
          <w:sz w:val="28"/>
          <w:szCs w:val="28"/>
          <w:highlight w:val="none"/>
        </w:rPr>
        <w:t>开户银行：</w:t>
      </w:r>
      <w:r>
        <w:rPr>
          <w:rFonts w:hint="eastAsia" w:ascii="宋体" w:hAnsi="宋体"/>
          <w:color w:val="auto"/>
          <w:sz w:val="28"/>
          <w:szCs w:val="28"/>
          <w:highlight w:val="none"/>
          <w:lang w:eastAsia="zh-CN"/>
        </w:rPr>
        <w:t>浙商银行台州玉环支行</w:t>
      </w:r>
    </w:p>
    <w:p>
      <w:pPr>
        <w:adjustRightInd w:val="0"/>
        <w:snapToGrid w:val="0"/>
        <w:spacing w:line="360" w:lineRule="auto"/>
        <w:ind w:firstLine="560"/>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lang w:eastAsia="zh-CN"/>
        </w:rPr>
        <w:t>账</w:t>
      </w:r>
      <w:r>
        <w:rPr>
          <w:rFonts w:hint="eastAsia" w:ascii="宋体" w:hAnsi="宋体"/>
          <w:color w:val="auto"/>
          <w:sz w:val="28"/>
          <w:szCs w:val="28"/>
          <w:highlight w:val="none"/>
        </w:rPr>
        <w:t>号：</w:t>
      </w:r>
      <w:r>
        <w:rPr>
          <w:rFonts w:hint="eastAsia" w:ascii="宋体" w:hAnsi="宋体"/>
          <w:color w:val="auto"/>
          <w:sz w:val="28"/>
          <w:szCs w:val="28"/>
          <w:highlight w:val="none"/>
          <w:lang w:val="en-US" w:eastAsia="zh-CN"/>
        </w:rPr>
        <w:t>3450020610120100052505</w:t>
      </w:r>
    </w:p>
    <w:p>
      <w:pPr>
        <w:adjustRightInd w:val="0"/>
        <w:snapToGrid w:val="0"/>
        <w:spacing w:line="360" w:lineRule="auto"/>
        <w:ind w:firstLine="560"/>
        <w:rPr>
          <w:rFonts w:hint="default" w:ascii="宋体" w:hAnsi="宋体" w:eastAsia="宋体"/>
          <w:color w:val="auto"/>
          <w:sz w:val="28"/>
          <w:szCs w:val="28"/>
          <w:highlight w:val="none"/>
          <w:lang w:val="en-US" w:eastAsia="zh-CN"/>
        </w:rPr>
      </w:pPr>
      <w:r>
        <w:rPr>
          <w:rFonts w:hint="eastAsia" w:ascii="宋体" w:hAnsi="宋体"/>
          <w:color w:val="auto"/>
          <w:sz w:val="28"/>
          <w:szCs w:val="28"/>
          <w:highlight w:val="none"/>
        </w:rPr>
        <w:t>邮编：31</w:t>
      </w:r>
      <w:r>
        <w:rPr>
          <w:rFonts w:hint="eastAsia" w:ascii="宋体" w:hAnsi="宋体"/>
          <w:color w:val="auto"/>
          <w:sz w:val="28"/>
          <w:szCs w:val="28"/>
          <w:highlight w:val="none"/>
          <w:lang w:val="en-US" w:eastAsia="zh-CN"/>
        </w:rPr>
        <w:t>7600</w:t>
      </w:r>
      <w:r>
        <w:rPr>
          <w:rFonts w:hint="eastAsia" w:ascii="宋体" w:hAnsi="宋体"/>
          <w:color w:val="auto"/>
          <w:sz w:val="28"/>
          <w:szCs w:val="28"/>
          <w:highlight w:val="none"/>
        </w:rPr>
        <w:t xml:space="preserve">                 电话：</w:t>
      </w:r>
      <w:r>
        <w:rPr>
          <w:rFonts w:hint="eastAsia" w:ascii="宋体" w:hAnsi="宋体"/>
          <w:color w:val="auto"/>
          <w:sz w:val="28"/>
          <w:szCs w:val="28"/>
          <w:highlight w:val="none"/>
          <w:lang w:val="en-US" w:eastAsia="zh-CN"/>
        </w:rPr>
        <w:t>0576-87250137</w:t>
      </w: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firstLine="560"/>
        <w:rPr>
          <w:rFonts w:ascii="宋体" w:hAnsi="宋体"/>
          <w:color w:val="auto"/>
          <w:sz w:val="28"/>
          <w:szCs w:val="28"/>
          <w:highlight w:val="none"/>
        </w:rPr>
      </w:pP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受让人（以下简称乙方）：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主体资格证号或身份证号：  </w:t>
      </w:r>
    </w:p>
    <w:p>
      <w:pPr>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 xml:space="preserve">注册地址/住所：  </w:t>
      </w:r>
    </w:p>
    <w:p>
      <w:pPr>
        <w:tabs>
          <w:tab w:val="left" w:pos="4640"/>
        </w:tabs>
        <w:adjustRightInd w:val="0"/>
        <w:snapToGrid w:val="0"/>
        <w:spacing w:line="360" w:lineRule="auto"/>
        <w:ind w:left="6257" w:leftChars="266" w:hanging="5698" w:hangingChars="2035"/>
        <w:rPr>
          <w:rFonts w:ascii="宋体" w:hAnsi="宋体"/>
          <w:color w:val="auto"/>
          <w:sz w:val="28"/>
          <w:szCs w:val="28"/>
          <w:highlight w:val="none"/>
        </w:rPr>
      </w:pPr>
      <w:r>
        <w:rPr>
          <w:rFonts w:hint="eastAsia" w:ascii="宋体" w:hAnsi="宋体"/>
          <w:color w:val="auto"/>
          <w:sz w:val="28"/>
          <w:szCs w:val="28"/>
          <w:highlight w:val="none"/>
        </w:rPr>
        <w:t xml:space="preserve">经济性质：                          注册资本：  </w:t>
      </w:r>
    </w:p>
    <w:p>
      <w:pPr>
        <w:tabs>
          <w:tab w:val="left" w:pos="6705"/>
        </w:tabs>
        <w:adjustRightInd w:val="0"/>
        <w:snapToGrid w:val="0"/>
        <w:spacing w:line="360" w:lineRule="auto"/>
        <w:ind w:left="6257" w:leftChars="266" w:hanging="5698" w:hangingChars="2035"/>
        <w:rPr>
          <w:rFonts w:ascii="宋体" w:hAnsi="宋体"/>
          <w:color w:val="auto"/>
          <w:sz w:val="28"/>
          <w:szCs w:val="28"/>
          <w:highlight w:val="none"/>
        </w:rPr>
      </w:pPr>
      <w:r>
        <w:rPr>
          <w:rFonts w:hint="eastAsia" w:ascii="宋体" w:hAnsi="宋体"/>
          <w:color w:val="auto"/>
          <w:sz w:val="28"/>
          <w:szCs w:val="28"/>
          <w:highlight w:val="none"/>
        </w:rPr>
        <w:t xml:space="preserve">法定代表人：                        职务：  </w:t>
      </w:r>
    </w:p>
    <w:p>
      <w:pPr>
        <w:tabs>
          <w:tab w:val="left" w:pos="4320"/>
          <w:tab w:val="left" w:pos="4680"/>
          <w:tab w:val="left" w:pos="5220"/>
          <w:tab w:val="left" w:pos="6900"/>
          <w:tab w:val="left" w:pos="8190"/>
        </w:tabs>
        <w:adjustRightInd w:val="0"/>
        <w:snapToGrid w:val="0"/>
        <w:spacing w:line="360" w:lineRule="auto"/>
        <w:ind w:firstLine="560"/>
        <w:rPr>
          <w:rFonts w:ascii="宋体" w:hAnsi="宋体"/>
          <w:color w:val="auto"/>
          <w:sz w:val="28"/>
          <w:szCs w:val="28"/>
          <w:highlight w:val="none"/>
        </w:rPr>
      </w:pPr>
      <w:r>
        <w:rPr>
          <w:rFonts w:hint="eastAsia" w:ascii="宋体" w:hAnsi="宋体"/>
          <w:color w:val="auto"/>
          <w:sz w:val="28"/>
          <w:szCs w:val="28"/>
          <w:highlight w:val="none"/>
        </w:rPr>
        <w:t>开户银行：                          帐号：</w:t>
      </w:r>
    </w:p>
    <w:p>
      <w:pPr>
        <w:tabs>
          <w:tab w:val="left" w:pos="5040"/>
        </w:tabs>
        <w:adjustRightInd w:val="0"/>
        <w:snapToGrid w:val="0"/>
        <w:spacing w:line="360" w:lineRule="auto"/>
        <w:ind w:firstLine="560"/>
        <w:rPr>
          <w:rFonts w:hint="eastAsia" w:ascii="宋体" w:hAnsi="宋体"/>
          <w:color w:val="auto"/>
          <w:sz w:val="28"/>
          <w:szCs w:val="28"/>
          <w:highlight w:val="none"/>
        </w:rPr>
      </w:pPr>
      <w:r>
        <w:rPr>
          <w:rFonts w:hint="eastAsia" w:ascii="宋体" w:hAnsi="宋体"/>
          <w:color w:val="auto"/>
          <w:sz w:val="28"/>
          <w:szCs w:val="28"/>
          <w:highlight w:val="none"/>
        </w:rPr>
        <w:t xml:space="preserve">邮编：                              电话：  </w:t>
      </w:r>
    </w:p>
    <w:p>
      <w:pPr>
        <w:tabs>
          <w:tab w:val="left" w:pos="5040"/>
        </w:tabs>
        <w:spacing w:line="360" w:lineRule="auto"/>
        <w:ind w:firstLine="560"/>
        <w:rPr>
          <w:rFonts w:hint="eastAsia" w:ascii="宋体" w:hAnsi="宋体"/>
          <w:color w:val="auto"/>
          <w:sz w:val="28"/>
          <w:szCs w:val="28"/>
          <w:highlight w:val="none"/>
        </w:rPr>
      </w:pPr>
    </w:p>
    <w:p>
      <w:pPr>
        <w:tabs>
          <w:tab w:val="left" w:pos="5040"/>
        </w:tabs>
        <w:spacing w:line="360" w:lineRule="auto"/>
        <w:ind w:firstLine="560"/>
        <w:rPr>
          <w:rFonts w:hint="eastAsia" w:ascii="宋体" w:hAnsi="宋体"/>
          <w:color w:val="auto"/>
          <w:sz w:val="28"/>
          <w:szCs w:val="28"/>
          <w:highlight w:val="none"/>
        </w:rPr>
      </w:pP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0" w:firstLineChars="0"/>
        <w:jc w:val="left"/>
        <w:textAlignment w:val="auto"/>
        <w:rPr>
          <w:rFonts w:hint="eastAsia" w:ascii="宋体" w:hAnsi="宋体"/>
          <w:color w:val="auto"/>
          <w:sz w:val="28"/>
          <w:szCs w:val="28"/>
          <w:highlight w:val="none"/>
        </w:rPr>
      </w:pP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b/>
          <w:color w:val="auto"/>
          <w:sz w:val="28"/>
          <w:szCs w:val="28"/>
          <w:highlight w:val="none"/>
        </w:rPr>
      </w:pPr>
      <w:r>
        <w:rPr>
          <w:rFonts w:hint="eastAsia" w:ascii="宋体" w:hAnsi="宋体"/>
          <w:color w:val="auto"/>
          <w:sz w:val="28"/>
          <w:szCs w:val="28"/>
          <w:highlight w:val="none"/>
        </w:rPr>
        <w:t>根据《中华人民共和国</w:t>
      </w:r>
      <w:r>
        <w:rPr>
          <w:rFonts w:hint="eastAsia" w:ascii="宋体" w:hAnsi="宋体"/>
          <w:color w:val="auto"/>
          <w:sz w:val="28"/>
          <w:szCs w:val="28"/>
          <w:highlight w:val="none"/>
          <w:lang w:eastAsia="zh-CN"/>
        </w:rPr>
        <w:t>民法典</w:t>
      </w:r>
      <w:r>
        <w:rPr>
          <w:rFonts w:hint="eastAsia" w:ascii="宋体" w:hAnsi="宋体"/>
          <w:color w:val="auto"/>
          <w:sz w:val="28"/>
          <w:szCs w:val="28"/>
          <w:highlight w:val="none"/>
        </w:rPr>
        <w:t>》和《企业国有资产交易监督管理办法》以及《企业国有产权交易操作规则》等相关法律、法规、规章及有关单位批准，甲方将持有的</w:t>
      </w:r>
      <w:r>
        <w:rPr>
          <w:rFonts w:hint="eastAsia" w:ascii="宋体" w:hAnsi="宋体"/>
          <w:color w:val="auto"/>
          <w:sz w:val="28"/>
          <w:szCs w:val="28"/>
          <w:highlight w:val="none"/>
          <w:lang w:eastAsia="zh-CN"/>
        </w:rPr>
        <w:t>台州四强新型建材有限公司</w:t>
      </w:r>
      <w:r>
        <w:rPr>
          <w:rFonts w:hint="eastAsia" w:ascii="宋体" w:hAnsi="宋体"/>
          <w:color w:val="auto"/>
          <w:sz w:val="28"/>
          <w:szCs w:val="28"/>
          <w:highlight w:val="none"/>
        </w:rPr>
        <w:t>（下称“</w:t>
      </w:r>
      <w:r>
        <w:rPr>
          <w:rFonts w:hint="eastAsia" w:ascii="宋体" w:hAnsi="宋体"/>
          <w:color w:val="auto"/>
          <w:sz w:val="28"/>
          <w:szCs w:val="28"/>
          <w:highlight w:val="none"/>
          <w:lang w:eastAsia="zh-CN"/>
        </w:rPr>
        <w:t>四强公司</w:t>
      </w:r>
      <w:r>
        <w:rPr>
          <w:rFonts w:hint="eastAsia" w:ascii="宋体" w:hAnsi="宋体"/>
          <w:color w:val="auto"/>
          <w:sz w:val="28"/>
          <w:szCs w:val="28"/>
          <w:highlight w:val="none"/>
        </w:rPr>
        <w:t>” 或</w:t>
      </w:r>
      <w:r>
        <w:rPr>
          <w:rFonts w:ascii="宋体" w:hAnsi="宋体"/>
          <w:color w:val="auto"/>
          <w:sz w:val="28"/>
          <w:szCs w:val="28"/>
          <w:highlight w:val="none"/>
        </w:rPr>
        <w:t>“标的公司”</w:t>
      </w:r>
      <w:r>
        <w:rPr>
          <w:rFonts w:hint="eastAsia" w:ascii="宋体" w:hAnsi="宋体"/>
          <w:color w:val="auto"/>
          <w:sz w:val="28"/>
          <w:szCs w:val="28"/>
          <w:highlight w:val="none"/>
        </w:rPr>
        <w:t>）</w:t>
      </w:r>
      <w:r>
        <w:rPr>
          <w:rFonts w:hint="eastAsia" w:ascii="宋体" w:hAnsi="宋体"/>
          <w:color w:val="auto"/>
          <w:sz w:val="28"/>
          <w:szCs w:val="28"/>
          <w:highlight w:val="none"/>
          <w:lang w:val="en-US" w:eastAsia="zh-CN"/>
        </w:rPr>
        <w:t>10%</w:t>
      </w:r>
      <w:r>
        <w:rPr>
          <w:rFonts w:hint="eastAsia" w:ascii="宋体" w:hAnsi="宋体"/>
          <w:color w:val="auto"/>
          <w:sz w:val="28"/>
          <w:szCs w:val="28"/>
          <w:highlight w:val="none"/>
        </w:rPr>
        <w:t>股权转让给乙方。为此，甲、乙双方遵循自愿、公平、诚实信用的原则及转让相关规定订立本合同，以致共同遵守。</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rPr>
        <w:t>鉴于：</w:t>
      </w:r>
    </w:p>
    <w:p>
      <w:pPr>
        <w:pStyle w:val="13"/>
        <w:keepNext w:val="0"/>
        <w:keepLines w:val="0"/>
        <w:pageBreakBefore w:val="0"/>
        <w:widowControl w:val="0"/>
        <w:numPr>
          <w:ilvl w:val="0"/>
          <w:numId w:val="8"/>
        </w:numPr>
        <w:kinsoku/>
        <w:wordWrap/>
        <w:overflowPunct/>
        <w:topLinePunct w:val="0"/>
        <w:autoSpaceDE/>
        <w:autoSpaceDN/>
        <w:bidi w:val="0"/>
        <w:adjustRightInd w:val="0"/>
        <w:snapToGrid w:val="0"/>
        <w:spacing w:after="0" w:afterLines="0" w:line="360" w:lineRule="auto"/>
        <w:ind w:left="0" w:firstLine="560" w:firstLineChars="200"/>
        <w:textAlignment w:val="auto"/>
        <w:rPr>
          <w:rFonts w:hint="eastAsia" w:ascii="宋体" w:hAnsi="宋体"/>
          <w:color w:val="auto"/>
          <w:sz w:val="28"/>
          <w:szCs w:val="28"/>
          <w:highlight w:val="none"/>
          <w:lang w:val="en-US" w:eastAsia="zh-CN"/>
        </w:rPr>
      </w:pPr>
      <w:r>
        <w:rPr>
          <w:rFonts w:hint="eastAsia" w:ascii="宋体" w:hAnsi="宋体"/>
          <w:color w:val="auto"/>
          <w:sz w:val="28"/>
          <w:szCs w:val="28"/>
          <w:highlight w:val="none"/>
          <w:lang w:val="en-US" w:eastAsia="zh-CN"/>
        </w:rPr>
        <w:t>台州四强新型建材有限公司成立于2000年12月20日，注册资本2000万元，统一社会信用代码为</w:t>
      </w:r>
      <w:r>
        <w:rPr>
          <w:rFonts w:hint="eastAsia" w:ascii="宋体" w:hAnsi="宋体"/>
          <w:color w:val="auto"/>
          <w:sz w:val="28"/>
          <w:szCs w:val="28"/>
          <w:highlight w:val="none"/>
        </w:rPr>
        <w:t>91331002</w:t>
      </w:r>
      <w:r>
        <w:rPr>
          <w:rFonts w:hint="eastAsia" w:ascii="宋体" w:hAnsi="宋体"/>
          <w:color w:val="auto"/>
          <w:sz w:val="28"/>
          <w:szCs w:val="28"/>
          <w:highlight w:val="none"/>
          <w:lang w:val="en-US" w:eastAsia="zh-CN"/>
        </w:rPr>
        <w:t>725866012M，法定代表人为叶东民；经营范围：货运；普通货运、货物专用运输（罐式）（凭有效许可证经营）；预拌商品混凝土专业承包贰级、预制件制造、加工；建筑材料批发、零售；商品混凝土专用设备租赁；砂、石料加工。(除依法须经批准的项目，经相关部门批准后方可开展经营活动)。</w:t>
      </w:r>
    </w:p>
    <w:p>
      <w:pPr>
        <w:pStyle w:val="13"/>
        <w:keepNext w:val="0"/>
        <w:keepLines w:val="0"/>
        <w:pageBreakBefore w:val="0"/>
        <w:widowControl w:val="0"/>
        <w:numPr>
          <w:ilvl w:val="0"/>
          <w:numId w:val="8"/>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转让标的经有资质的</w:t>
      </w:r>
      <w:r>
        <w:rPr>
          <w:rFonts w:hint="eastAsia" w:ascii="宋体" w:hAnsi="宋体"/>
          <w:color w:val="auto"/>
          <w:sz w:val="28"/>
          <w:szCs w:val="28"/>
          <w:highlight w:val="none"/>
          <w:lang w:val="en-US" w:eastAsia="zh-CN"/>
        </w:rPr>
        <w:t>台州宏诚资产评估事务所（普通合伙）</w:t>
      </w:r>
      <w:r>
        <w:rPr>
          <w:rFonts w:hint="eastAsia" w:ascii="宋体" w:hAnsi="宋体"/>
          <w:color w:val="auto"/>
          <w:sz w:val="28"/>
          <w:szCs w:val="28"/>
          <w:highlight w:val="none"/>
        </w:rPr>
        <w:t>评估，出具了以</w:t>
      </w:r>
      <w:r>
        <w:rPr>
          <w:rFonts w:ascii="宋体" w:hAnsi="宋体"/>
          <w:color w:val="auto"/>
          <w:sz w:val="28"/>
          <w:szCs w:val="28"/>
          <w:highlight w:val="none"/>
        </w:rPr>
        <w:t>20</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31</w:t>
      </w:r>
      <w:r>
        <w:rPr>
          <w:rFonts w:hint="eastAsia" w:ascii="宋体" w:hAnsi="宋体"/>
          <w:color w:val="auto"/>
          <w:sz w:val="28"/>
          <w:szCs w:val="28"/>
          <w:highlight w:val="none"/>
        </w:rPr>
        <w:t>日为评估基准日的</w:t>
      </w:r>
      <w:r>
        <w:rPr>
          <w:rFonts w:hint="eastAsia" w:ascii="宋体" w:hAnsi="宋体"/>
          <w:color w:val="auto"/>
          <w:sz w:val="28"/>
          <w:szCs w:val="28"/>
          <w:highlight w:val="none"/>
          <w:lang w:val="en-US" w:eastAsia="zh-CN"/>
        </w:rPr>
        <w:t>宏诚</w:t>
      </w:r>
      <w:r>
        <w:rPr>
          <w:rFonts w:hint="eastAsia" w:ascii="宋体" w:hAnsi="宋体"/>
          <w:color w:val="auto"/>
          <w:sz w:val="28"/>
          <w:szCs w:val="28"/>
          <w:highlight w:val="none"/>
          <w:lang w:eastAsia="zh-CN"/>
        </w:rPr>
        <w:t>评报</w:t>
      </w:r>
      <w:r>
        <w:rPr>
          <w:rFonts w:hint="eastAsia" w:ascii="宋体" w:hAnsi="宋体"/>
          <w:color w:val="auto"/>
          <w:sz w:val="28"/>
          <w:szCs w:val="28"/>
          <w:highlight w:val="none"/>
          <w:lang w:val="en-US" w:eastAsia="zh-CN"/>
        </w:rPr>
        <w:t>字</w:t>
      </w:r>
      <w:r>
        <w:rPr>
          <w:rFonts w:hint="eastAsia" w:ascii="宋体" w:hAnsi="宋体"/>
          <w:color w:val="auto"/>
          <w:sz w:val="28"/>
          <w:szCs w:val="28"/>
          <w:highlight w:val="none"/>
          <w:lang w:eastAsia="zh-CN"/>
        </w:rPr>
        <w:t>【</w:t>
      </w:r>
      <w:r>
        <w:rPr>
          <w:rFonts w:hint="eastAsia" w:ascii="宋体" w:hAnsi="宋体"/>
          <w:color w:val="auto"/>
          <w:sz w:val="28"/>
          <w:szCs w:val="28"/>
          <w:highlight w:val="none"/>
          <w:lang w:val="en-US" w:eastAsia="zh-CN"/>
        </w:rPr>
        <w:t>2021</w:t>
      </w:r>
      <w:r>
        <w:rPr>
          <w:rFonts w:hint="eastAsia" w:ascii="宋体" w:hAnsi="宋体"/>
          <w:color w:val="auto"/>
          <w:sz w:val="28"/>
          <w:szCs w:val="28"/>
          <w:highlight w:val="none"/>
          <w:lang w:eastAsia="zh-CN"/>
        </w:rPr>
        <w:t>】第</w:t>
      </w:r>
      <w:r>
        <w:rPr>
          <w:rFonts w:hint="eastAsia" w:ascii="宋体" w:hAnsi="宋体"/>
          <w:color w:val="auto"/>
          <w:sz w:val="28"/>
          <w:szCs w:val="28"/>
          <w:highlight w:val="none"/>
          <w:lang w:val="en-US" w:eastAsia="zh-CN"/>
        </w:rPr>
        <w:t>061号</w:t>
      </w:r>
      <w:r>
        <w:rPr>
          <w:rFonts w:hint="eastAsia" w:ascii="宋体" w:hAnsi="宋体"/>
          <w:color w:val="auto"/>
          <w:sz w:val="28"/>
          <w:szCs w:val="28"/>
          <w:highlight w:val="none"/>
        </w:rPr>
        <w:t>《玉环市国有资产投资经营集团有限公司拟进行股权处置涉及</w:t>
      </w:r>
      <w:r>
        <w:rPr>
          <w:rFonts w:hint="eastAsia" w:ascii="宋体" w:hAnsi="宋体"/>
          <w:color w:val="auto"/>
          <w:sz w:val="28"/>
          <w:szCs w:val="28"/>
          <w:highlight w:val="none"/>
          <w:lang w:eastAsia="zh-CN"/>
        </w:rPr>
        <w:t>玉环市国有资产投资经营集团有限公司持有的台州四强新型建材</w:t>
      </w:r>
      <w:r>
        <w:rPr>
          <w:rFonts w:hint="eastAsia" w:ascii="宋体" w:hAnsi="宋体"/>
          <w:color w:val="auto"/>
          <w:sz w:val="28"/>
          <w:szCs w:val="28"/>
          <w:highlight w:val="none"/>
        </w:rPr>
        <w:t>有限公司（</w:t>
      </w: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0%）股东权益价值项目资产评估报告》。</w:t>
      </w:r>
    </w:p>
    <w:p>
      <w:pPr>
        <w:pStyle w:val="13"/>
        <w:keepNext w:val="0"/>
        <w:keepLines w:val="0"/>
        <w:pageBreakBefore w:val="0"/>
        <w:widowControl w:val="0"/>
        <w:numPr>
          <w:ilvl w:val="0"/>
          <w:numId w:val="8"/>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bookmarkStart w:id="29" w:name="待定09"/>
      <w:r>
        <w:rPr>
          <w:rFonts w:hint="eastAsia" w:ascii="宋体" w:hAnsi="宋体"/>
          <w:color w:val="auto"/>
          <w:sz w:val="28"/>
          <w:szCs w:val="28"/>
          <w:highlight w:val="none"/>
        </w:rPr>
        <w:t>本次股权转让已经必要的内部决策和批准程序，资产评估报告已经玉环市</w:t>
      </w:r>
      <w:r>
        <w:rPr>
          <w:rFonts w:hint="eastAsia" w:ascii="宋体" w:hAnsi="宋体"/>
          <w:color w:val="auto"/>
          <w:sz w:val="28"/>
          <w:szCs w:val="28"/>
          <w:highlight w:val="none"/>
          <w:lang w:val="en-US" w:eastAsia="zh-CN"/>
        </w:rPr>
        <w:t>人民政府</w:t>
      </w:r>
      <w:r>
        <w:rPr>
          <w:rFonts w:hint="eastAsia" w:ascii="宋体" w:hAnsi="宋体"/>
          <w:color w:val="auto"/>
          <w:sz w:val="28"/>
          <w:szCs w:val="28"/>
          <w:highlight w:val="none"/>
        </w:rPr>
        <w:t>国有资产</w:t>
      </w:r>
      <w:r>
        <w:rPr>
          <w:rFonts w:hint="eastAsia" w:ascii="宋体" w:hAnsi="宋体"/>
          <w:color w:val="auto"/>
          <w:sz w:val="28"/>
          <w:szCs w:val="28"/>
          <w:highlight w:val="none"/>
          <w:lang w:val="en-US" w:eastAsia="zh-CN"/>
        </w:rPr>
        <w:t>监督管理办公室</w:t>
      </w:r>
      <w:r>
        <w:rPr>
          <w:rFonts w:hint="eastAsia" w:ascii="宋体" w:hAnsi="宋体"/>
          <w:color w:val="auto"/>
          <w:sz w:val="28"/>
          <w:szCs w:val="28"/>
          <w:highlight w:val="none"/>
        </w:rPr>
        <w:t>备案。</w:t>
      </w:r>
    </w:p>
    <w:bookmarkEnd w:id="29"/>
    <w:p>
      <w:pPr>
        <w:pStyle w:val="13"/>
        <w:keepNext w:val="0"/>
        <w:keepLines w:val="0"/>
        <w:pageBreakBefore w:val="0"/>
        <w:widowControl w:val="0"/>
        <w:numPr>
          <w:ilvl w:val="0"/>
          <w:numId w:val="8"/>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甲、乙双方当事人对上述情况及本次股权转让的相关资料均已进行全面详细的了解。</w:t>
      </w:r>
    </w:p>
    <w:p>
      <w:pPr>
        <w:pStyle w:val="13"/>
        <w:keepNext w:val="0"/>
        <w:keepLines w:val="0"/>
        <w:pageBreakBefore w:val="0"/>
        <w:widowControl w:val="0"/>
        <w:numPr>
          <w:ilvl w:val="0"/>
          <w:numId w:val="8"/>
        </w:numPr>
        <w:kinsoku/>
        <w:wordWrap/>
        <w:overflowPunct/>
        <w:topLinePunct w:val="0"/>
        <w:autoSpaceDE/>
        <w:autoSpaceDN/>
        <w:bidi w:val="0"/>
        <w:adjustRightInd w:val="0"/>
        <w:snapToGrid w:val="0"/>
        <w:spacing w:after="0" w:afterLines="0" w:line="360" w:lineRule="auto"/>
        <w:ind w:left="0"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本次股权转让，双方当事人均已被授权。</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val="en-US" w:eastAsia="zh-CN"/>
        </w:rPr>
        <w:t xml:space="preserve">第一条 </w:t>
      </w:r>
      <w:r>
        <w:rPr>
          <w:rFonts w:hint="eastAsia" w:ascii="宋体" w:hAnsi="宋体"/>
          <w:b/>
          <w:color w:val="auto"/>
          <w:sz w:val="28"/>
          <w:szCs w:val="28"/>
          <w:highlight w:val="none"/>
        </w:rPr>
        <w:t>转让的标的</w:t>
      </w:r>
    </w:p>
    <w:p>
      <w:pPr>
        <w:keepNext w:val="0"/>
        <w:keepLines w:val="0"/>
        <w:pageBreakBefore w:val="0"/>
        <w:widowControl w:val="0"/>
        <w:tabs>
          <w:tab w:val="left" w:pos="3780"/>
        </w:tabs>
        <w:kinsoku/>
        <w:wordWrap/>
        <w:overflowPunct/>
        <w:topLinePunct w:val="0"/>
        <w:autoSpaceDE/>
        <w:autoSpaceDN/>
        <w:bidi w:val="0"/>
        <w:adjustRightInd w:val="0"/>
        <w:snapToGrid w:val="0"/>
        <w:spacing w:afterLines="0" w:line="360" w:lineRule="auto"/>
        <w:ind w:firstLine="560" w:firstLineChars="200"/>
        <w:jc w:val="left"/>
        <w:textAlignment w:val="auto"/>
        <w:rPr>
          <w:rFonts w:ascii="宋体" w:hAnsi="宋体"/>
          <w:b/>
          <w:color w:val="auto"/>
          <w:sz w:val="28"/>
          <w:szCs w:val="28"/>
          <w:highlight w:val="none"/>
        </w:rPr>
      </w:pPr>
      <w:r>
        <w:rPr>
          <w:rFonts w:hint="eastAsia" w:ascii="宋体" w:hAnsi="宋体"/>
          <w:color w:val="auto"/>
          <w:sz w:val="28"/>
          <w:szCs w:val="28"/>
          <w:highlight w:val="none"/>
        </w:rPr>
        <w:t>甲方将持有的</w:t>
      </w:r>
      <w:r>
        <w:rPr>
          <w:rFonts w:hint="eastAsia" w:ascii="宋体" w:hAnsi="宋体"/>
          <w:color w:val="auto"/>
          <w:sz w:val="28"/>
          <w:szCs w:val="28"/>
          <w:highlight w:val="none"/>
          <w:u w:val="single"/>
          <w:lang w:eastAsia="zh-CN"/>
        </w:rPr>
        <w:t>台州四强新型建材有限公司</w:t>
      </w:r>
      <w:r>
        <w:rPr>
          <w:rFonts w:hint="eastAsia" w:ascii="宋体" w:hAnsi="宋体"/>
          <w:color w:val="auto"/>
          <w:sz w:val="28"/>
          <w:szCs w:val="28"/>
          <w:highlight w:val="none"/>
          <w:u w:val="single"/>
          <w:lang w:val="en-US" w:eastAsia="zh-CN"/>
        </w:rPr>
        <w:t>10%</w:t>
      </w:r>
      <w:r>
        <w:rPr>
          <w:rFonts w:hint="eastAsia" w:ascii="宋体" w:hAnsi="宋体"/>
          <w:color w:val="auto"/>
          <w:sz w:val="28"/>
          <w:szCs w:val="28"/>
          <w:highlight w:val="none"/>
        </w:rPr>
        <w:t>有偿转让给乙方。</w:t>
      </w:r>
    </w:p>
    <w:p>
      <w:pPr>
        <w:pStyle w:val="13"/>
        <w:keepNext w:val="0"/>
        <w:keepLines w:val="0"/>
        <w:pageBreakBefore w:val="0"/>
        <w:widowControl w:val="0"/>
        <w:numPr>
          <w:ilvl w:val="0"/>
          <w:numId w:val="9"/>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hint="eastAsia" w:ascii="宋体" w:hAnsi="宋体"/>
          <w:b/>
          <w:color w:val="auto"/>
          <w:sz w:val="28"/>
          <w:szCs w:val="28"/>
          <w:highlight w:val="none"/>
        </w:rPr>
      </w:pPr>
      <w:r>
        <w:rPr>
          <w:rFonts w:hint="eastAsia" w:ascii="宋体" w:hAnsi="宋体"/>
          <w:b/>
          <w:color w:val="auto"/>
          <w:sz w:val="28"/>
          <w:szCs w:val="28"/>
          <w:highlight w:val="none"/>
        </w:rPr>
        <w:t>转让标的公司涉及的债权、债务的承继和清偿办法。</w:t>
      </w:r>
    </w:p>
    <w:p>
      <w:pPr>
        <w:keepNext w:val="0"/>
        <w:keepLines w:val="0"/>
        <w:pageBreakBefore w:val="0"/>
        <w:widowControl w:val="0"/>
        <w:kinsoku/>
        <w:wordWrap/>
        <w:overflowPunct/>
        <w:topLinePunct w:val="0"/>
        <w:autoSpaceDE/>
        <w:autoSpaceDN/>
        <w:bidi w:val="0"/>
        <w:adjustRightInd w:val="0"/>
        <w:snapToGrid w:val="0"/>
        <w:spacing w:afterLines="0" w:line="360" w:lineRule="auto"/>
        <w:ind w:firstLine="560" w:firstLineChars="200"/>
        <w:textAlignment w:val="auto"/>
        <w:rPr>
          <w:rFonts w:hint="eastAsia" w:ascii="宋体" w:hAnsi="宋体"/>
          <w:bCs/>
          <w:color w:val="auto"/>
          <w:sz w:val="28"/>
          <w:szCs w:val="28"/>
        </w:rPr>
      </w:pPr>
      <w:r>
        <w:rPr>
          <w:rFonts w:hint="eastAsia" w:ascii="宋体" w:hAnsi="宋体"/>
          <w:color w:val="auto"/>
          <w:sz w:val="28"/>
          <w:szCs w:val="28"/>
        </w:rPr>
        <w:t>本次股权转让完成后，</w:t>
      </w:r>
      <w:r>
        <w:rPr>
          <w:rFonts w:hint="eastAsia" w:ascii="宋体" w:hAnsi="宋体"/>
          <w:color w:val="auto"/>
          <w:sz w:val="28"/>
          <w:szCs w:val="28"/>
          <w:lang w:eastAsia="zh-CN"/>
        </w:rPr>
        <w:t>台州四强新型建材有限公司</w:t>
      </w:r>
      <w:r>
        <w:rPr>
          <w:rFonts w:hint="eastAsia" w:ascii="宋体" w:hAnsi="宋体"/>
          <w:color w:val="auto"/>
          <w:sz w:val="28"/>
          <w:szCs w:val="28"/>
          <w:u w:val="none"/>
        </w:rPr>
        <w:t>的法</w:t>
      </w:r>
      <w:r>
        <w:rPr>
          <w:rFonts w:hint="eastAsia" w:ascii="宋体" w:hAnsi="宋体"/>
          <w:color w:val="auto"/>
          <w:sz w:val="28"/>
          <w:szCs w:val="28"/>
        </w:rPr>
        <w:t>人主体未发生变化，为依法存续的有限责任公司。故此，其所有债权、债务依然由</w:t>
      </w:r>
      <w:r>
        <w:rPr>
          <w:rFonts w:hint="eastAsia" w:ascii="宋体" w:hAnsi="宋体"/>
          <w:color w:val="auto"/>
          <w:sz w:val="28"/>
          <w:szCs w:val="28"/>
          <w:lang w:eastAsia="zh-CN"/>
        </w:rPr>
        <w:t>台州四强新型建材有限公司</w:t>
      </w:r>
      <w:r>
        <w:rPr>
          <w:rFonts w:hint="eastAsia" w:ascii="宋体" w:hAnsi="宋体"/>
          <w:color w:val="auto"/>
          <w:sz w:val="28"/>
          <w:szCs w:val="28"/>
        </w:rPr>
        <w:t>承继。</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第三条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股权转让方式</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bookmarkStart w:id="30" w:name="待定10"/>
      <w:r>
        <w:rPr>
          <w:rFonts w:hint="eastAsia" w:ascii="宋体" w:hAnsi="宋体"/>
          <w:color w:val="auto"/>
          <w:sz w:val="28"/>
          <w:szCs w:val="28"/>
          <w:highlight w:val="none"/>
          <w:u w:val="single"/>
        </w:rPr>
        <w:t>网络竞价方式</w:t>
      </w:r>
      <w:r>
        <w:rPr>
          <w:rFonts w:hint="eastAsia" w:ascii="宋体" w:hAnsi="宋体"/>
          <w:color w:val="auto"/>
          <w:sz w:val="28"/>
          <w:szCs w:val="28"/>
          <w:highlight w:val="none"/>
        </w:rPr>
        <w:t>。</w:t>
      </w:r>
    </w:p>
    <w:bookmarkEnd w:id="30"/>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第四条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股权转让价格</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甲方将本合同第一条规定的转让标的以人民币（大写）</w:t>
      </w:r>
      <w:r>
        <w:rPr>
          <w:rFonts w:hint="eastAsia" w:ascii="宋体" w:hAnsi="宋体"/>
          <w:color w:val="auto"/>
          <w:sz w:val="28"/>
          <w:szCs w:val="28"/>
          <w:highlight w:val="none"/>
          <w:u w:val="single"/>
        </w:rPr>
        <w:t>【*</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w:t>
      </w:r>
      <w:r>
        <w:rPr>
          <w:rFonts w:ascii="宋体" w:hAnsi="宋体"/>
          <w:color w:val="auto"/>
          <w:sz w:val="28"/>
          <w:szCs w:val="28"/>
          <w:highlight w:val="none"/>
          <w:u w:val="single"/>
        </w:rPr>
        <w:t>元</w:t>
      </w:r>
      <w:r>
        <w:rPr>
          <w:rFonts w:hint="eastAsia" w:ascii="宋体" w:hAnsi="宋体"/>
          <w:color w:val="auto"/>
          <w:sz w:val="28"/>
          <w:szCs w:val="28"/>
          <w:highlight w:val="none"/>
        </w:rPr>
        <w:t>，（小写）￥</w:t>
      </w:r>
      <w:r>
        <w:rPr>
          <w:rFonts w:hint="eastAsia" w:ascii="宋体" w:hAnsi="宋体"/>
          <w:color w:val="auto"/>
          <w:sz w:val="28"/>
          <w:szCs w:val="28"/>
          <w:highlight w:val="none"/>
          <w:u w:val="single"/>
        </w:rPr>
        <w:t>【*</w:t>
      </w:r>
      <w:r>
        <w:rPr>
          <w:rFonts w:hint="eastAsia" w:ascii="宋体" w:hAnsi="宋体"/>
          <w:color w:val="auto"/>
          <w:sz w:val="28"/>
          <w:szCs w:val="28"/>
          <w:highlight w:val="none"/>
          <w:u w:val="single"/>
          <w:lang w:val="en-US" w:eastAsia="zh-CN"/>
        </w:rPr>
        <w:t xml:space="preserve">   </w:t>
      </w:r>
      <w:r>
        <w:rPr>
          <w:rFonts w:hint="eastAsia" w:ascii="宋体" w:hAnsi="宋体"/>
          <w:color w:val="auto"/>
          <w:sz w:val="28"/>
          <w:szCs w:val="28"/>
          <w:highlight w:val="none"/>
          <w:u w:val="single"/>
        </w:rPr>
        <w:t>】</w:t>
      </w:r>
      <w:r>
        <w:rPr>
          <w:rFonts w:hint="eastAsia" w:ascii="宋体" w:hAnsi="宋体"/>
          <w:color w:val="auto"/>
          <w:sz w:val="28"/>
          <w:szCs w:val="28"/>
          <w:highlight w:val="none"/>
        </w:rPr>
        <w:t>元转让给乙方。</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第五条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股权转让价款的支付方式、期限及付款条件</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rPr>
        <w:t>甲、乙双方在本合同签订生效后，乙方于五个工作日内，一次性足额支付产权转让价款。上述款项应汇入台州市产权交易所有限公司，开户行：</w:t>
      </w:r>
      <w:r>
        <w:rPr>
          <w:rFonts w:hint="eastAsia" w:ascii="宋体" w:hAnsi="宋体"/>
          <w:color w:val="auto"/>
          <w:sz w:val="28"/>
          <w:szCs w:val="28"/>
          <w:highlight w:val="none"/>
          <w:lang w:val="en-GB"/>
        </w:rPr>
        <w:t>浙江民泰商业银行</w:t>
      </w:r>
      <w:r>
        <w:rPr>
          <w:rFonts w:hint="eastAsia" w:ascii="宋体" w:hAnsi="宋体"/>
          <w:color w:val="auto"/>
          <w:sz w:val="28"/>
          <w:szCs w:val="28"/>
          <w:highlight w:val="none"/>
        </w:rPr>
        <w:t>股份有限公司</w:t>
      </w:r>
      <w:r>
        <w:rPr>
          <w:rFonts w:hint="eastAsia" w:ascii="宋体" w:hAnsi="宋体"/>
          <w:color w:val="auto"/>
          <w:sz w:val="28"/>
          <w:szCs w:val="28"/>
          <w:highlight w:val="none"/>
          <w:lang w:val="en-GB"/>
        </w:rPr>
        <w:t>椒江</w:t>
      </w:r>
      <w:r>
        <w:rPr>
          <w:rFonts w:hint="eastAsia" w:ascii="宋体" w:hAnsi="宋体"/>
          <w:color w:val="auto"/>
          <w:sz w:val="28"/>
          <w:szCs w:val="28"/>
          <w:highlight w:val="none"/>
        </w:rPr>
        <w:t>市府大道</w:t>
      </w:r>
      <w:r>
        <w:rPr>
          <w:rFonts w:hint="eastAsia" w:ascii="宋体" w:hAnsi="宋体"/>
          <w:color w:val="auto"/>
          <w:sz w:val="28"/>
          <w:szCs w:val="28"/>
          <w:highlight w:val="none"/>
          <w:lang w:val="en-GB"/>
        </w:rPr>
        <w:t>支行</w:t>
      </w:r>
      <w:r>
        <w:rPr>
          <w:rFonts w:hint="eastAsia" w:ascii="宋体" w:hAnsi="宋体"/>
          <w:color w:val="auto"/>
          <w:sz w:val="28"/>
          <w:szCs w:val="28"/>
          <w:highlight w:val="none"/>
        </w:rPr>
        <w:t>，帐号：583016260800028合同订立后，乙方先期汇入的</w:t>
      </w:r>
      <w:r>
        <w:rPr>
          <w:rFonts w:hint="eastAsia" w:ascii="宋体" w:hAnsi="宋体"/>
          <w:color w:val="auto"/>
          <w:sz w:val="28"/>
          <w:szCs w:val="28"/>
          <w:highlight w:val="none"/>
          <w:u w:val="single"/>
          <w:lang w:val="en-US" w:eastAsia="zh-CN"/>
        </w:rPr>
        <w:t>192.00万</w:t>
      </w:r>
      <w:r>
        <w:rPr>
          <w:rFonts w:hint="eastAsia" w:ascii="宋体" w:hAnsi="宋体"/>
          <w:i w:val="0"/>
          <w:iCs w:val="0"/>
          <w:color w:val="auto"/>
          <w:sz w:val="28"/>
          <w:szCs w:val="28"/>
          <w:highlight w:val="none"/>
          <w:u w:val="single"/>
        </w:rPr>
        <w:t>元</w:t>
      </w:r>
      <w:r>
        <w:rPr>
          <w:rFonts w:hint="eastAsia" w:ascii="宋体" w:hAnsi="宋体"/>
          <w:color w:val="auto"/>
          <w:sz w:val="28"/>
          <w:szCs w:val="28"/>
          <w:highlight w:val="none"/>
        </w:rPr>
        <w:t>竞买保证金转为本合同履约保证金，该保证金可转作应支付的部分转让价款。</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hint="eastAsia" w:ascii="宋体" w:hAnsi="宋体"/>
          <w:b/>
          <w:color w:val="auto"/>
          <w:sz w:val="28"/>
          <w:szCs w:val="28"/>
          <w:highlight w:val="none"/>
        </w:rPr>
      </w:pPr>
      <w:r>
        <w:rPr>
          <w:rFonts w:hint="eastAsia" w:ascii="宋体" w:hAnsi="宋体"/>
          <w:b/>
          <w:color w:val="auto"/>
          <w:sz w:val="28"/>
          <w:szCs w:val="28"/>
          <w:highlight w:val="none"/>
          <w:lang w:eastAsia="zh-CN"/>
        </w:rPr>
        <w:t>第六条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股权交割事项</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rPr>
        <w:t>1、乙方应当在本合同所载成交款付清后，产交所出具《产权交易凭证》后20个工作日内与甲方办理股权交接手续。</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rPr>
        <w:t>2、股权转让评估基准日（20</w:t>
      </w:r>
      <w:r>
        <w:rPr>
          <w:rFonts w:hint="eastAsia" w:ascii="宋体" w:hAnsi="宋体"/>
          <w:color w:val="auto"/>
          <w:sz w:val="28"/>
          <w:szCs w:val="28"/>
          <w:highlight w:val="none"/>
          <w:lang w:val="en-US" w:eastAsia="zh-CN"/>
        </w:rPr>
        <w:t>21</w:t>
      </w:r>
      <w:r>
        <w:rPr>
          <w:rFonts w:hint="eastAsia" w:ascii="宋体" w:hAnsi="宋体"/>
          <w:color w:val="auto"/>
          <w:sz w:val="28"/>
          <w:szCs w:val="28"/>
          <w:highlight w:val="none"/>
        </w:rPr>
        <w:t>年</w:t>
      </w:r>
      <w:r>
        <w:rPr>
          <w:rFonts w:hint="eastAsia" w:ascii="宋体" w:hAnsi="宋体"/>
          <w:color w:val="auto"/>
          <w:sz w:val="28"/>
          <w:szCs w:val="28"/>
          <w:highlight w:val="none"/>
          <w:lang w:val="en-US" w:eastAsia="zh-CN"/>
        </w:rPr>
        <w:t>5</w:t>
      </w:r>
      <w:r>
        <w:rPr>
          <w:rFonts w:hint="eastAsia" w:ascii="宋体" w:hAnsi="宋体"/>
          <w:color w:val="auto"/>
          <w:sz w:val="28"/>
          <w:szCs w:val="28"/>
          <w:highlight w:val="none"/>
        </w:rPr>
        <w:t>月</w:t>
      </w:r>
      <w:r>
        <w:rPr>
          <w:rFonts w:hint="eastAsia" w:ascii="宋体" w:hAnsi="宋体"/>
          <w:color w:val="auto"/>
          <w:sz w:val="28"/>
          <w:szCs w:val="28"/>
          <w:highlight w:val="none"/>
          <w:lang w:val="en-US" w:eastAsia="zh-CN"/>
        </w:rPr>
        <w:t>31</w:t>
      </w:r>
      <w:r>
        <w:rPr>
          <w:rFonts w:hint="eastAsia" w:ascii="宋体" w:hAnsi="宋体"/>
          <w:color w:val="auto"/>
          <w:sz w:val="28"/>
          <w:szCs w:val="28"/>
          <w:highlight w:val="none"/>
        </w:rPr>
        <w:t>日）至股权转让交割日期间，标的企业经营损益不再进行审计清算，由乙方享有或承担。</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firstLine="562" w:firstLineChars="200"/>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第七条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权证的变更</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0" w:firstLineChars="200"/>
        <w:jc w:val="left"/>
        <w:textAlignment w:val="auto"/>
        <w:rPr>
          <w:rFonts w:hint="eastAsia" w:ascii="宋体" w:hAnsi="宋体"/>
          <w:b w:val="0"/>
          <w:bCs/>
          <w:color w:val="auto"/>
          <w:sz w:val="28"/>
          <w:szCs w:val="28"/>
          <w:highlight w:val="none"/>
          <w:lang w:eastAsia="zh-CN"/>
        </w:rPr>
      </w:pPr>
      <w:r>
        <w:rPr>
          <w:rFonts w:hint="eastAsia" w:ascii="宋体" w:hAnsi="宋体" w:eastAsia="宋体" w:cs="Times New Roman"/>
          <w:color w:val="auto"/>
          <w:kern w:val="2"/>
          <w:sz w:val="28"/>
          <w:szCs w:val="28"/>
          <w:highlight w:val="none"/>
          <w:lang w:val="en-US" w:eastAsia="zh-CN" w:bidi="ar-SA"/>
        </w:rPr>
        <w:t>甲乙双方协商和共同配合，由乙方完成所转让股权的权证变更手续。</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第八条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股权转让的税收和费用</w:t>
      </w:r>
    </w:p>
    <w:p>
      <w:pPr>
        <w:pStyle w:val="13"/>
        <w:keepNext w:val="0"/>
        <w:keepLines w:val="0"/>
        <w:pageBreakBefore w:val="0"/>
        <w:widowControl w:val="0"/>
        <w:numPr>
          <w:ilvl w:val="0"/>
          <w:numId w:val="10"/>
        </w:numPr>
        <w:tabs>
          <w:tab w:val="left" w:pos="709"/>
        </w:tabs>
        <w:kinsoku/>
        <w:wordWrap/>
        <w:overflowPunct/>
        <w:topLinePunct w:val="0"/>
        <w:autoSpaceDE/>
        <w:autoSpaceDN/>
        <w:bidi w:val="0"/>
        <w:adjustRightInd w:val="0"/>
        <w:snapToGrid w:val="0"/>
        <w:spacing w:after="0" w:afterLines="0" w:line="360" w:lineRule="auto"/>
        <w:ind w:left="0"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本次股权转让中涉及的有关税收，按照国家有关法律规定缴纳。</w:t>
      </w:r>
    </w:p>
    <w:p>
      <w:pPr>
        <w:pStyle w:val="13"/>
        <w:keepNext w:val="0"/>
        <w:keepLines w:val="0"/>
        <w:pageBreakBefore w:val="0"/>
        <w:widowControl w:val="0"/>
        <w:numPr>
          <w:ilvl w:val="0"/>
          <w:numId w:val="10"/>
        </w:numPr>
        <w:tabs>
          <w:tab w:val="left" w:pos="709"/>
        </w:tabs>
        <w:kinsoku/>
        <w:wordWrap/>
        <w:overflowPunct/>
        <w:topLinePunct w:val="0"/>
        <w:autoSpaceDE/>
        <w:autoSpaceDN/>
        <w:bidi w:val="0"/>
        <w:adjustRightInd w:val="0"/>
        <w:snapToGrid w:val="0"/>
        <w:spacing w:after="0" w:afterLines="0" w:line="360" w:lineRule="auto"/>
        <w:ind w:left="0"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本次股权转让中涉及的交易佣金由乙方承担。</w:t>
      </w:r>
    </w:p>
    <w:p>
      <w:pPr>
        <w:pStyle w:val="13"/>
        <w:keepNext w:val="0"/>
        <w:keepLines w:val="0"/>
        <w:pageBreakBefore w:val="0"/>
        <w:widowControl w:val="0"/>
        <w:numPr>
          <w:ilvl w:val="0"/>
          <w:numId w:val="10"/>
        </w:numPr>
        <w:tabs>
          <w:tab w:val="left" w:pos="709"/>
        </w:tabs>
        <w:kinsoku/>
        <w:wordWrap/>
        <w:overflowPunct/>
        <w:topLinePunct w:val="0"/>
        <w:autoSpaceDE/>
        <w:autoSpaceDN/>
        <w:bidi w:val="0"/>
        <w:adjustRightInd w:val="0"/>
        <w:snapToGrid w:val="0"/>
        <w:spacing w:after="0" w:afterLines="0" w:line="360" w:lineRule="auto"/>
        <w:ind w:left="0"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权证变更涉及的有关费用，由</w:t>
      </w:r>
      <w:r>
        <w:rPr>
          <w:rFonts w:hint="eastAsia" w:ascii="宋体" w:hAnsi="宋体" w:cs="Times New Roman"/>
          <w:color w:val="auto"/>
          <w:kern w:val="2"/>
          <w:sz w:val="28"/>
          <w:szCs w:val="28"/>
          <w:highlight w:val="none"/>
          <w:lang w:val="en-US" w:eastAsia="zh-CN" w:bidi="ar-SA"/>
        </w:rPr>
        <w:t>乙方</w:t>
      </w:r>
      <w:r>
        <w:rPr>
          <w:rFonts w:hint="eastAsia" w:ascii="宋体" w:hAnsi="宋体"/>
          <w:color w:val="auto"/>
          <w:sz w:val="28"/>
          <w:szCs w:val="28"/>
          <w:highlight w:val="none"/>
        </w:rPr>
        <w:t>承担。</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第九条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甲、乙双方的</w:t>
      </w:r>
      <w:r>
        <w:rPr>
          <w:rFonts w:hint="eastAsia" w:ascii="宋体" w:hAnsi="宋体"/>
          <w:b/>
          <w:color w:val="auto"/>
          <w:sz w:val="28"/>
          <w:szCs w:val="28"/>
          <w:highlight w:val="none"/>
          <w:lang w:eastAsia="zh-CN"/>
        </w:rPr>
        <w:t>权利义务</w:t>
      </w:r>
    </w:p>
    <w:p>
      <w:pPr>
        <w:pStyle w:val="13"/>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leftChars="0" w:firstLine="560"/>
        <w:jc w:val="left"/>
        <w:textAlignment w:val="auto"/>
        <w:rPr>
          <w:rFonts w:ascii="宋体" w:hAnsi="宋体"/>
          <w:color w:val="auto"/>
          <w:sz w:val="28"/>
          <w:szCs w:val="28"/>
          <w:highlight w:val="none"/>
        </w:rPr>
      </w:pPr>
      <w:r>
        <w:rPr>
          <w:rFonts w:hint="eastAsia" w:ascii="宋体" w:hAnsi="宋体"/>
          <w:color w:val="auto"/>
          <w:sz w:val="28"/>
          <w:szCs w:val="28"/>
          <w:highlight w:val="none"/>
        </w:rPr>
        <w:t>甲方的</w:t>
      </w:r>
      <w:r>
        <w:rPr>
          <w:rFonts w:hint="eastAsia" w:ascii="宋体" w:hAnsi="宋体"/>
          <w:color w:val="auto"/>
          <w:sz w:val="28"/>
          <w:szCs w:val="28"/>
          <w:highlight w:val="none"/>
          <w:lang w:eastAsia="zh-CN"/>
        </w:rPr>
        <w:t>权利义务</w:t>
      </w:r>
      <w:r>
        <w:rPr>
          <w:rFonts w:hint="eastAsia" w:ascii="宋体" w:hAnsi="宋体"/>
          <w:color w:val="auto"/>
          <w:sz w:val="28"/>
          <w:szCs w:val="28"/>
          <w:highlight w:val="none"/>
        </w:rPr>
        <w:t>：</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对转让标的拥有合法、有效的处分权，并按国家相关法律、法规取得有效转让批准；</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rPr>
        <w:t>为签订本合同之前的所提交的各项证明文件及资料均为真实、完整的；</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default" w:ascii="宋体" w:hAnsi="宋体"/>
          <w:b/>
          <w:bCs/>
          <w:color w:val="auto"/>
          <w:sz w:val="28"/>
          <w:szCs w:val="28"/>
          <w:highlight w:val="none"/>
          <w:lang w:val="en-US" w:eastAsia="zh-CN"/>
        </w:rPr>
      </w:pPr>
      <w:r>
        <w:rPr>
          <w:rFonts w:hint="eastAsia" w:ascii="宋体" w:hAnsi="宋体"/>
          <w:color w:val="auto"/>
          <w:sz w:val="28"/>
          <w:szCs w:val="28"/>
          <w:highlight w:val="none"/>
        </w:rPr>
        <w:t>3</w:t>
      </w:r>
      <w:r>
        <w:rPr>
          <w:rFonts w:hint="eastAsia" w:ascii="宋体" w:hAnsi="宋体"/>
          <w:color w:val="auto"/>
          <w:sz w:val="28"/>
          <w:szCs w:val="28"/>
          <w:highlight w:val="none"/>
          <w:lang w:eastAsia="zh-CN"/>
        </w:rPr>
        <w:t>、</w:t>
      </w:r>
      <w:r>
        <w:rPr>
          <w:rFonts w:hint="eastAsia" w:ascii="宋体" w:hAnsi="宋体"/>
          <w:color w:val="auto"/>
          <w:sz w:val="28"/>
          <w:szCs w:val="28"/>
          <w:highlight w:val="none"/>
        </w:rPr>
        <w:t>签订本合同所需的包括但不限于授权、审批、公司内部决策等在内的一切批准手续均已合法取得，本合同成立的前提条件均已满足</w:t>
      </w:r>
      <w:r>
        <w:rPr>
          <w:rFonts w:hint="eastAsia" w:ascii="宋体" w:hAnsi="宋体"/>
          <w:color w:val="auto"/>
          <w:sz w:val="28"/>
          <w:szCs w:val="28"/>
          <w:highlight w:val="none"/>
          <w:lang w:eastAsia="zh-CN"/>
        </w:rPr>
        <w:t>。</w:t>
      </w:r>
    </w:p>
    <w:p>
      <w:pPr>
        <w:pStyle w:val="13"/>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leftChars="0"/>
        <w:jc w:val="left"/>
        <w:textAlignment w:val="auto"/>
        <w:rPr>
          <w:rFonts w:ascii="宋体" w:hAnsi="宋体"/>
          <w:color w:val="auto"/>
          <w:sz w:val="28"/>
          <w:szCs w:val="28"/>
          <w:highlight w:val="none"/>
        </w:rPr>
      </w:pPr>
      <w:r>
        <w:rPr>
          <w:rFonts w:hint="eastAsia" w:ascii="宋体" w:hAnsi="宋体"/>
          <w:color w:val="auto"/>
          <w:sz w:val="28"/>
          <w:szCs w:val="28"/>
          <w:highlight w:val="none"/>
        </w:rPr>
        <w:t>乙方的</w:t>
      </w:r>
      <w:r>
        <w:rPr>
          <w:rFonts w:hint="eastAsia" w:ascii="宋体" w:hAnsi="宋体"/>
          <w:color w:val="auto"/>
          <w:sz w:val="28"/>
          <w:szCs w:val="28"/>
          <w:highlight w:val="none"/>
          <w:lang w:eastAsia="zh-CN"/>
        </w:rPr>
        <w:t>权利义务</w:t>
      </w:r>
      <w:r>
        <w:rPr>
          <w:rFonts w:hint="eastAsia" w:ascii="宋体" w:hAnsi="宋体"/>
          <w:color w:val="auto"/>
          <w:sz w:val="28"/>
          <w:szCs w:val="28"/>
          <w:highlight w:val="none"/>
        </w:rPr>
        <w:t>：</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4、</w:t>
      </w:r>
      <w:r>
        <w:rPr>
          <w:rFonts w:hint="eastAsia" w:ascii="宋体" w:hAnsi="宋体"/>
          <w:color w:val="auto"/>
          <w:sz w:val="28"/>
          <w:szCs w:val="28"/>
          <w:highlight w:val="none"/>
          <w:lang w:eastAsia="zh-CN"/>
        </w:rPr>
        <w:t>乙方承诺</w:t>
      </w:r>
      <w:r>
        <w:rPr>
          <w:rFonts w:hint="eastAsia" w:ascii="宋体" w:hAnsi="宋体"/>
          <w:color w:val="auto"/>
          <w:sz w:val="28"/>
          <w:szCs w:val="28"/>
          <w:highlight w:val="none"/>
        </w:rPr>
        <w:t>拥有完全的权利和行为能力进行股权受让，无欺诈行为；</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5、</w:t>
      </w:r>
      <w:r>
        <w:rPr>
          <w:rFonts w:hint="eastAsia" w:ascii="宋体" w:hAnsi="宋体"/>
          <w:color w:val="auto"/>
          <w:sz w:val="28"/>
          <w:szCs w:val="28"/>
          <w:highlight w:val="none"/>
          <w:lang w:eastAsia="zh-CN"/>
        </w:rPr>
        <w:t>乙方承诺</w:t>
      </w:r>
      <w:r>
        <w:rPr>
          <w:rFonts w:hint="eastAsia" w:ascii="宋体" w:hAnsi="宋体"/>
          <w:color w:val="auto"/>
          <w:sz w:val="28"/>
          <w:szCs w:val="28"/>
          <w:highlight w:val="none"/>
        </w:rPr>
        <w:t>签订本合同所需的各项授权、审批以及内部决策等在内的一切批准手续均已合法取得；</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6、</w:t>
      </w:r>
      <w:r>
        <w:rPr>
          <w:rFonts w:hint="eastAsia" w:ascii="宋体" w:hAnsi="宋体"/>
          <w:color w:val="auto"/>
          <w:sz w:val="28"/>
          <w:szCs w:val="28"/>
          <w:highlight w:val="none"/>
          <w:lang w:eastAsia="zh-CN"/>
        </w:rPr>
        <w:t>乙方承诺</w:t>
      </w:r>
      <w:r>
        <w:rPr>
          <w:rFonts w:hint="eastAsia" w:ascii="宋体" w:hAnsi="宋体"/>
          <w:color w:val="auto"/>
          <w:sz w:val="28"/>
          <w:szCs w:val="28"/>
          <w:highlight w:val="none"/>
        </w:rPr>
        <w:t>受让转让标的没有违反对受让方具有约束力的合同、协议等所有法律文书；</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hint="eastAsia" w:ascii="宋体" w:hAnsi="宋体"/>
          <w:color w:val="auto"/>
          <w:sz w:val="28"/>
          <w:szCs w:val="28"/>
          <w:highlight w:val="none"/>
        </w:rPr>
      </w:pPr>
      <w:r>
        <w:rPr>
          <w:rFonts w:hint="eastAsia" w:ascii="宋体" w:hAnsi="宋体"/>
          <w:color w:val="auto"/>
          <w:sz w:val="28"/>
          <w:szCs w:val="28"/>
          <w:highlight w:val="none"/>
          <w:lang w:val="en-US" w:eastAsia="zh-CN"/>
        </w:rPr>
        <w:t>7、</w:t>
      </w:r>
      <w:r>
        <w:rPr>
          <w:rFonts w:hint="eastAsia" w:ascii="宋体" w:hAnsi="宋体"/>
          <w:color w:val="auto"/>
          <w:sz w:val="28"/>
          <w:szCs w:val="28"/>
          <w:highlight w:val="none"/>
        </w:rPr>
        <w:t>乙方保证按本合同之约定支付股权转让价款。</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违约责任</w:t>
      </w:r>
    </w:p>
    <w:p>
      <w:pPr>
        <w:keepNext w:val="0"/>
        <w:keepLines w:val="0"/>
        <w:pageBreakBefore w:val="0"/>
        <w:widowControl w:val="0"/>
        <w:kinsoku/>
        <w:wordWrap/>
        <w:overflowPunct/>
        <w:topLinePunct w:val="0"/>
        <w:autoSpaceDE/>
        <w:autoSpaceDN/>
        <w:bidi w:val="0"/>
        <w:adjustRightInd w:val="0"/>
        <w:snapToGrid w:val="0"/>
        <w:spacing w:after="0" w:afterLines="0" w:line="360" w:lineRule="auto"/>
        <w:ind w:firstLine="560" w:firstLineChars="200"/>
        <w:textAlignment w:val="auto"/>
        <w:rPr>
          <w:rFonts w:ascii="宋体" w:hAnsi="宋体"/>
          <w:color w:val="auto"/>
          <w:sz w:val="28"/>
          <w:szCs w:val="28"/>
          <w:highlight w:val="none"/>
        </w:rPr>
      </w:pPr>
      <w:r>
        <w:rPr>
          <w:rFonts w:hint="eastAsia" w:ascii="宋体" w:hAnsi="宋体"/>
          <w:color w:val="auto"/>
          <w:sz w:val="28"/>
          <w:szCs w:val="28"/>
          <w:highlight w:val="none"/>
        </w:rPr>
        <w:t>本合同各方当事人应当按照法律规定及本合同的约定严格履行各自的义务。当事人一方不履行合同义务或者履行合同义务不符合约定的，应当承担继续履行、采取补救措施或者赔偿损失等违约责任。</w:t>
      </w:r>
    </w:p>
    <w:p>
      <w:pPr>
        <w:pStyle w:val="13"/>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1、</w:t>
      </w:r>
      <w:r>
        <w:rPr>
          <w:rFonts w:hint="eastAsia" w:ascii="宋体" w:hAnsi="宋体"/>
          <w:color w:val="auto"/>
          <w:sz w:val="28"/>
          <w:szCs w:val="28"/>
          <w:highlight w:val="none"/>
        </w:rPr>
        <w:t>甲方应按合同约定</w:t>
      </w:r>
      <w:r>
        <w:rPr>
          <w:rFonts w:hint="eastAsia" w:ascii="宋体" w:hAnsi="宋体"/>
          <w:color w:val="auto"/>
          <w:sz w:val="28"/>
          <w:szCs w:val="28"/>
          <w:highlight w:val="none"/>
          <w:lang w:eastAsia="zh-CN"/>
        </w:rPr>
        <w:t>配合乙方办理股权转让</w:t>
      </w:r>
      <w:r>
        <w:rPr>
          <w:rFonts w:hint="eastAsia" w:ascii="宋体" w:hAnsi="宋体"/>
          <w:color w:val="auto"/>
          <w:sz w:val="28"/>
          <w:szCs w:val="28"/>
          <w:highlight w:val="none"/>
        </w:rPr>
        <w:t>变更登记</w:t>
      </w:r>
      <w:r>
        <w:rPr>
          <w:rFonts w:hint="eastAsia" w:ascii="宋体" w:hAnsi="宋体"/>
          <w:color w:val="auto"/>
          <w:sz w:val="28"/>
          <w:szCs w:val="28"/>
          <w:highlight w:val="none"/>
          <w:lang w:eastAsia="zh-CN"/>
        </w:rPr>
        <w:t>手续</w:t>
      </w:r>
      <w:r>
        <w:rPr>
          <w:rFonts w:hint="eastAsia" w:ascii="宋体" w:hAnsi="宋体"/>
          <w:color w:val="auto"/>
          <w:sz w:val="28"/>
          <w:szCs w:val="28"/>
          <w:highlight w:val="none"/>
        </w:rPr>
        <w:t>。如甲方</w:t>
      </w:r>
      <w:r>
        <w:rPr>
          <w:rFonts w:hint="eastAsia" w:ascii="宋体" w:hAnsi="宋体"/>
          <w:color w:val="auto"/>
          <w:sz w:val="28"/>
          <w:szCs w:val="28"/>
          <w:highlight w:val="none"/>
          <w:lang w:eastAsia="zh-CN"/>
        </w:rPr>
        <w:t>拒不配合导致</w:t>
      </w:r>
      <w:r>
        <w:rPr>
          <w:rFonts w:hint="eastAsia" w:ascii="宋体" w:hAnsi="宋体"/>
          <w:color w:val="auto"/>
          <w:sz w:val="28"/>
          <w:szCs w:val="28"/>
          <w:highlight w:val="none"/>
        </w:rPr>
        <w:t>迟延办理</w:t>
      </w:r>
      <w:r>
        <w:rPr>
          <w:rFonts w:hint="eastAsia" w:ascii="宋体" w:hAnsi="宋体"/>
          <w:color w:val="auto"/>
          <w:sz w:val="28"/>
          <w:szCs w:val="28"/>
          <w:highlight w:val="none"/>
          <w:lang w:eastAsia="zh-CN"/>
        </w:rPr>
        <w:t>股权转让</w:t>
      </w:r>
      <w:r>
        <w:rPr>
          <w:rFonts w:hint="eastAsia" w:ascii="宋体" w:hAnsi="宋体"/>
          <w:color w:val="auto"/>
          <w:sz w:val="28"/>
          <w:szCs w:val="28"/>
          <w:highlight w:val="none"/>
        </w:rPr>
        <w:t>变更登记</w:t>
      </w:r>
      <w:r>
        <w:rPr>
          <w:rFonts w:hint="eastAsia" w:ascii="宋体" w:hAnsi="宋体"/>
          <w:color w:val="auto"/>
          <w:sz w:val="28"/>
          <w:szCs w:val="28"/>
          <w:highlight w:val="none"/>
          <w:lang w:eastAsia="zh-CN"/>
        </w:rPr>
        <w:t>手续的</w:t>
      </w:r>
      <w:r>
        <w:rPr>
          <w:rFonts w:hint="eastAsia" w:ascii="宋体" w:hAnsi="宋体"/>
          <w:color w:val="auto"/>
          <w:sz w:val="28"/>
          <w:szCs w:val="28"/>
          <w:highlight w:val="none"/>
        </w:rPr>
        <w:t>，则应自逾期之日起至</w:t>
      </w:r>
      <w:r>
        <w:rPr>
          <w:rFonts w:hint="eastAsia" w:ascii="宋体" w:hAnsi="宋体"/>
          <w:color w:val="auto"/>
          <w:sz w:val="28"/>
          <w:szCs w:val="28"/>
          <w:highlight w:val="none"/>
          <w:lang w:eastAsia="zh-CN"/>
        </w:rPr>
        <w:t>甲方配合之日止</w:t>
      </w:r>
      <w:r>
        <w:rPr>
          <w:rFonts w:hint="eastAsia" w:ascii="宋体" w:hAnsi="宋体"/>
          <w:color w:val="auto"/>
          <w:sz w:val="28"/>
          <w:szCs w:val="28"/>
          <w:highlight w:val="none"/>
        </w:rPr>
        <w:t>按乙方已</w:t>
      </w:r>
      <w:r>
        <w:rPr>
          <w:rFonts w:ascii="宋体" w:hAnsi="宋体"/>
          <w:color w:val="auto"/>
          <w:sz w:val="28"/>
          <w:szCs w:val="28"/>
          <w:highlight w:val="none"/>
        </w:rPr>
        <w:t>支付的股权</w:t>
      </w:r>
      <w:r>
        <w:rPr>
          <w:rFonts w:hint="eastAsia" w:ascii="宋体" w:hAnsi="宋体"/>
          <w:color w:val="auto"/>
          <w:sz w:val="28"/>
          <w:szCs w:val="28"/>
          <w:highlight w:val="none"/>
        </w:rPr>
        <w:t>转让</w:t>
      </w:r>
      <w:r>
        <w:rPr>
          <w:rFonts w:ascii="宋体" w:hAnsi="宋体"/>
          <w:color w:val="auto"/>
          <w:sz w:val="28"/>
          <w:szCs w:val="28"/>
          <w:highlight w:val="none"/>
        </w:rPr>
        <w:t>价款</w:t>
      </w:r>
      <w:r>
        <w:rPr>
          <w:rFonts w:hint="eastAsia" w:ascii="宋体" w:hAnsi="宋体"/>
          <w:color w:val="auto"/>
          <w:sz w:val="28"/>
          <w:szCs w:val="28"/>
          <w:highlight w:val="none"/>
        </w:rPr>
        <w:t>的日</w:t>
      </w:r>
      <w:r>
        <w:rPr>
          <w:rFonts w:hint="eastAsia" w:ascii="宋体" w:hAnsi="宋体"/>
          <w:color w:val="auto"/>
          <w:sz w:val="28"/>
          <w:szCs w:val="28"/>
          <w:highlight w:val="none"/>
          <w:u w:val="single"/>
        </w:rPr>
        <w:t>0.0</w:t>
      </w:r>
      <w:r>
        <w:rPr>
          <w:rFonts w:ascii="宋体" w:hAnsi="宋体"/>
          <w:color w:val="auto"/>
          <w:sz w:val="28"/>
          <w:szCs w:val="28"/>
          <w:highlight w:val="none"/>
          <w:u w:val="single"/>
        </w:rPr>
        <w:t>2</w:t>
      </w:r>
      <w:r>
        <w:rPr>
          <w:rFonts w:hint="eastAsia" w:ascii="宋体" w:hAnsi="宋体"/>
          <w:color w:val="auto"/>
          <w:sz w:val="28"/>
          <w:szCs w:val="28"/>
          <w:highlight w:val="none"/>
          <w:u w:val="single"/>
        </w:rPr>
        <w:t>%</w:t>
      </w:r>
      <w:r>
        <w:rPr>
          <w:rFonts w:hint="eastAsia" w:ascii="宋体" w:hAnsi="宋体"/>
          <w:color w:val="auto"/>
          <w:sz w:val="28"/>
          <w:szCs w:val="28"/>
          <w:highlight w:val="none"/>
        </w:rPr>
        <w:t>向乙方支付违约金。</w:t>
      </w:r>
    </w:p>
    <w:p>
      <w:pPr>
        <w:pStyle w:val="13"/>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2、</w:t>
      </w:r>
      <w:r>
        <w:rPr>
          <w:rFonts w:hint="eastAsia" w:ascii="宋体" w:hAnsi="宋体"/>
          <w:color w:val="auto"/>
          <w:sz w:val="28"/>
          <w:szCs w:val="28"/>
          <w:highlight w:val="none"/>
          <w:lang w:eastAsia="zh-CN"/>
        </w:rPr>
        <w:t>乙方逾期支付股权转让款项的，视为乙方根本违约，甲方有权解除《股权转让合同》，同时有权不予返还保证金并要求乙方赔偿全部损失。</w:t>
      </w:r>
    </w:p>
    <w:p>
      <w:pPr>
        <w:pStyle w:val="13"/>
        <w:keepNext w:val="0"/>
        <w:keepLines w:val="0"/>
        <w:pageBreakBefore w:val="0"/>
        <w:widowControl w:val="0"/>
        <w:numPr>
          <w:ilvl w:val="0"/>
          <w:numId w:val="0"/>
        </w:numPr>
        <w:tabs>
          <w:tab w:val="left" w:pos="709"/>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lang w:val="en-US" w:eastAsia="zh-CN"/>
        </w:rPr>
        <w:t>3、</w:t>
      </w:r>
      <w:r>
        <w:rPr>
          <w:rFonts w:hint="eastAsia" w:ascii="宋体" w:hAnsi="宋体"/>
          <w:color w:val="auto"/>
          <w:sz w:val="28"/>
          <w:szCs w:val="28"/>
          <w:highlight w:val="none"/>
          <w:lang w:eastAsia="zh-CN"/>
        </w:rPr>
        <w:t>一方违约，除应按上述约定承担违约责任外，还应支付守约方为主张权利支出的全部费用（包括但不限于诉讼费用、律师费、公证费、鉴定费、评估费等）。</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第十一条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争议的解决方式</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甲、乙双方在履行本合同过程中若发生争议，应由双方协商解决，如协商解决不下，一方当事人可向甲方所在地人民法院起诉。</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第十二条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法律适用</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本合同的适用和解释均为中华人民共和国的法律。</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第十三条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合同的变更</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双方当事人协商一致可变更本合同，但不得损害国家和社会公共利益及不违反有关规定。</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第十四条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合同的解除</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有下列情形之一的，当事人可以解除合同：</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1、因不可抗力致使不能实现合同目的；</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bookmarkStart w:id="31" w:name="斟酌06"/>
      <w:r>
        <w:rPr>
          <w:rFonts w:hint="eastAsia" w:ascii="宋体" w:hAnsi="宋体"/>
          <w:color w:val="auto"/>
          <w:sz w:val="28"/>
          <w:szCs w:val="28"/>
          <w:highlight w:val="none"/>
        </w:rPr>
        <w:t>2、在履行期限届满之前，当事人一方明确表示或者以自己的行为表明不履行主要债务，另一方有权解除合同；</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3、当事人一方迟延履行主要债务，经催告后在合理期限内仍未履行，另一方有权解除合同；</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4、当事人一方迟延履行债务或者有其他违约行为致使不能实现合同目的，另一方有权解除合同；</w:t>
      </w:r>
    </w:p>
    <w:bookmarkEnd w:id="31"/>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5、法律规定的其他情形。</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变更或解除本合同均应采用书面形式，并送台州市产权交易所有限公司备案。</w:t>
      </w:r>
    </w:p>
    <w:p>
      <w:pPr>
        <w:pStyle w:val="13"/>
        <w:keepNext w:val="0"/>
        <w:keepLines w:val="0"/>
        <w:pageBreakBefore w:val="0"/>
        <w:widowControl w:val="0"/>
        <w:numPr>
          <w:ilvl w:val="0"/>
          <w:numId w:val="0"/>
        </w:numPr>
        <w:tabs>
          <w:tab w:val="left" w:pos="3780"/>
        </w:tabs>
        <w:kinsoku/>
        <w:wordWrap/>
        <w:overflowPunct/>
        <w:topLinePunct w:val="0"/>
        <w:autoSpaceDE/>
        <w:autoSpaceDN/>
        <w:bidi w:val="0"/>
        <w:adjustRightInd w:val="0"/>
        <w:snapToGrid w:val="0"/>
        <w:spacing w:after="0" w:afterLines="0" w:line="360" w:lineRule="auto"/>
        <w:ind w:left="0" w:leftChars="0" w:firstLine="562" w:firstLineChars="200"/>
        <w:jc w:val="left"/>
        <w:textAlignment w:val="auto"/>
        <w:rPr>
          <w:rFonts w:ascii="宋体" w:hAnsi="宋体"/>
          <w:b/>
          <w:color w:val="auto"/>
          <w:sz w:val="28"/>
          <w:szCs w:val="28"/>
          <w:highlight w:val="none"/>
        </w:rPr>
      </w:pPr>
      <w:r>
        <w:rPr>
          <w:rFonts w:hint="eastAsia" w:ascii="宋体" w:hAnsi="宋体"/>
          <w:b/>
          <w:color w:val="auto"/>
          <w:sz w:val="28"/>
          <w:szCs w:val="28"/>
          <w:highlight w:val="none"/>
          <w:lang w:eastAsia="zh-CN"/>
        </w:rPr>
        <w:t>第十五条</w:t>
      </w:r>
      <w:r>
        <w:rPr>
          <w:rFonts w:hint="eastAsia" w:ascii="宋体" w:hAnsi="宋体"/>
          <w:b/>
          <w:color w:val="auto"/>
          <w:sz w:val="28"/>
          <w:szCs w:val="28"/>
          <w:highlight w:val="none"/>
          <w:lang w:val="en-US" w:eastAsia="zh-CN"/>
        </w:rPr>
        <w:t xml:space="preserve"> </w:t>
      </w:r>
      <w:r>
        <w:rPr>
          <w:rFonts w:hint="eastAsia" w:ascii="宋体" w:hAnsi="宋体"/>
          <w:b/>
          <w:color w:val="auto"/>
          <w:sz w:val="28"/>
          <w:szCs w:val="28"/>
          <w:highlight w:val="none"/>
        </w:rPr>
        <w:t>合同的生效</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本合同自甲、乙双方的授权代表签字、盖章后生效。本合同生效后，双方对本合同内容的变更或补充应采用书面形式订立，并作为本合同的附件。附件与本合同具有同等的法律效力。</w:t>
      </w:r>
    </w:p>
    <w:p>
      <w:pPr>
        <w:keepNext w:val="0"/>
        <w:keepLines w:val="0"/>
        <w:pageBreakBefore w:val="0"/>
        <w:widowControl w:val="0"/>
        <w:tabs>
          <w:tab w:val="left" w:pos="3780"/>
        </w:tabs>
        <w:kinsoku/>
        <w:wordWrap/>
        <w:overflowPunct/>
        <w:topLinePunct w:val="0"/>
        <w:autoSpaceDE/>
        <w:autoSpaceDN/>
        <w:bidi w:val="0"/>
        <w:adjustRightInd w:val="0"/>
        <w:snapToGrid w:val="0"/>
        <w:spacing w:after="0" w:afterLines="0" w:line="360" w:lineRule="auto"/>
        <w:ind w:firstLine="560" w:firstLineChars="200"/>
        <w:jc w:val="left"/>
        <w:textAlignment w:val="auto"/>
        <w:rPr>
          <w:rFonts w:ascii="宋体" w:hAnsi="宋体"/>
          <w:color w:val="auto"/>
          <w:sz w:val="28"/>
          <w:szCs w:val="28"/>
          <w:highlight w:val="none"/>
        </w:rPr>
      </w:pPr>
      <w:r>
        <w:rPr>
          <w:rFonts w:hint="eastAsia" w:ascii="宋体" w:hAnsi="宋体"/>
          <w:color w:val="auto"/>
          <w:sz w:val="28"/>
          <w:szCs w:val="28"/>
          <w:highlight w:val="none"/>
        </w:rPr>
        <w:t>本合同一式</w:t>
      </w:r>
      <w:r>
        <w:rPr>
          <w:rFonts w:hint="eastAsia" w:ascii="宋体" w:hAnsi="宋体"/>
          <w:color w:val="auto"/>
          <w:sz w:val="28"/>
          <w:szCs w:val="28"/>
          <w:highlight w:val="none"/>
          <w:u w:val="single"/>
        </w:rPr>
        <w:t>陆</w:t>
      </w:r>
      <w:r>
        <w:rPr>
          <w:rFonts w:hint="eastAsia" w:ascii="宋体" w:hAnsi="宋体"/>
          <w:color w:val="auto"/>
          <w:sz w:val="28"/>
          <w:szCs w:val="28"/>
          <w:highlight w:val="none"/>
        </w:rPr>
        <w:t>份，甲、乙双方各执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份，标的公司执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份，台州市产权交易所有限公司执</w:t>
      </w:r>
      <w:r>
        <w:rPr>
          <w:rFonts w:hint="eastAsia" w:ascii="宋体" w:hAnsi="宋体"/>
          <w:color w:val="auto"/>
          <w:sz w:val="28"/>
          <w:szCs w:val="28"/>
          <w:highlight w:val="none"/>
          <w:u w:val="single"/>
        </w:rPr>
        <w:t>壹</w:t>
      </w:r>
      <w:r>
        <w:rPr>
          <w:rFonts w:hint="eastAsia" w:ascii="宋体" w:hAnsi="宋体"/>
          <w:color w:val="auto"/>
          <w:sz w:val="28"/>
          <w:szCs w:val="28"/>
          <w:highlight w:val="none"/>
        </w:rPr>
        <w:t>份，其余</w:t>
      </w:r>
      <w:r>
        <w:rPr>
          <w:rFonts w:hint="eastAsia" w:ascii="宋体" w:hAnsi="宋体"/>
          <w:color w:val="auto"/>
          <w:sz w:val="28"/>
          <w:szCs w:val="28"/>
          <w:highlight w:val="none"/>
          <w:u w:val="single"/>
        </w:rPr>
        <w:t>贰</w:t>
      </w:r>
      <w:r>
        <w:rPr>
          <w:rFonts w:hint="eastAsia" w:ascii="宋体" w:hAnsi="宋体"/>
          <w:color w:val="auto"/>
          <w:sz w:val="28"/>
          <w:szCs w:val="28"/>
          <w:highlight w:val="none"/>
        </w:rPr>
        <w:t>份报相关部门。</w:t>
      </w:r>
    </w:p>
    <w:p>
      <w:pPr>
        <w:tabs>
          <w:tab w:val="left" w:pos="3780"/>
        </w:tabs>
        <w:spacing w:after="156" w:afterLines="50" w:line="420" w:lineRule="exact"/>
        <w:ind w:firstLine="560"/>
        <w:jc w:val="left"/>
        <w:rPr>
          <w:rFonts w:ascii="宋体" w:hAnsi="宋体"/>
          <w:color w:val="auto"/>
          <w:sz w:val="28"/>
          <w:szCs w:val="28"/>
          <w:highlight w:val="none"/>
        </w:rPr>
      </w:pPr>
      <w:r>
        <w:rPr>
          <w:rFonts w:hint="eastAsia" w:ascii="宋体" w:hAnsi="宋体"/>
          <w:color w:val="auto"/>
          <w:sz w:val="28"/>
          <w:szCs w:val="28"/>
          <w:highlight w:val="none"/>
        </w:rPr>
        <w:br w:type="page"/>
      </w:r>
    </w:p>
    <w:p>
      <w:pPr>
        <w:spacing w:line="360" w:lineRule="exact"/>
        <w:ind w:firstLine="560"/>
        <w:rPr>
          <w:rFonts w:ascii="宋体" w:hAnsi="宋体"/>
          <w:color w:val="auto"/>
          <w:sz w:val="28"/>
          <w:szCs w:val="28"/>
          <w:highlight w:val="none"/>
        </w:rPr>
      </w:pPr>
      <w:r>
        <w:rPr>
          <w:rFonts w:hint="eastAsia" w:ascii="宋体" w:hAnsi="宋体"/>
          <w:color w:val="auto"/>
          <w:sz w:val="28"/>
          <w:szCs w:val="28"/>
          <w:highlight w:val="none"/>
        </w:rPr>
        <w:t>(此页无正文)</w:t>
      </w:r>
    </w:p>
    <w:p>
      <w:pPr>
        <w:spacing w:line="360" w:lineRule="exact"/>
        <w:ind w:firstLine="560"/>
        <w:rPr>
          <w:rFonts w:ascii="宋体" w:hAnsi="宋体"/>
          <w:color w:val="auto"/>
          <w:sz w:val="28"/>
          <w:szCs w:val="28"/>
          <w:highlight w:val="none"/>
        </w:rPr>
      </w:pPr>
    </w:p>
    <w:p>
      <w:pPr>
        <w:spacing w:line="360" w:lineRule="exact"/>
        <w:ind w:firstLine="560"/>
        <w:rPr>
          <w:rFonts w:ascii="宋体" w:hAnsi="宋体"/>
          <w:color w:val="auto"/>
          <w:sz w:val="28"/>
          <w:szCs w:val="28"/>
          <w:highlight w:val="none"/>
        </w:rPr>
      </w:pPr>
    </w:p>
    <w:tbl>
      <w:tblPr>
        <w:tblStyle w:val="10"/>
        <w:tblW w:w="9060" w:type="dxa"/>
        <w:tblInd w:w="0" w:type="dxa"/>
        <w:tblLayout w:type="fixed"/>
        <w:tblCellMar>
          <w:top w:w="0" w:type="dxa"/>
          <w:left w:w="108" w:type="dxa"/>
          <w:bottom w:w="0" w:type="dxa"/>
          <w:right w:w="108" w:type="dxa"/>
        </w:tblCellMar>
      </w:tblPr>
      <w:tblGrid>
        <w:gridCol w:w="4530"/>
        <w:gridCol w:w="4530"/>
      </w:tblGrid>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出让方（甲方）：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受让方（乙方）：</w:t>
            </w:r>
          </w:p>
          <w:p>
            <w:pPr>
              <w:spacing w:line="360" w:lineRule="exact"/>
              <w:ind w:firstLine="840" w:firstLineChars="30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840" w:firstLineChars="30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法定代表人（签字）：</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或授权代表：</w:t>
            </w:r>
          </w:p>
          <w:p>
            <w:pPr>
              <w:spacing w:line="360" w:lineRule="exact"/>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签订时间：    年  月   日</w:t>
            </w: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签订地点：</w:t>
            </w: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鉴证方：</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（盖章）</w:t>
            </w:r>
          </w:p>
          <w:p>
            <w:pPr>
              <w:spacing w:line="360" w:lineRule="exact"/>
              <w:ind w:firstLine="0" w:firstLineChars="0"/>
              <w:rPr>
                <w:rFonts w:ascii="宋体" w:hAnsi="宋体"/>
                <w:color w:val="auto"/>
                <w:sz w:val="28"/>
                <w:szCs w:val="28"/>
                <w:highlight w:val="none"/>
              </w:rPr>
            </w:pPr>
          </w:p>
        </w:tc>
        <w:tc>
          <w:tcPr>
            <w:tcW w:w="4530" w:type="dxa"/>
            <w:noWrap w:val="0"/>
            <w:vAlign w:val="center"/>
          </w:tcPr>
          <w:p>
            <w:pPr>
              <w:ind w:firstLine="0" w:firstLineChars="0"/>
              <w:rPr>
                <w:rFonts w:ascii="宋体" w:hAnsi="宋体"/>
                <w:color w:val="auto"/>
                <w:sz w:val="28"/>
                <w:szCs w:val="28"/>
                <w:highlight w:val="none"/>
              </w:rPr>
            </w:pPr>
          </w:p>
        </w:tc>
      </w:tr>
      <w:tr>
        <w:tblPrEx>
          <w:tblCellMar>
            <w:top w:w="0" w:type="dxa"/>
            <w:left w:w="108" w:type="dxa"/>
            <w:bottom w:w="0" w:type="dxa"/>
            <w:right w:w="108" w:type="dxa"/>
          </w:tblCellMar>
        </w:tblPrEx>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代表人：</w:t>
            </w:r>
          </w:p>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（签字）</w:t>
            </w:r>
          </w:p>
          <w:p>
            <w:pPr>
              <w:spacing w:line="360" w:lineRule="exact"/>
              <w:ind w:firstLine="0" w:firstLineChars="0"/>
              <w:rPr>
                <w:rFonts w:ascii="宋体" w:hAnsi="宋体"/>
                <w:color w:val="auto"/>
                <w:sz w:val="28"/>
                <w:szCs w:val="28"/>
                <w:highlight w:val="none"/>
              </w:rPr>
            </w:pPr>
          </w:p>
        </w:tc>
        <w:tc>
          <w:tcPr>
            <w:tcW w:w="4530" w:type="dxa"/>
            <w:noWrap w:val="0"/>
            <w:vAlign w:val="center"/>
          </w:tcPr>
          <w:p>
            <w:pPr>
              <w:spacing w:line="360" w:lineRule="exact"/>
              <w:ind w:firstLine="0" w:firstLineChars="0"/>
              <w:rPr>
                <w:rFonts w:ascii="宋体" w:hAnsi="宋体"/>
                <w:color w:val="auto"/>
                <w:sz w:val="28"/>
                <w:szCs w:val="28"/>
                <w:highlight w:val="none"/>
              </w:rPr>
            </w:pPr>
          </w:p>
        </w:tc>
      </w:tr>
      <w:tr>
        <w:trPr>
          <w:trHeight w:val="851" w:hRule="atLeast"/>
        </w:trPr>
        <w:tc>
          <w:tcPr>
            <w:tcW w:w="4530" w:type="dxa"/>
            <w:noWrap w:val="0"/>
            <w:vAlign w:val="center"/>
          </w:tcPr>
          <w:p>
            <w:pPr>
              <w:spacing w:line="360" w:lineRule="exact"/>
              <w:ind w:firstLine="0" w:firstLineChars="0"/>
              <w:rPr>
                <w:rFonts w:ascii="宋体" w:hAnsi="宋体"/>
                <w:color w:val="auto"/>
                <w:sz w:val="28"/>
                <w:szCs w:val="28"/>
                <w:highlight w:val="none"/>
              </w:rPr>
            </w:pPr>
            <w:r>
              <w:rPr>
                <w:rFonts w:hint="eastAsia" w:ascii="宋体" w:hAnsi="宋体"/>
                <w:color w:val="auto"/>
                <w:sz w:val="28"/>
                <w:szCs w:val="28"/>
                <w:highlight w:val="none"/>
              </w:rPr>
              <w:t>鉴证日期：    年    月   日</w:t>
            </w:r>
          </w:p>
        </w:tc>
        <w:tc>
          <w:tcPr>
            <w:tcW w:w="4530" w:type="dxa"/>
            <w:noWrap w:val="0"/>
            <w:vAlign w:val="center"/>
          </w:tcPr>
          <w:p>
            <w:pPr>
              <w:spacing w:line="360" w:lineRule="exact"/>
              <w:ind w:firstLine="0" w:firstLineChars="0"/>
              <w:rPr>
                <w:rFonts w:ascii="宋体" w:hAnsi="宋体"/>
                <w:color w:val="auto"/>
                <w:sz w:val="28"/>
                <w:szCs w:val="28"/>
                <w:highlight w:val="none"/>
              </w:rPr>
            </w:pPr>
          </w:p>
        </w:tc>
      </w:tr>
    </w:tbl>
    <w:p>
      <w:pPr>
        <w:ind w:left="0" w:leftChars="0" w:firstLine="0" w:firstLineChars="0"/>
        <w:rPr>
          <w:color w:val="auto"/>
        </w:rPr>
      </w:pPr>
    </w:p>
    <w:p>
      <w:pPr>
        <w:spacing w:line="360" w:lineRule="exact"/>
        <w:ind w:firstLine="560"/>
        <w:rPr>
          <w:rFonts w:ascii="宋体" w:hAnsi="宋体"/>
          <w:color w:val="auto"/>
          <w:sz w:val="28"/>
          <w:szCs w:val="28"/>
          <w:highlight w:val="none"/>
        </w:rPr>
      </w:pPr>
    </w:p>
    <w:p>
      <w:pPr>
        <w:pStyle w:val="3"/>
        <w:spacing w:before="100" w:beforeAutospacing="1" w:after="100" w:afterAutospacing="1" w:line="360" w:lineRule="auto"/>
        <w:jc w:val="center"/>
        <w:rPr>
          <w:rFonts w:hint="eastAsia"/>
          <w:color w:val="auto"/>
          <w:sz w:val="36"/>
          <w:highlight w:val="none"/>
        </w:rPr>
      </w:pPr>
      <w:bookmarkStart w:id="32" w:name="_Toc14269"/>
      <w:bookmarkStart w:id="33" w:name="_Toc14224"/>
      <w:bookmarkStart w:id="34" w:name="_Toc528773696"/>
    </w:p>
    <w:p>
      <w:pPr>
        <w:pStyle w:val="3"/>
        <w:spacing w:before="100" w:beforeAutospacing="1" w:after="100" w:afterAutospacing="1" w:line="360" w:lineRule="auto"/>
        <w:jc w:val="center"/>
        <w:rPr>
          <w:rFonts w:hint="eastAsia"/>
          <w:color w:val="auto"/>
          <w:sz w:val="36"/>
          <w:highlight w:val="none"/>
        </w:rPr>
      </w:pPr>
    </w:p>
    <w:p>
      <w:pPr>
        <w:rPr>
          <w:rFonts w:hint="eastAsia"/>
          <w:color w:val="auto"/>
          <w:sz w:val="36"/>
          <w:highlight w:val="none"/>
        </w:rPr>
      </w:pPr>
    </w:p>
    <w:p>
      <w:pPr>
        <w:rPr>
          <w:rFonts w:hint="eastAsia"/>
          <w:color w:val="auto"/>
          <w:sz w:val="36"/>
          <w:highlight w:val="none"/>
        </w:rPr>
      </w:pPr>
    </w:p>
    <w:p>
      <w:pPr>
        <w:pStyle w:val="3"/>
        <w:spacing w:before="100" w:beforeAutospacing="1" w:after="100" w:afterAutospacing="1" w:line="360" w:lineRule="auto"/>
        <w:ind w:left="0" w:leftChars="0" w:firstLine="0" w:firstLineChars="0"/>
        <w:jc w:val="center"/>
        <w:rPr>
          <w:b w:val="0"/>
          <w:bCs/>
          <w:color w:val="auto"/>
          <w:sz w:val="36"/>
          <w:highlight w:val="none"/>
        </w:rPr>
      </w:pPr>
      <w:r>
        <w:rPr>
          <w:rFonts w:hint="eastAsia"/>
          <w:b w:val="0"/>
          <w:bCs/>
          <w:color w:val="auto"/>
          <w:sz w:val="36"/>
          <w:highlight w:val="none"/>
        </w:rPr>
        <w:t>转让股权相关信息</w:t>
      </w:r>
      <w:bookmarkEnd w:id="32"/>
      <w:bookmarkEnd w:id="33"/>
      <w:bookmarkEnd w:id="34"/>
    </w:p>
    <w:tbl>
      <w:tblPr>
        <w:tblStyle w:val="10"/>
        <w:tblW w:w="90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8"/>
        <w:gridCol w:w="785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项目名称</w:t>
            </w:r>
          </w:p>
        </w:tc>
        <w:tc>
          <w:tcPr>
            <w:tcW w:w="7851" w:type="dxa"/>
            <w:noWrap w:val="0"/>
            <w:vAlign w:val="top"/>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lang w:eastAsia="zh-CN"/>
              </w:rPr>
              <w:t>台州四强新型建材有限公司</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lang w:eastAsia="zh-CN"/>
              </w:rPr>
              <w:t>0%股权</w:t>
            </w:r>
            <w:r>
              <w:rPr>
                <w:rFonts w:hint="eastAsia" w:ascii="宋体" w:hAnsi="宋体" w:cs="宋体"/>
                <w:color w:val="auto"/>
                <w:szCs w:val="21"/>
                <w:highlight w:val="none"/>
              </w:rPr>
              <w:t>转让项目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trPr>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项目编号</w:t>
            </w:r>
          </w:p>
        </w:tc>
        <w:tc>
          <w:tcPr>
            <w:tcW w:w="7851" w:type="dxa"/>
            <w:noWrap w:val="0"/>
            <w:vAlign w:val="top"/>
          </w:tcPr>
          <w:p>
            <w:pPr>
              <w:ind w:left="512" w:leftChars="244" w:firstLine="1" w:firstLineChars="0"/>
              <w:rPr>
                <w:rFonts w:ascii="宋体" w:hAnsi="宋体" w:cs="宋体"/>
                <w:color w:val="auto"/>
                <w:szCs w:val="21"/>
                <w:highlight w:val="none"/>
              </w:rPr>
            </w:pPr>
            <w:bookmarkStart w:id="35" w:name="待定20"/>
            <w:r>
              <w:rPr>
                <w:rFonts w:hint="eastAsia" w:ascii="宋体" w:hAnsi="宋体" w:cs="宋体"/>
                <w:color w:val="auto"/>
                <w:szCs w:val="21"/>
                <w:highlight w:val="none"/>
              </w:rPr>
              <w:t>台交所挂〔20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34</w:t>
            </w:r>
            <w:r>
              <w:rPr>
                <w:rFonts w:hint="eastAsia" w:ascii="宋体" w:hAnsi="宋体" w:cs="宋体"/>
                <w:color w:val="auto"/>
                <w:szCs w:val="21"/>
                <w:highlight w:val="none"/>
              </w:rPr>
              <w:t>号</w:t>
            </w:r>
            <w:bookmarkEnd w:id="35"/>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转让底价</w:t>
            </w:r>
          </w:p>
        </w:tc>
        <w:tc>
          <w:tcPr>
            <w:tcW w:w="7851" w:type="dxa"/>
            <w:noWrap w:val="0"/>
            <w:vAlign w:val="top"/>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lang w:val="en-US" w:eastAsia="zh-CN"/>
              </w:rPr>
              <w:t>6,397,258.00</w:t>
            </w:r>
            <w:r>
              <w:rPr>
                <w:rFonts w:hint="eastAsia" w:ascii="宋体" w:hAnsi="宋体" w:cs="宋体"/>
                <w:color w:val="auto"/>
                <w:szCs w:val="21"/>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88" w:type="dxa"/>
            <w:noWrap w:val="0"/>
            <w:vAlign w:val="top"/>
          </w:tcPr>
          <w:p>
            <w:pPr>
              <w:ind w:firstLine="0" w:firstLineChars="0"/>
              <w:rPr>
                <w:rFonts w:ascii="宋体" w:hAnsi="宋体" w:cs="宋体"/>
                <w:color w:val="auto"/>
                <w:szCs w:val="21"/>
                <w:highlight w:val="none"/>
              </w:rPr>
            </w:pPr>
            <w:r>
              <w:rPr>
                <w:rFonts w:hint="eastAsia" w:ascii="宋体" w:hAnsi="宋体" w:cs="宋体"/>
                <w:color w:val="auto"/>
                <w:szCs w:val="21"/>
                <w:highlight w:val="none"/>
              </w:rPr>
              <w:t>地域</w:t>
            </w:r>
          </w:p>
        </w:tc>
        <w:tc>
          <w:tcPr>
            <w:tcW w:w="7851" w:type="dxa"/>
            <w:noWrap w:val="0"/>
            <w:vAlign w:val="top"/>
          </w:tcPr>
          <w:p>
            <w:pPr>
              <w:ind w:left="512" w:leftChars="244" w:firstLine="1" w:firstLineChars="0"/>
              <w:rPr>
                <w:rFonts w:ascii="宋体" w:hAnsi="宋体" w:cs="宋体"/>
                <w:color w:val="auto"/>
                <w:szCs w:val="21"/>
                <w:highlight w:val="none"/>
              </w:rPr>
            </w:pPr>
            <w:r>
              <w:rPr>
                <w:rFonts w:hint="eastAsia" w:ascii="宋体" w:hAnsi="宋体" w:cs="宋体"/>
                <w:color w:val="auto"/>
                <w:szCs w:val="21"/>
                <w:highlight w:val="none"/>
                <w:lang w:eastAsia="zh-CN"/>
              </w:rPr>
              <w:t>台州</w:t>
            </w:r>
            <w:r>
              <w:rPr>
                <w:rFonts w:hint="eastAsia" w:ascii="宋体" w:hAnsi="宋体" w:cs="宋体"/>
                <w:color w:val="auto"/>
                <w:szCs w:val="21"/>
                <w:highlight w:val="none"/>
              </w:rPr>
              <w:t>市</w:t>
            </w:r>
          </w:p>
        </w:tc>
      </w:tr>
    </w:tbl>
    <w:tbl>
      <w:tblPr>
        <w:tblStyle w:val="10"/>
        <w:tblpPr w:leftFromText="180" w:rightFromText="180" w:vertAnchor="text" w:horzAnchor="page" w:tblpX="1607" w:tblpY="279"/>
        <w:tblOverlap w:val="never"/>
        <w:tblW w:w="898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70"/>
        <w:gridCol w:w="1665"/>
        <w:gridCol w:w="1737"/>
        <w:gridCol w:w="1238"/>
        <w:gridCol w:w="31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1170" w:type="dxa"/>
            <w:vMerge w:val="restart"/>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基本情况</w:t>
            </w: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申请人名称</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玉环市国有资产投资经营集团有限公司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标的企业名称</w:t>
            </w:r>
          </w:p>
        </w:tc>
        <w:tc>
          <w:tcPr>
            <w:tcW w:w="6150" w:type="dxa"/>
            <w:gridSpan w:val="3"/>
            <w:noWrap w:val="0"/>
            <w:vAlign w:val="top"/>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台州四强新型建材有限公司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企业类型</w:t>
            </w:r>
          </w:p>
        </w:tc>
        <w:tc>
          <w:tcPr>
            <w:tcW w:w="6150" w:type="dxa"/>
            <w:gridSpan w:val="3"/>
            <w:noWrap w:val="0"/>
            <w:vAlign w:val="top"/>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其他有限责任公司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所属行业</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建筑业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经营范围</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olor w:val="auto"/>
                <w:sz w:val="21"/>
                <w:szCs w:val="21"/>
                <w:highlight w:val="none"/>
                <w:lang w:val="en-US" w:eastAsia="zh-CN"/>
              </w:rPr>
              <w:t>货运；普通货运、货物专用运输（罐式）（凭有效许可证经营）；预拌商品混凝土专业承包贰级、预制件制造、加工；建筑材料批发、零售；商品混凝土专用设备租赁；砂、石料加工。(除依法须经批准的项目，经相关部门批准后方可开展经营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法定代表人</w:t>
            </w:r>
          </w:p>
        </w:tc>
        <w:tc>
          <w:tcPr>
            <w:tcW w:w="1737" w:type="dxa"/>
            <w:noWrap w:val="0"/>
            <w:vAlign w:val="center"/>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叶东民</w:t>
            </w:r>
          </w:p>
        </w:tc>
        <w:tc>
          <w:tcPr>
            <w:tcW w:w="1238"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成立日期</w:t>
            </w:r>
          </w:p>
        </w:tc>
        <w:tc>
          <w:tcPr>
            <w:tcW w:w="317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00</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20</w:t>
            </w:r>
            <w:r>
              <w:rPr>
                <w:rFonts w:hint="eastAsia" w:ascii="宋体" w:hAnsi="宋体" w:cs="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注册资本</w:t>
            </w:r>
          </w:p>
        </w:tc>
        <w:tc>
          <w:tcPr>
            <w:tcW w:w="1737"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2000</w:t>
            </w:r>
            <w:r>
              <w:rPr>
                <w:rFonts w:hint="eastAsia" w:ascii="宋体" w:hAnsi="宋体" w:cs="宋体"/>
                <w:color w:val="auto"/>
                <w:szCs w:val="21"/>
                <w:highlight w:val="none"/>
              </w:rPr>
              <w:t>万元</w:t>
            </w:r>
          </w:p>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人民币</w:t>
            </w:r>
          </w:p>
        </w:tc>
        <w:tc>
          <w:tcPr>
            <w:tcW w:w="1238"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注册地</w:t>
            </w:r>
          </w:p>
        </w:tc>
        <w:tc>
          <w:tcPr>
            <w:tcW w:w="3175" w:type="dxa"/>
            <w:noWrap w:val="0"/>
            <w:vAlign w:val="center"/>
          </w:tcPr>
          <w:p>
            <w:pPr>
              <w:ind w:firstLine="0" w:firstLineChars="0"/>
              <w:jc w:val="left"/>
              <w:rPr>
                <w:rFonts w:hint="eastAsia" w:ascii="宋体" w:hAnsi="宋体" w:eastAsia="宋体" w:cs="宋体"/>
                <w:color w:val="auto"/>
                <w:szCs w:val="21"/>
                <w:highlight w:val="none"/>
                <w:lang w:eastAsia="zh-CN"/>
              </w:rPr>
            </w:pPr>
            <w:r>
              <w:rPr>
                <w:rFonts w:hint="eastAsia" w:ascii="宋体" w:hAnsi="宋体" w:cs="宋体"/>
                <w:color w:val="auto"/>
                <w:szCs w:val="21"/>
                <w:highlight w:val="none"/>
              </w:rPr>
              <w:t>台州市椒江区</w:t>
            </w:r>
            <w:r>
              <w:rPr>
                <w:rFonts w:hint="eastAsia" w:ascii="宋体" w:hAnsi="宋体" w:cs="宋体"/>
                <w:color w:val="auto"/>
                <w:szCs w:val="21"/>
                <w:highlight w:val="none"/>
                <w:lang w:eastAsia="zh-CN"/>
              </w:rPr>
              <w:t>葭沚乌石村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vMerge w:val="restart"/>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土地、建筑</w:t>
            </w:r>
          </w:p>
        </w:tc>
        <w:tc>
          <w:tcPr>
            <w:tcW w:w="1737"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占地面积</w:t>
            </w:r>
          </w:p>
        </w:tc>
        <w:tc>
          <w:tcPr>
            <w:tcW w:w="4413" w:type="dxa"/>
            <w:gridSpan w:val="2"/>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29571.20</w:t>
            </w:r>
            <w:r>
              <w:rPr>
                <w:rFonts w:hint="eastAsia" w:ascii="宋体" w:hAnsi="宋体" w:cs="宋体"/>
                <w:color w:val="auto"/>
                <w:sz w:val="21"/>
                <w:szCs w:val="21"/>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vMerge w:val="continue"/>
            <w:noWrap w:val="0"/>
            <w:vAlign w:val="center"/>
          </w:tcPr>
          <w:p>
            <w:pPr>
              <w:ind w:firstLine="0" w:firstLineChars="0"/>
              <w:jc w:val="left"/>
              <w:rPr>
                <w:rFonts w:hint="eastAsia" w:ascii="宋体" w:hAnsi="宋体" w:cs="宋体"/>
                <w:color w:val="auto"/>
                <w:szCs w:val="21"/>
                <w:highlight w:val="none"/>
              </w:rPr>
            </w:pPr>
          </w:p>
        </w:tc>
        <w:tc>
          <w:tcPr>
            <w:tcW w:w="1737"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建筑面积</w:t>
            </w:r>
          </w:p>
        </w:tc>
        <w:tc>
          <w:tcPr>
            <w:tcW w:w="4413" w:type="dxa"/>
            <w:gridSpan w:val="2"/>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4011.05</w:t>
            </w:r>
            <w:r>
              <w:rPr>
                <w:rFonts w:hint="eastAsia" w:ascii="宋体" w:hAnsi="宋体" w:cs="宋体"/>
                <w:color w:val="auto"/>
                <w:sz w:val="21"/>
                <w:szCs w:val="21"/>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vMerge w:val="continue"/>
            <w:noWrap w:val="0"/>
            <w:vAlign w:val="center"/>
          </w:tcPr>
          <w:p>
            <w:pPr>
              <w:ind w:firstLine="0" w:firstLineChars="0"/>
              <w:jc w:val="left"/>
              <w:rPr>
                <w:rFonts w:hint="eastAsia" w:ascii="宋体" w:hAnsi="宋体" w:cs="宋体"/>
                <w:color w:val="auto"/>
                <w:szCs w:val="21"/>
                <w:highlight w:val="none"/>
              </w:rPr>
            </w:pPr>
          </w:p>
        </w:tc>
        <w:tc>
          <w:tcPr>
            <w:tcW w:w="1737"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土地面积</w:t>
            </w:r>
          </w:p>
        </w:tc>
        <w:tc>
          <w:tcPr>
            <w:tcW w:w="4413" w:type="dxa"/>
            <w:gridSpan w:val="2"/>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 w:val="21"/>
                <w:szCs w:val="21"/>
                <w:highlight w:val="none"/>
                <w:lang w:val="en-US" w:eastAsia="zh-CN"/>
              </w:rPr>
              <w:t>29571.20</w:t>
            </w:r>
            <w:r>
              <w:rPr>
                <w:rFonts w:hint="eastAsia" w:ascii="宋体" w:hAnsi="宋体" w:cs="宋体"/>
                <w:color w:val="auto"/>
                <w:sz w:val="21"/>
                <w:szCs w:val="21"/>
                <w:highlight w:val="none"/>
              </w:rPr>
              <w:t>平方米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4"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人员情况</w:t>
            </w:r>
          </w:p>
        </w:tc>
        <w:tc>
          <w:tcPr>
            <w:tcW w:w="6150" w:type="dxa"/>
            <w:gridSpan w:val="3"/>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职工人数：</w:t>
            </w:r>
            <w:r>
              <w:rPr>
                <w:rFonts w:hint="eastAsia" w:ascii="宋体" w:hAnsi="宋体" w:cs="宋体"/>
                <w:color w:val="auto"/>
                <w:sz w:val="21"/>
                <w:szCs w:val="21"/>
                <w:highlight w:val="none"/>
                <w:u w:val="none"/>
                <w:lang w:val="en-US" w:eastAsia="zh-CN"/>
              </w:rPr>
              <w:t>/</w:t>
            </w:r>
            <w:r>
              <w:rPr>
                <w:rFonts w:hint="eastAsia" w:ascii="宋体" w:hAnsi="宋体" w:cs="宋体"/>
                <w:color w:val="auto"/>
                <w:szCs w:val="21"/>
                <w:highlight w:val="none"/>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8" w:hRule="atLeast"/>
        </w:trPr>
        <w:tc>
          <w:tcPr>
            <w:tcW w:w="1170" w:type="dxa"/>
            <w:vMerge w:val="continue"/>
            <w:noWrap w:val="0"/>
            <w:vAlign w:val="top"/>
          </w:tcPr>
          <w:p>
            <w:pPr>
              <w:ind w:firstLine="0" w:firstLineChars="0"/>
              <w:jc w:val="left"/>
              <w:rPr>
                <w:rFonts w:hint="eastAsia" w:ascii="宋体" w:hAnsi="宋体" w:cs="宋体"/>
                <w:color w:val="auto"/>
                <w:szCs w:val="21"/>
                <w:highlight w:val="none"/>
              </w:rPr>
            </w:pPr>
          </w:p>
        </w:tc>
        <w:tc>
          <w:tcPr>
            <w:tcW w:w="1665" w:type="dxa"/>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标的企业概述</w:t>
            </w:r>
          </w:p>
        </w:tc>
        <w:tc>
          <w:tcPr>
            <w:tcW w:w="6150" w:type="dxa"/>
            <w:gridSpan w:val="3"/>
            <w:noWrap w:val="0"/>
            <w:vAlign w:val="center"/>
          </w:tcPr>
          <w:p>
            <w:pPr>
              <w:ind w:firstLine="0" w:firstLineChars="0"/>
              <w:jc w:val="both"/>
              <w:rPr>
                <w:rFonts w:hint="eastAsia" w:ascii="宋体" w:hAnsi="宋体" w:cs="宋体"/>
                <w:color w:val="auto"/>
                <w:szCs w:val="21"/>
                <w:highlight w:val="none"/>
              </w:rPr>
            </w:pPr>
            <w:r>
              <w:rPr>
                <w:rFonts w:hint="eastAsia" w:ascii="宋体" w:hAnsi="宋体" w:cs="宋体"/>
                <w:color w:val="auto"/>
                <w:szCs w:val="21"/>
                <w:highlight w:val="none"/>
              </w:rPr>
              <w:t>1、标的企业股东持股情况如下：</w:t>
            </w:r>
            <w:r>
              <w:rPr>
                <w:rFonts w:hint="eastAsia" w:ascii="宋体" w:hAnsi="宋体" w:cs="宋体"/>
                <w:color w:val="auto"/>
                <w:szCs w:val="21"/>
                <w:highlight w:val="none"/>
                <w:lang w:eastAsia="zh-CN"/>
              </w:rPr>
              <w:t>浙江方远新材料股份有限公司出资：</w:t>
            </w:r>
            <w:r>
              <w:rPr>
                <w:rFonts w:hint="eastAsia" w:ascii="宋体" w:hAnsi="宋体" w:cs="宋体"/>
                <w:color w:val="auto"/>
                <w:szCs w:val="21"/>
                <w:highlight w:val="none"/>
                <w:lang w:val="en-US" w:eastAsia="zh-CN"/>
              </w:rPr>
              <w:t>1500万；</w:t>
            </w:r>
            <w:r>
              <w:rPr>
                <w:rFonts w:hint="eastAsia" w:ascii="宋体" w:hAnsi="宋体" w:cs="宋体"/>
                <w:color w:val="auto"/>
                <w:szCs w:val="21"/>
                <w:highlight w:val="none"/>
              </w:rPr>
              <w:t>占股比例</w:t>
            </w:r>
            <w:r>
              <w:rPr>
                <w:rFonts w:hint="eastAsia" w:ascii="宋体" w:hAnsi="宋体" w:cs="宋体"/>
                <w:color w:val="auto"/>
                <w:szCs w:val="21"/>
                <w:highlight w:val="none"/>
                <w:lang w:val="en-US" w:eastAsia="zh-CN"/>
              </w:rPr>
              <w:t>75%；王春花出资：300万；</w:t>
            </w:r>
            <w:r>
              <w:rPr>
                <w:rFonts w:hint="eastAsia" w:ascii="宋体" w:hAnsi="宋体" w:cs="宋体"/>
                <w:color w:val="auto"/>
                <w:szCs w:val="21"/>
                <w:highlight w:val="none"/>
              </w:rPr>
              <w:t>占股比例</w:t>
            </w:r>
            <w:r>
              <w:rPr>
                <w:rFonts w:hint="eastAsia" w:ascii="宋体" w:hAnsi="宋体" w:cs="宋体"/>
                <w:color w:val="auto"/>
                <w:szCs w:val="21"/>
                <w:highlight w:val="none"/>
                <w:lang w:val="en-US" w:eastAsia="zh-CN"/>
              </w:rPr>
              <w:t>：15%；</w:t>
            </w:r>
            <w:r>
              <w:rPr>
                <w:rFonts w:hint="eastAsia" w:ascii="宋体" w:hAnsi="宋体" w:cs="宋体"/>
                <w:color w:val="auto"/>
                <w:szCs w:val="21"/>
                <w:highlight w:val="none"/>
              </w:rPr>
              <w:t>玉环市国有资产投资经营集团有限公司出资</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200</w:t>
            </w:r>
            <w:r>
              <w:rPr>
                <w:rFonts w:hint="eastAsia" w:ascii="宋体" w:hAnsi="宋体" w:cs="宋体"/>
                <w:color w:val="auto"/>
                <w:szCs w:val="21"/>
                <w:highlight w:val="none"/>
              </w:rPr>
              <w:t>万元，占股比例</w:t>
            </w:r>
            <w:r>
              <w:rPr>
                <w:rFonts w:hint="eastAsia" w:ascii="宋体" w:hAnsi="宋体" w:cs="宋体"/>
                <w:color w:val="auto"/>
                <w:szCs w:val="21"/>
                <w:highlight w:val="none"/>
                <w:lang w:val="en-US" w:eastAsia="zh-CN"/>
              </w:rPr>
              <w:t>:10%</w:t>
            </w:r>
            <w:r>
              <w:rPr>
                <w:rFonts w:hint="eastAsia" w:ascii="宋体" w:hAnsi="宋体" w:cs="宋体"/>
                <w:color w:val="auto"/>
                <w:szCs w:val="21"/>
                <w:highlight w:val="none"/>
              </w:rPr>
              <w:t>。</w:t>
            </w:r>
          </w:p>
          <w:p>
            <w:pPr>
              <w:ind w:firstLine="0" w:firstLineChars="0"/>
              <w:jc w:val="both"/>
              <w:rPr>
                <w:rFonts w:hint="eastAsia" w:ascii="宋体" w:hAnsi="宋体" w:cs="宋体"/>
                <w:color w:val="auto"/>
                <w:szCs w:val="21"/>
                <w:highlight w:val="none"/>
              </w:rPr>
            </w:pPr>
            <w:r>
              <w:rPr>
                <w:rFonts w:hint="eastAsia" w:ascii="宋体" w:hAnsi="宋体" w:cs="宋体"/>
                <w:color w:val="auto"/>
                <w:szCs w:val="21"/>
                <w:highlight w:val="none"/>
              </w:rPr>
              <w:t>2、公司经营状况：截止2021年</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31</w:t>
            </w:r>
            <w:r>
              <w:rPr>
                <w:rFonts w:hint="eastAsia" w:ascii="宋体" w:hAnsi="宋体" w:cs="宋体"/>
                <w:color w:val="auto"/>
                <w:szCs w:val="21"/>
                <w:highlight w:val="none"/>
              </w:rPr>
              <w:t>日，</w:t>
            </w:r>
            <w:r>
              <w:rPr>
                <w:rFonts w:hint="eastAsia" w:ascii="宋体" w:hAnsi="宋体" w:cs="宋体"/>
                <w:color w:val="auto"/>
                <w:szCs w:val="21"/>
                <w:highlight w:val="none"/>
                <w:lang w:eastAsia="zh-CN"/>
              </w:rPr>
              <w:t>四强公司</w:t>
            </w:r>
            <w:r>
              <w:rPr>
                <w:rFonts w:hint="eastAsia" w:ascii="宋体" w:hAnsi="宋体" w:cs="宋体"/>
                <w:color w:val="auto"/>
                <w:szCs w:val="21"/>
                <w:highlight w:val="none"/>
              </w:rPr>
              <w:t>账面资产总额</w:t>
            </w:r>
            <w:r>
              <w:rPr>
                <w:rFonts w:hint="eastAsia" w:ascii="宋体" w:hAnsi="宋体" w:cs="宋体"/>
                <w:color w:val="auto"/>
                <w:szCs w:val="21"/>
                <w:highlight w:val="none"/>
                <w:lang w:val="en-US" w:eastAsia="zh-CN"/>
              </w:rPr>
              <w:t>133,122,333.42</w:t>
            </w:r>
            <w:r>
              <w:rPr>
                <w:rFonts w:hint="eastAsia" w:ascii="宋体" w:hAnsi="宋体" w:cs="宋体"/>
                <w:color w:val="auto"/>
                <w:szCs w:val="21"/>
                <w:highlight w:val="none"/>
              </w:rPr>
              <w:t>元，账面负债总额</w:t>
            </w:r>
            <w:r>
              <w:rPr>
                <w:rFonts w:hint="eastAsia" w:ascii="宋体" w:hAnsi="宋体" w:cs="宋体"/>
                <w:color w:val="auto"/>
                <w:szCs w:val="21"/>
                <w:highlight w:val="none"/>
                <w:lang w:val="en-US" w:eastAsia="zh-CN"/>
              </w:rPr>
              <w:t>85,540,247.77</w:t>
            </w:r>
            <w:r>
              <w:rPr>
                <w:rFonts w:hint="eastAsia" w:ascii="宋体" w:hAnsi="宋体" w:cs="宋体"/>
                <w:color w:val="auto"/>
                <w:szCs w:val="21"/>
                <w:highlight w:val="none"/>
              </w:rPr>
              <w:t>元，所有者账面权益</w:t>
            </w:r>
            <w:r>
              <w:rPr>
                <w:rFonts w:hint="eastAsia" w:ascii="宋体" w:hAnsi="宋体" w:cs="宋体"/>
                <w:color w:val="auto"/>
                <w:szCs w:val="21"/>
                <w:highlight w:val="none"/>
                <w:lang w:val="en-US" w:eastAsia="zh-CN"/>
              </w:rPr>
              <w:t>47,582,085.65</w:t>
            </w:r>
            <w:r>
              <w:rPr>
                <w:rFonts w:hint="eastAsia" w:ascii="宋体" w:hAnsi="宋体" w:cs="宋体"/>
                <w:color w:val="auto"/>
                <w:szCs w:val="21"/>
                <w:highlight w:val="none"/>
              </w:rPr>
              <w:t>元。</w:t>
            </w:r>
          </w:p>
          <w:p>
            <w:pPr>
              <w:ind w:firstLine="0" w:firstLineChars="0"/>
              <w:jc w:val="both"/>
              <w:rPr>
                <w:rFonts w:hint="eastAsia" w:ascii="宋体" w:hAnsi="宋体" w:cs="宋体"/>
                <w:color w:val="auto"/>
                <w:szCs w:val="21"/>
                <w:highlight w:val="none"/>
                <w:u w:val="none"/>
                <w:lang w:eastAsia="zh-CN"/>
              </w:rPr>
            </w:pPr>
            <w:r>
              <w:rPr>
                <w:rFonts w:hint="eastAsia" w:ascii="宋体" w:hAnsi="宋体" w:cs="宋体"/>
                <w:color w:val="auto"/>
                <w:szCs w:val="21"/>
                <w:highlight w:val="none"/>
              </w:rPr>
              <w:t>3、标的企业股东是否有优先购买权：</w:t>
            </w:r>
            <w:r>
              <w:rPr>
                <w:rFonts w:hint="eastAsia" w:ascii="宋体" w:hAnsi="宋体" w:cs="宋体"/>
                <w:color w:val="auto"/>
                <w:szCs w:val="21"/>
                <w:highlight w:val="none"/>
                <w:u w:val="none"/>
              </w:rPr>
              <w:t>在同等条件下享</w:t>
            </w:r>
            <w:r>
              <w:rPr>
                <w:rFonts w:hint="eastAsia" w:ascii="宋体" w:hAnsi="宋体" w:cs="宋体"/>
                <w:color w:val="auto"/>
                <w:szCs w:val="21"/>
                <w:highlight w:val="none"/>
                <w:u w:val="none"/>
                <w:lang w:val="en-US" w:eastAsia="zh-CN"/>
              </w:rPr>
              <w:t>有</w:t>
            </w:r>
            <w:r>
              <w:rPr>
                <w:rFonts w:hint="eastAsia" w:ascii="宋体" w:hAnsi="宋体" w:cs="宋体"/>
                <w:color w:val="auto"/>
                <w:szCs w:val="21"/>
                <w:highlight w:val="none"/>
                <w:u w:val="none"/>
              </w:rPr>
              <w:t>优先购买权</w:t>
            </w:r>
            <w:r>
              <w:rPr>
                <w:rFonts w:hint="eastAsia" w:ascii="宋体" w:hAnsi="宋体" w:cs="宋体"/>
                <w:color w:val="auto"/>
                <w:szCs w:val="21"/>
                <w:highlight w:val="none"/>
                <w:u w:val="none"/>
                <w:lang w:eastAsia="zh-CN"/>
              </w:rPr>
              <w:t>。</w:t>
            </w:r>
          </w:p>
          <w:p>
            <w:pPr>
              <w:ind w:firstLine="0" w:firstLineChars="0"/>
              <w:jc w:val="both"/>
              <w:rPr>
                <w:rFonts w:hint="eastAsia" w:ascii="宋体" w:hAnsi="宋体" w:cs="宋体"/>
                <w:color w:val="auto"/>
                <w:szCs w:val="21"/>
                <w:highlight w:val="none"/>
                <w:u w:val="none"/>
              </w:rPr>
            </w:pP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、企业管理层是否参与受让:</w:t>
            </w:r>
            <w:r>
              <w:rPr>
                <w:rFonts w:hint="eastAsia" w:ascii="宋体" w:hAnsi="宋体" w:cs="宋体"/>
                <w:color w:val="auto"/>
                <w:szCs w:val="21"/>
                <w:highlight w:val="none"/>
                <w:u w:val="none"/>
              </w:rPr>
              <w:t>否</w:t>
            </w:r>
          </w:p>
          <w:p>
            <w:pPr>
              <w:bidi w:val="0"/>
              <w:ind w:left="0" w:leftChars="0" w:firstLine="0" w:firstLineChars="0"/>
              <w:jc w:val="both"/>
              <w:rPr>
                <w:rFonts w:hint="eastAsia" w:ascii="宋体" w:hAnsi="宋体" w:cs="宋体"/>
                <w:color w:val="auto"/>
                <w:szCs w:val="21"/>
                <w:highlight w:val="none"/>
              </w:rPr>
            </w:pP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、其它信息披露</w:t>
            </w:r>
            <w:r>
              <w:rPr>
                <w:rFonts w:hint="eastAsia" w:ascii="宋体" w:hAnsi="宋体" w:cs="宋体"/>
                <w:color w:val="auto"/>
                <w:szCs w:val="21"/>
                <w:highlight w:val="none"/>
                <w:lang w:eastAsia="zh-CN"/>
              </w:rPr>
              <w:t>：</w:t>
            </w:r>
            <w:r>
              <w:rPr>
                <w:rFonts w:hint="eastAsia" w:ascii="宋体" w:hAnsi="宋体" w:cs="宋体"/>
                <w:color w:val="auto"/>
                <w:szCs w:val="21"/>
                <w:highlight w:val="none"/>
              </w:rPr>
              <w:t>具体详见</w:t>
            </w:r>
            <w:r>
              <w:rPr>
                <w:rFonts w:hint="eastAsia" w:ascii="宋体" w:hAnsi="宋体" w:cs="宋体"/>
                <w:color w:val="auto"/>
                <w:szCs w:val="21"/>
                <w:highlight w:val="none"/>
                <w:lang w:val="en-US" w:eastAsia="zh-CN"/>
              </w:rPr>
              <w:t>宏诚</w:t>
            </w:r>
            <w:r>
              <w:rPr>
                <w:rFonts w:hint="eastAsia" w:ascii="宋体" w:hAnsi="宋体" w:cs="宋体"/>
                <w:color w:val="auto"/>
                <w:szCs w:val="21"/>
                <w:highlight w:val="none"/>
              </w:rPr>
              <w:t>评报</w:t>
            </w:r>
            <w:r>
              <w:rPr>
                <w:rFonts w:hint="eastAsia" w:ascii="宋体" w:hAnsi="宋体" w:cs="宋体"/>
                <w:color w:val="auto"/>
                <w:szCs w:val="21"/>
                <w:highlight w:val="none"/>
                <w:lang w:val="en-US" w:eastAsia="zh-CN"/>
              </w:rPr>
              <w:t>字</w:t>
            </w:r>
            <w:r>
              <w:rPr>
                <w:rFonts w:hint="eastAsia" w:ascii="宋体" w:hAnsi="宋体" w:cs="宋体"/>
                <w:color w:val="auto"/>
                <w:szCs w:val="21"/>
                <w:highlight w:val="none"/>
              </w:rPr>
              <w:t>[2021]第0</w:t>
            </w:r>
            <w:r>
              <w:rPr>
                <w:rFonts w:hint="eastAsia" w:ascii="宋体" w:hAnsi="宋体" w:cs="宋体"/>
                <w:color w:val="auto"/>
                <w:szCs w:val="21"/>
                <w:highlight w:val="none"/>
                <w:lang w:val="en-US" w:eastAsia="zh-CN"/>
              </w:rPr>
              <w:t>61</w:t>
            </w:r>
            <w:r>
              <w:rPr>
                <w:rFonts w:hint="eastAsia" w:ascii="宋体" w:hAnsi="宋体" w:cs="宋体"/>
                <w:color w:val="auto"/>
                <w:szCs w:val="21"/>
                <w:highlight w:val="none"/>
              </w:rPr>
              <w:t>号评估报告</w:t>
            </w:r>
            <w:r>
              <w:rPr>
                <w:rFonts w:hint="eastAsia" w:ascii="宋体" w:hAnsi="宋体" w:cs="宋体"/>
                <w:color w:val="auto"/>
                <w:szCs w:val="21"/>
                <w:highlight w:val="none"/>
                <w:lang w:val="en-US" w:eastAsia="zh-CN"/>
              </w:rPr>
              <w:t>中第十一项特别事项说明（见附件）</w:t>
            </w: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请</w:t>
            </w:r>
            <w:r>
              <w:rPr>
                <w:rFonts w:hint="eastAsia" w:ascii="宋体" w:hAnsi="宋体" w:cs="宋体"/>
                <w:color w:val="auto"/>
                <w:szCs w:val="21"/>
                <w:highlight w:val="none"/>
              </w:rPr>
              <w:t>意向受让方认真阅读。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trPr>
        <w:tc>
          <w:tcPr>
            <w:tcW w:w="1170" w:type="dxa"/>
            <w:noWrap w:val="0"/>
            <w:vAlign w:val="center"/>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公告挂牌</w:t>
            </w:r>
          </w:p>
        </w:tc>
        <w:tc>
          <w:tcPr>
            <w:tcW w:w="7815" w:type="dxa"/>
            <w:gridSpan w:val="4"/>
            <w:noWrap w:val="0"/>
            <w:vAlign w:val="top"/>
          </w:tcPr>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1、公告挂牌期：</w:t>
            </w:r>
            <w:bookmarkStart w:id="36" w:name="待定21"/>
            <w:r>
              <w:rPr>
                <w:rFonts w:hint="eastAsia" w:ascii="宋体" w:hAnsi="宋体" w:cs="宋体"/>
                <w:color w:val="auto"/>
                <w:szCs w:val="21"/>
                <w:highlight w:val="none"/>
              </w:rPr>
              <w:t>正式挂牌时间自20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日公告日（即挂牌起始日）至20</w:t>
            </w:r>
            <w:r>
              <w:rPr>
                <w:rFonts w:hint="eastAsia" w:ascii="宋体" w:hAnsi="宋体" w:cs="宋体"/>
                <w:color w:val="auto"/>
                <w:szCs w:val="21"/>
                <w:highlight w:val="none"/>
                <w:lang w:val="en-US" w:eastAsia="zh-CN"/>
              </w:rPr>
              <w:t>22</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日下午4时整止。</w:t>
            </w:r>
            <w:bookmarkEnd w:id="36"/>
          </w:p>
          <w:p>
            <w:pPr>
              <w:ind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2、意向受让人应在报名期间20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12</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日至</w:t>
            </w:r>
            <w:r>
              <w:rPr>
                <w:rFonts w:hint="eastAsia" w:ascii="宋体" w:hAnsi="宋体" w:cs="宋体"/>
                <w:color w:val="auto"/>
                <w:szCs w:val="21"/>
                <w:highlight w:val="none"/>
                <w:lang w:val="en-US" w:eastAsia="zh-CN"/>
              </w:rPr>
              <w:t>2022年1</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日下午4：00（节假日除外）到台州市产权交易所办理意向受让登记手续。</w:t>
            </w:r>
            <w:r>
              <w:rPr>
                <w:rFonts w:hint="eastAsia" w:ascii="宋体" w:hAnsi="宋体" w:cs="宋体"/>
                <w:color w:val="auto"/>
                <w:szCs w:val="21"/>
                <w:highlight w:val="none"/>
                <w:lang w:val="en-US" w:eastAsia="zh-CN"/>
              </w:rPr>
              <w:t>请携带</w:t>
            </w:r>
            <w:r>
              <w:rPr>
                <w:rFonts w:hint="eastAsia" w:ascii="宋体" w:hAnsi="宋体" w:cs="宋体"/>
                <w:color w:val="auto"/>
                <w:szCs w:val="21"/>
                <w:highlight w:val="none"/>
                <w:u w:val="none"/>
              </w:rPr>
              <w:t>企业（公司）法人主体资格证明文件，包含企业法人营业执照副本的复印件，法定代表人及授权委托人的身份证明及授权委托书、公司章程、相关决议等相关资料</w:t>
            </w:r>
            <w:r>
              <w:rPr>
                <w:rFonts w:hint="eastAsia" w:ascii="宋体" w:hAnsi="宋体" w:cs="宋体"/>
                <w:color w:val="auto"/>
                <w:szCs w:val="21"/>
                <w:highlight w:val="none"/>
                <w:u w:val="none"/>
                <w:lang w:eastAsia="zh-CN"/>
              </w:rPr>
              <w:t>，自然人须持本人身份证明及相关资料</w:t>
            </w:r>
            <w:r>
              <w:rPr>
                <w:rFonts w:hint="eastAsia" w:ascii="宋体" w:hAnsi="宋体" w:cs="宋体"/>
                <w:color w:val="auto"/>
                <w:szCs w:val="21"/>
                <w:highlight w:val="none"/>
                <w:u w:val="none"/>
                <w:lang w:val="en-US" w:eastAsia="zh-CN"/>
              </w:rPr>
              <w:t>；</w:t>
            </w:r>
            <w:r>
              <w:rPr>
                <w:rFonts w:hint="eastAsia" w:ascii="宋体" w:hAnsi="宋体" w:cs="宋体"/>
                <w:color w:val="auto"/>
                <w:szCs w:val="21"/>
                <w:highlight w:val="none"/>
                <w:u w:val="none"/>
              </w:rPr>
              <w:t>缴纳保证金人民币</w:t>
            </w:r>
            <w:r>
              <w:rPr>
                <w:rFonts w:hint="eastAsia" w:ascii="宋体" w:hAnsi="宋体" w:cs="宋体"/>
                <w:color w:val="auto"/>
                <w:szCs w:val="21"/>
                <w:highlight w:val="none"/>
                <w:u w:val="none"/>
                <w:lang w:val="en-US" w:eastAsia="zh-CN"/>
              </w:rPr>
              <w:t>192.00万</w:t>
            </w:r>
            <w:r>
              <w:rPr>
                <w:rFonts w:hint="eastAsia" w:ascii="宋体" w:hAnsi="宋体" w:cs="宋体"/>
                <w:color w:val="auto"/>
                <w:szCs w:val="21"/>
                <w:highlight w:val="none"/>
                <w:u w:val="none"/>
              </w:rPr>
              <w:t>元</w:t>
            </w:r>
            <w:r>
              <w:rPr>
                <w:rFonts w:hint="eastAsia" w:ascii="宋体" w:hAnsi="宋体" w:cs="宋体"/>
                <w:color w:val="auto"/>
                <w:szCs w:val="21"/>
                <w:highlight w:val="none"/>
              </w:rPr>
              <w:t>。</w:t>
            </w:r>
          </w:p>
        </w:tc>
      </w:tr>
    </w:tbl>
    <w:p>
      <w:pPr>
        <w:rPr>
          <w:color w:val="auto"/>
        </w:rPr>
      </w:pPr>
    </w:p>
    <w:tbl>
      <w:tblPr>
        <w:tblStyle w:val="10"/>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740"/>
        <w:gridCol w:w="1543"/>
        <w:gridCol w:w="1975"/>
        <w:gridCol w:w="1776"/>
        <w:gridCol w:w="18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restart"/>
            <w:noWrap w:val="0"/>
            <w:vAlign w:val="center"/>
          </w:tcPr>
          <w:p>
            <w:pPr>
              <w:ind w:firstLine="0" w:firstLineChars="0"/>
              <w:jc w:val="both"/>
              <w:rPr>
                <w:rFonts w:ascii="宋体" w:hAnsi="宋体"/>
                <w:b/>
                <w:color w:val="auto"/>
                <w:szCs w:val="21"/>
                <w:highlight w:val="none"/>
              </w:rPr>
            </w:pPr>
            <w:r>
              <w:rPr>
                <w:rFonts w:hint="eastAsia" w:ascii="宋体" w:hAnsi="宋体"/>
                <w:b/>
                <w:color w:val="auto"/>
                <w:szCs w:val="21"/>
                <w:highlight w:val="none"/>
              </w:rPr>
              <w:t>主要财务指标</w:t>
            </w:r>
          </w:p>
          <w:p>
            <w:pPr>
              <w:ind w:firstLine="0" w:firstLineChars="0"/>
              <w:jc w:val="both"/>
              <w:rPr>
                <w:rFonts w:ascii="宋体" w:hAnsi="宋体"/>
                <w:b/>
                <w:color w:val="auto"/>
                <w:szCs w:val="21"/>
                <w:highlight w:val="none"/>
              </w:rPr>
            </w:pPr>
            <w:r>
              <w:rPr>
                <w:rFonts w:hint="eastAsia" w:ascii="宋体" w:hAnsi="宋体"/>
                <w:b/>
                <w:color w:val="auto"/>
                <w:szCs w:val="21"/>
                <w:highlight w:val="none"/>
              </w:rPr>
              <w:t>（单位：人民币元）</w:t>
            </w:r>
          </w:p>
        </w:tc>
        <w:tc>
          <w:tcPr>
            <w:tcW w:w="4016" w:type="pct"/>
            <w:gridSpan w:val="4"/>
            <w:noWrap w:val="0"/>
            <w:vAlign w:val="center"/>
          </w:tcPr>
          <w:p>
            <w:pPr>
              <w:ind w:firstLine="480"/>
              <w:jc w:val="center"/>
              <w:rPr>
                <w:rFonts w:ascii="宋体" w:hAnsi="宋体"/>
                <w:color w:val="auto"/>
                <w:szCs w:val="21"/>
                <w:highlight w:val="none"/>
              </w:rPr>
            </w:pPr>
            <w:r>
              <w:rPr>
                <w:rFonts w:hint="eastAsia" w:ascii="宋体" w:hAnsi="宋体"/>
                <w:b/>
                <w:bCs/>
                <w:color w:val="auto"/>
                <w:szCs w:val="21"/>
                <w:highlight w:val="none"/>
              </w:rPr>
              <w:t>以下数据出自20</w:t>
            </w:r>
            <w:r>
              <w:rPr>
                <w:rFonts w:hint="eastAsia" w:ascii="宋体" w:hAnsi="宋体"/>
                <w:b/>
                <w:bCs/>
                <w:color w:val="auto"/>
                <w:szCs w:val="21"/>
                <w:highlight w:val="none"/>
                <w:lang w:val="en-US" w:eastAsia="zh-CN"/>
              </w:rPr>
              <w:t>20</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12</w:t>
            </w:r>
            <w:r>
              <w:rPr>
                <w:rFonts w:hint="eastAsia" w:ascii="宋体" w:hAnsi="宋体"/>
                <w:b/>
                <w:bCs/>
                <w:color w:val="auto"/>
                <w:szCs w:val="21"/>
                <w:highlight w:val="none"/>
              </w:rPr>
              <w:t>.</w:t>
            </w:r>
            <w:r>
              <w:rPr>
                <w:rFonts w:hint="eastAsia" w:ascii="宋体" w:hAnsi="宋体"/>
                <w:b/>
                <w:bCs/>
                <w:color w:val="auto"/>
                <w:szCs w:val="21"/>
                <w:highlight w:val="none"/>
                <w:lang w:val="en-US" w:eastAsia="zh-CN"/>
              </w:rPr>
              <w:t>31</w:t>
            </w:r>
            <w:r>
              <w:rPr>
                <w:rFonts w:hint="eastAsia" w:ascii="宋体" w:hAnsi="宋体"/>
                <w:b/>
                <w:bCs/>
                <w:color w:val="auto"/>
                <w:szCs w:val="21"/>
                <w:highlight w:val="none"/>
              </w:rPr>
              <w:t>审计报告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noWrap w:val="0"/>
            <w:vAlign w:val="center"/>
          </w:tcPr>
          <w:p>
            <w:pPr>
              <w:ind w:firstLine="482"/>
              <w:jc w:val="center"/>
              <w:rPr>
                <w:rFonts w:ascii="宋体" w:hAnsi="宋体"/>
                <w:b/>
                <w:color w:val="auto"/>
                <w:szCs w:val="21"/>
                <w:highlight w:val="none"/>
              </w:rPr>
            </w:pPr>
          </w:p>
        </w:tc>
        <w:tc>
          <w:tcPr>
            <w:tcW w:w="871" w:type="pct"/>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年度日期</w:t>
            </w:r>
          </w:p>
        </w:tc>
        <w:tc>
          <w:tcPr>
            <w:tcW w:w="1115" w:type="pct"/>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资产总计</w:t>
            </w:r>
          </w:p>
        </w:tc>
        <w:tc>
          <w:tcPr>
            <w:tcW w:w="1003" w:type="pct"/>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负债总计</w:t>
            </w:r>
          </w:p>
        </w:tc>
        <w:tc>
          <w:tcPr>
            <w:tcW w:w="1026" w:type="pct"/>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17" w:hRule="atLeast"/>
          <w:jc w:val="center"/>
        </w:trPr>
        <w:tc>
          <w:tcPr>
            <w:tcW w:w="983" w:type="pct"/>
            <w:vMerge w:val="continue"/>
            <w:noWrap w:val="0"/>
            <w:vAlign w:val="center"/>
          </w:tcPr>
          <w:p>
            <w:pPr>
              <w:ind w:firstLine="482"/>
              <w:jc w:val="center"/>
              <w:rPr>
                <w:rFonts w:ascii="宋体" w:hAnsi="宋体"/>
                <w:b/>
                <w:color w:val="auto"/>
                <w:szCs w:val="21"/>
                <w:highlight w:val="none"/>
              </w:rPr>
            </w:pPr>
          </w:p>
        </w:tc>
        <w:tc>
          <w:tcPr>
            <w:tcW w:w="871" w:type="pct"/>
            <w:vMerge w:val="restart"/>
            <w:noWrap w:val="0"/>
            <w:vAlign w:val="center"/>
          </w:tcPr>
          <w:p>
            <w:pPr>
              <w:ind w:firstLine="420" w:firstLineChars="200"/>
              <w:jc w:val="center"/>
              <w:rPr>
                <w:rFonts w:hint="eastAsia" w:ascii="宋体" w:hAnsi="宋体"/>
                <w:b/>
                <w:color w:val="auto"/>
                <w:szCs w:val="21"/>
                <w:highlight w:val="none"/>
              </w:rPr>
            </w:pPr>
            <w:r>
              <w:rPr>
                <w:rFonts w:hint="eastAsia" w:ascii="宋体" w:hAnsi="宋体"/>
                <w:color w:val="auto"/>
                <w:szCs w:val="21"/>
                <w:highlight w:val="none"/>
              </w:rPr>
              <w:t>20</w:t>
            </w:r>
            <w:r>
              <w:rPr>
                <w:rFonts w:hint="eastAsia" w:ascii="宋体" w:hAnsi="宋体"/>
                <w:color w:val="auto"/>
                <w:szCs w:val="21"/>
                <w:highlight w:val="none"/>
                <w:lang w:val="en-US" w:eastAsia="zh-CN"/>
              </w:rPr>
              <w:t>20</w:t>
            </w:r>
            <w:r>
              <w:rPr>
                <w:rFonts w:hint="eastAsia" w:ascii="宋体" w:hAnsi="宋体"/>
                <w:color w:val="auto"/>
                <w:szCs w:val="21"/>
                <w:highlight w:val="none"/>
              </w:rPr>
              <w:t>.</w:t>
            </w:r>
            <w:r>
              <w:rPr>
                <w:rFonts w:hint="eastAsia" w:ascii="宋体" w:hAnsi="宋体"/>
                <w:color w:val="auto"/>
                <w:szCs w:val="21"/>
                <w:highlight w:val="none"/>
                <w:lang w:val="en-US" w:eastAsia="zh-CN"/>
              </w:rPr>
              <w:t>12</w:t>
            </w:r>
            <w:r>
              <w:rPr>
                <w:rFonts w:hint="eastAsia" w:ascii="宋体" w:hAnsi="宋体"/>
                <w:color w:val="auto"/>
                <w:szCs w:val="21"/>
                <w:highlight w:val="none"/>
              </w:rPr>
              <w:t>.</w:t>
            </w:r>
            <w:r>
              <w:rPr>
                <w:rFonts w:hint="eastAsia" w:ascii="宋体" w:hAnsi="宋体"/>
                <w:color w:val="auto"/>
                <w:szCs w:val="21"/>
                <w:highlight w:val="none"/>
                <w:lang w:val="en-US" w:eastAsia="zh-CN"/>
              </w:rPr>
              <w:t>31</w:t>
            </w:r>
          </w:p>
        </w:tc>
        <w:tc>
          <w:tcPr>
            <w:tcW w:w="1115" w:type="pct"/>
            <w:noWrap w:val="0"/>
            <w:vAlign w:val="center"/>
          </w:tcPr>
          <w:p>
            <w:pPr>
              <w:ind w:left="0" w:leftChars="0" w:firstLine="0" w:firstLineChars="0"/>
              <w:jc w:val="right"/>
              <w:rPr>
                <w:rFonts w:hint="default" w:ascii="宋体" w:hAnsi="宋体"/>
                <w:b/>
                <w:color w:val="auto"/>
                <w:szCs w:val="21"/>
                <w:highlight w:val="none"/>
                <w:lang w:val="en-US"/>
              </w:rPr>
            </w:pPr>
            <w:r>
              <w:rPr>
                <w:rFonts w:hint="eastAsia" w:ascii="宋体" w:hAnsi="宋体" w:cs="Times New Roman"/>
                <w:color w:val="auto"/>
                <w:szCs w:val="21"/>
                <w:highlight w:val="none"/>
                <w:lang w:val="en-US" w:eastAsia="zh-CN"/>
              </w:rPr>
              <w:t>113,023,906.54</w:t>
            </w:r>
          </w:p>
        </w:tc>
        <w:tc>
          <w:tcPr>
            <w:tcW w:w="1003" w:type="pct"/>
            <w:noWrap w:val="0"/>
            <w:vAlign w:val="center"/>
          </w:tcPr>
          <w:p>
            <w:pPr>
              <w:ind w:left="0" w:leftChars="0" w:firstLine="0" w:firstLineChars="0"/>
              <w:jc w:val="right"/>
              <w:rPr>
                <w:rFonts w:hint="default" w:ascii="宋体" w:hAnsi="宋体"/>
                <w:b/>
                <w:color w:val="auto"/>
                <w:szCs w:val="21"/>
                <w:highlight w:val="none"/>
                <w:lang w:val="en-US"/>
              </w:rPr>
            </w:pPr>
            <w:r>
              <w:rPr>
                <w:rFonts w:hint="eastAsia" w:ascii="宋体" w:hAnsi="宋体" w:cs="Times New Roman"/>
                <w:color w:val="auto"/>
                <w:szCs w:val="21"/>
                <w:highlight w:val="none"/>
                <w:lang w:val="en-US" w:eastAsia="zh-CN"/>
              </w:rPr>
              <w:t>75,116,825.99</w:t>
            </w:r>
          </w:p>
        </w:tc>
        <w:tc>
          <w:tcPr>
            <w:tcW w:w="1026" w:type="pct"/>
            <w:noWrap w:val="0"/>
            <w:vAlign w:val="center"/>
          </w:tcPr>
          <w:p>
            <w:pPr>
              <w:ind w:left="0" w:leftChars="0" w:firstLine="0" w:firstLineChars="0"/>
              <w:jc w:val="right"/>
              <w:rPr>
                <w:rFonts w:hint="default" w:ascii="宋体" w:hAnsi="宋体"/>
                <w:b/>
                <w:color w:val="auto"/>
                <w:szCs w:val="21"/>
                <w:highlight w:val="none"/>
                <w:lang w:val="en-US"/>
              </w:rPr>
            </w:pPr>
            <w:r>
              <w:rPr>
                <w:rFonts w:hint="eastAsia" w:ascii="宋体" w:hAnsi="宋体" w:cs="Times New Roman"/>
                <w:color w:val="auto"/>
                <w:szCs w:val="21"/>
                <w:highlight w:val="none"/>
                <w:lang w:val="en-US" w:eastAsia="zh-CN"/>
              </w:rPr>
              <w:t>37,907,080.55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noWrap w:val="0"/>
            <w:vAlign w:val="center"/>
          </w:tcPr>
          <w:p>
            <w:pPr>
              <w:ind w:firstLine="482"/>
              <w:jc w:val="center"/>
              <w:rPr>
                <w:rFonts w:ascii="宋体" w:hAnsi="宋体"/>
                <w:b/>
                <w:color w:val="auto"/>
                <w:szCs w:val="21"/>
                <w:highlight w:val="none"/>
              </w:rPr>
            </w:pPr>
          </w:p>
        </w:tc>
        <w:tc>
          <w:tcPr>
            <w:tcW w:w="871" w:type="pct"/>
            <w:vMerge w:val="continue"/>
            <w:noWrap w:val="0"/>
            <w:vAlign w:val="center"/>
          </w:tcPr>
          <w:p>
            <w:pPr>
              <w:ind w:firstLine="422" w:firstLineChars="200"/>
              <w:jc w:val="center"/>
              <w:rPr>
                <w:rFonts w:hint="eastAsia" w:ascii="宋体" w:hAnsi="宋体"/>
                <w:b/>
                <w:color w:val="auto"/>
                <w:szCs w:val="21"/>
                <w:highlight w:val="none"/>
              </w:rPr>
            </w:pPr>
          </w:p>
        </w:tc>
        <w:tc>
          <w:tcPr>
            <w:tcW w:w="1115" w:type="pct"/>
            <w:noWrap w:val="0"/>
            <w:vAlign w:val="center"/>
          </w:tcPr>
          <w:p>
            <w:pPr>
              <w:ind w:firstLine="422" w:firstLineChars="200"/>
              <w:jc w:val="center"/>
              <w:rPr>
                <w:rFonts w:hint="eastAsia" w:ascii="宋体" w:hAnsi="宋体" w:eastAsia="宋体" w:cs="Times New Roman"/>
                <w:b/>
                <w:color w:val="auto"/>
                <w:kern w:val="2"/>
                <w:sz w:val="21"/>
                <w:szCs w:val="21"/>
                <w:highlight w:val="none"/>
                <w:lang w:val="en-US" w:eastAsia="zh-CN" w:bidi="ar-SA"/>
              </w:rPr>
            </w:pPr>
            <w:r>
              <w:rPr>
                <w:rFonts w:hint="eastAsia" w:ascii="宋体" w:hAnsi="宋体"/>
                <w:b/>
                <w:color w:val="auto"/>
                <w:szCs w:val="21"/>
                <w:highlight w:val="none"/>
              </w:rPr>
              <w:t>营业收入</w:t>
            </w:r>
          </w:p>
        </w:tc>
        <w:tc>
          <w:tcPr>
            <w:tcW w:w="1003" w:type="pct"/>
            <w:noWrap w:val="0"/>
            <w:vAlign w:val="center"/>
          </w:tcPr>
          <w:p>
            <w:pPr>
              <w:ind w:firstLine="422" w:firstLineChars="200"/>
              <w:jc w:val="center"/>
              <w:rPr>
                <w:rFonts w:hint="eastAsia" w:ascii="宋体" w:hAnsi="宋体"/>
                <w:b/>
                <w:color w:val="auto"/>
                <w:szCs w:val="21"/>
                <w:highlight w:val="none"/>
              </w:rPr>
            </w:pPr>
            <w:r>
              <w:rPr>
                <w:rFonts w:hint="eastAsia" w:ascii="宋体" w:hAnsi="宋体"/>
                <w:b/>
                <w:color w:val="auto"/>
                <w:szCs w:val="21"/>
                <w:highlight w:val="none"/>
              </w:rPr>
              <w:t>利润总额</w:t>
            </w:r>
          </w:p>
        </w:tc>
        <w:tc>
          <w:tcPr>
            <w:tcW w:w="1026" w:type="pct"/>
            <w:noWrap w:val="0"/>
            <w:vAlign w:val="center"/>
          </w:tcPr>
          <w:p>
            <w:pPr>
              <w:ind w:firstLine="422" w:firstLineChars="200"/>
              <w:jc w:val="center"/>
              <w:rPr>
                <w:rFonts w:hint="eastAsia" w:ascii="宋体" w:hAnsi="宋体"/>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noWrap w:val="0"/>
            <w:vAlign w:val="center"/>
          </w:tcPr>
          <w:p>
            <w:pPr>
              <w:ind w:firstLine="482"/>
              <w:jc w:val="center"/>
              <w:rPr>
                <w:rFonts w:ascii="宋体" w:hAnsi="宋体"/>
                <w:b/>
                <w:color w:val="auto"/>
                <w:szCs w:val="21"/>
                <w:highlight w:val="none"/>
              </w:rPr>
            </w:pPr>
          </w:p>
        </w:tc>
        <w:tc>
          <w:tcPr>
            <w:tcW w:w="871" w:type="pct"/>
            <w:vMerge w:val="continue"/>
            <w:noWrap w:val="0"/>
            <w:vAlign w:val="center"/>
          </w:tcPr>
          <w:p>
            <w:pPr>
              <w:ind w:firstLine="422" w:firstLineChars="200"/>
              <w:jc w:val="center"/>
              <w:rPr>
                <w:rFonts w:hint="eastAsia" w:ascii="宋体" w:hAnsi="宋体"/>
                <w:b/>
                <w:color w:val="auto"/>
                <w:szCs w:val="21"/>
                <w:highlight w:val="none"/>
              </w:rPr>
            </w:pPr>
          </w:p>
        </w:tc>
        <w:tc>
          <w:tcPr>
            <w:tcW w:w="1115" w:type="pct"/>
            <w:noWrap w:val="0"/>
            <w:vAlign w:val="center"/>
          </w:tcPr>
          <w:p>
            <w:pPr>
              <w:ind w:left="0" w:leftChars="0" w:firstLine="0" w:firstLineChars="0"/>
              <w:jc w:val="right"/>
              <w:rPr>
                <w:rFonts w:hint="default" w:ascii="宋体" w:hAnsi="宋体"/>
                <w:b/>
                <w:color w:val="auto"/>
                <w:szCs w:val="21"/>
                <w:highlight w:val="none"/>
                <w:lang w:val="en-US"/>
              </w:rPr>
            </w:pPr>
            <w:r>
              <w:rPr>
                <w:rFonts w:hint="eastAsia" w:ascii="宋体" w:hAnsi="宋体" w:cs="Times New Roman"/>
                <w:color w:val="auto"/>
                <w:szCs w:val="21"/>
                <w:highlight w:val="none"/>
                <w:lang w:val="en-US" w:eastAsia="zh-CN"/>
              </w:rPr>
              <w:t>404,200,534.16</w:t>
            </w:r>
          </w:p>
        </w:tc>
        <w:tc>
          <w:tcPr>
            <w:tcW w:w="1003" w:type="pct"/>
            <w:noWrap w:val="0"/>
            <w:vAlign w:val="center"/>
          </w:tcPr>
          <w:p>
            <w:pPr>
              <w:ind w:left="0" w:leftChars="0" w:firstLine="0" w:firstLineChars="0"/>
              <w:jc w:val="right"/>
              <w:rPr>
                <w:rFonts w:hint="default" w:ascii="宋体" w:hAnsi="宋体"/>
                <w:b/>
                <w:color w:val="auto"/>
                <w:szCs w:val="21"/>
                <w:highlight w:val="none"/>
                <w:lang w:val="en-US"/>
              </w:rPr>
            </w:pPr>
            <w:r>
              <w:rPr>
                <w:rFonts w:hint="eastAsia" w:ascii="宋体" w:hAnsi="宋体" w:cs="Times New Roman"/>
                <w:color w:val="auto"/>
                <w:szCs w:val="21"/>
                <w:highlight w:val="none"/>
                <w:lang w:val="en-US" w:eastAsia="zh-CN"/>
              </w:rPr>
              <w:t>21,150,886.37</w:t>
            </w:r>
          </w:p>
        </w:tc>
        <w:tc>
          <w:tcPr>
            <w:tcW w:w="1026" w:type="pct"/>
            <w:noWrap w:val="0"/>
            <w:vAlign w:val="center"/>
          </w:tcPr>
          <w:p>
            <w:pPr>
              <w:ind w:firstLine="0" w:firstLineChars="0"/>
              <w:jc w:val="right"/>
              <w:rPr>
                <w:rFonts w:hint="default" w:ascii="宋体" w:hAnsi="宋体"/>
                <w:b/>
                <w:color w:val="auto"/>
                <w:szCs w:val="21"/>
                <w:highlight w:val="none"/>
                <w:lang w:val="en-US"/>
              </w:rPr>
            </w:pPr>
            <w:r>
              <w:rPr>
                <w:rFonts w:hint="eastAsia" w:ascii="宋体" w:hAnsi="宋体" w:cs="Times New Roman"/>
                <w:color w:val="auto"/>
                <w:szCs w:val="21"/>
                <w:highlight w:val="none"/>
                <w:lang w:val="en-US" w:eastAsia="zh-CN"/>
              </w:rPr>
              <w:t>17,917,073.10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shd w:val="clear" w:color="auto" w:fill="auto"/>
            <w:noWrap w:val="0"/>
            <w:vAlign w:val="center"/>
          </w:tcPr>
          <w:p>
            <w:pPr>
              <w:ind w:firstLine="482"/>
              <w:jc w:val="center"/>
              <w:rPr>
                <w:rFonts w:ascii="宋体" w:hAnsi="宋体"/>
                <w:b/>
                <w:color w:val="auto"/>
                <w:szCs w:val="21"/>
                <w:highlight w:val="none"/>
              </w:rPr>
            </w:pPr>
          </w:p>
        </w:tc>
        <w:tc>
          <w:tcPr>
            <w:tcW w:w="871" w:type="pct"/>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审计机构</w:t>
            </w:r>
          </w:p>
        </w:tc>
        <w:tc>
          <w:tcPr>
            <w:tcW w:w="3145" w:type="pct"/>
            <w:gridSpan w:val="3"/>
            <w:shd w:val="clear" w:color="auto" w:fill="FFFFFF"/>
            <w:noWrap w:val="0"/>
            <w:vAlign w:val="center"/>
          </w:tcPr>
          <w:p>
            <w:pPr>
              <w:ind w:firstLine="420" w:firstLineChars="200"/>
              <w:rPr>
                <w:rFonts w:hint="eastAsia" w:ascii="宋体" w:hAnsi="宋体" w:eastAsia="宋体" w:cs="Times New Roman"/>
                <w:color w:val="auto"/>
                <w:szCs w:val="21"/>
                <w:highlight w:val="none"/>
                <w:lang w:eastAsia="zh-CN"/>
              </w:rPr>
            </w:pPr>
            <w:r>
              <w:rPr>
                <w:rFonts w:hint="eastAsia" w:ascii="宋体" w:hAnsi="宋体" w:cs="Times New Roman"/>
                <w:color w:val="auto"/>
                <w:szCs w:val="21"/>
                <w:highlight w:val="none"/>
                <w:lang w:eastAsia="zh-CN"/>
              </w:rPr>
              <w:t>浙江浙经天策会计师事务所台州分所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shd w:val="clear" w:color="auto" w:fill="auto"/>
            <w:noWrap w:val="0"/>
            <w:vAlign w:val="center"/>
          </w:tcPr>
          <w:p>
            <w:pPr>
              <w:ind w:firstLine="482"/>
              <w:jc w:val="center"/>
              <w:rPr>
                <w:rFonts w:ascii="宋体" w:hAnsi="宋体"/>
                <w:b/>
                <w:color w:val="auto"/>
                <w:szCs w:val="21"/>
                <w:highlight w:val="none"/>
              </w:rPr>
            </w:pPr>
          </w:p>
        </w:tc>
        <w:tc>
          <w:tcPr>
            <w:tcW w:w="4016" w:type="pct"/>
            <w:gridSpan w:val="4"/>
            <w:shd w:val="clear" w:color="auto" w:fill="FFFFFF"/>
            <w:noWrap w:val="0"/>
            <w:vAlign w:val="center"/>
          </w:tcPr>
          <w:p>
            <w:pPr>
              <w:ind w:firstLine="422" w:firstLineChars="200"/>
              <w:jc w:val="center"/>
              <w:rPr>
                <w:rFonts w:ascii="宋体" w:hAnsi="宋体" w:eastAsia="宋体" w:cs="Times New Roman"/>
                <w:color w:val="auto"/>
                <w:szCs w:val="21"/>
                <w:highlight w:val="none"/>
              </w:rPr>
            </w:pPr>
            <w:r>
              <w:rPr>
                <w:rFonts w:hint="eastAsia" w:ascii="宋体" w:hAnsi="宋体"/>
                <w:b/>
                <w:bCs/>
                <w:color w:val="auto"/>
                <w:szCs w:val="21"/>
                <w:highlight w:val="none"/>
              </w:rPr>
              <w:t>以下数据出自企业财务报表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shd w:val="clear" w:color="auto" w:fill="auto"/>
            <w:noWrap w:val="0"/>
            <w:vAlign w:val="center"/>
          </w:tcPr>
          <w:p>
            <w:pPr>
              <w:ind w:firstLine="480"/>
              <w:jc w:val="center"/>
              <w:rPr>
                <w:rFonts w:ascii="宋体" w:hAnsi="宋体"/>
                <w:color w:val="auto"/>
                <w:szCs w:val="21"/>
                <w:highlight w:val="none"/>
              </w:rPr>
            </w:pPr>
          </w:p>
        </w:tc>
        <w:tc>
          <w:tcPr>
            <w:tcW w:w="871" w:type="pct"/>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报表日期</w:t>
            </w:r>
          </w:p>
        </w:tc>
        <w:tc>
          <w:tcPr>
            <w:tcW w:w="1115" w:type="pct"/>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资产总计</w:t>
            </w:r>
          </w:p>
        </w:tc>
        <w:tc>
          <w:tcPr>
            <w:tcW w:w="1003" w:type="pct"/>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负债总计</w:t>
            </w:r>
          </w:p>
        </w:tc>
        <w:tc>
          <w:tcPr>
            <w:tcW w:w="1026" w:type="pct"/>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所有者权益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shd w:val="clear" w:color="auto" w:fill="auto"/>
            <w:noWrap w:val="0"/>
            <w:vAlign w:val="center"/>
          </w:tcPr>
          <w:p>
            <w:pPr>
              <w:ind w:firstLine="480"/>
              <w:rPr>
                <w:rFonts w:ascii="宋体" w:hAnsi="宋体"/>
                <w:color w:val="auto"/>
                <w:szCs w:val="21"/>
                <w:highlight w:val="none"/>
              </w:rPr>
            </w:pPr>
          </w:p>
        </w:tc>
        <w:tc>
          <w:tcPr>
            <w:tcW w:w="871" w:type="pct"/>
            <w:shd w:val="clear" w:color="auto" w:fill="auto"/>
            <w:noWrap w:val="0"/>
            <w:vAlign w:val="center"/>
          </w:tcPr>
          <w:p>
            <w:pPr>
              <w:jc w:val="center"/>
              <w:rPr>
                <w:rFonts w:hint="default" w:ascii="宋体" w:hAnsi="宋体" w:eastAsia="宋体" w:cs="Times New Roman"/>
                <w:color w:val="auto"/>
                <w:szCs w:val="21"/>
                <w:highlight w:val="none"/>
                <w:lang w:val="en-US"/>
              </w:rPr>
            </w:pPr>
            <w:r>
              <w:rPr>
                <w:rFonts w:hint="eastAsia" w:ascii="宋体" w:hAnsi="宋体"/>
                <w:color w:val="auto"/>
                <w:szCs w:val="21"/>
                <w:highlight w:val="none"/>
              </w:rPr>
              <w:t>20</w:t>
            </w:r>
            <w:r>
              <w:rPr>
                <w:rFonts w:hint="eastAsia" w:ascii="宋体" w:hAnsi="宋体"/>
                <w:color w:val="auto"/>
                <w:szCs w:val="21"/>
                <w:highlight w:val="none"/>
                <w:lang w:val="en-US" w:eastAsia="zh-CN"/>
              </w:rPr>
              <w:t>21.9.30</w:t>
            </w:r>
          </w:p>
        </w:tc>
        <w:tc>
          <w:tcPr>
            <w:tcW w:w="1115" w:type="pct"/>
            <w:shd w:val="clear" w:color="auto" w:fill="auto"/>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128,628,203.04</w:t>
            </w:r>
          </w:p>
        </w:tc>
        <w:tc>
          <w:tcPr>
            <w:tcW w:w="1003" w:type="pct"/>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79,253,607.68</w:t>
            </w:r>
          </w:p>
        </w:tc>
        <w:tc>
          <w:tcPr>
            <w:tcW w:w="1026" w:type="pct"/>
            <w:shd w:val="clear" w:color="auto" w:fill="FFFFFF"/>
            <w:noWrap w:val="0"/>
            <w:vAlign w:val="center"/>
          </w:tcPr>
          <w:p>
            <w:pPr>
              <w:ind w:left="0" w:leftChars="0" w:firstLine="0" w:firstLineChars="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49,374,595.36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397" w:hRule="atLeast"/>
          <w:jc w:val="center"/>
        </w:trPr>
        <w:tc>
          <w:tcPr>
            <w:tcW w:w="983" w:type="pct"/>
            <w:vMerge w:val="continue"/>
            <w:shd w:val="clear" w:color="auto" w:fill="auto"/>
            <w:noWrap w:val="0"/>
            <w:vAlign w:val="center"/>
          </w:tcPr>
          <w:p>
            <w:pPr>
              <w:ind w:firstLine="480"/>
              <w:rPr>
                <w:rFonts w:ascii="宋体" w:hAnsi="宋体"/>
                <w:color w:val="auto"/>
                <w:szCs w:val="21"/>
                <w:highlight w:val="none"/>
              </w:rPr>
            </w:pPr>
          </w:p>
        </w:tc>
        <w:tc>
          <w:tcPr>
            <w:tcW w:w="871" w:type="pct"/>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报表类型</w:t>
            </w:r>
          </w:p>
        </w:tc>
        <w:tc>
          <w:tcPr>
            <w:tcW w:w="1115" w:type="pct"/>
            <w:shd w:val="clear" w:color="auto" w:fill="auto"/>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营业收入</w:t>
            </w:r>
          </w:p>
        </w:tc>
        <w:tc>
          <w:tcPr>
            <w:tcW w:w="1003" w:type="pct"/>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利润总额</w:t>
            </w:r>
          </w:p>
        </w:tc>
        <w:tc>
          <w:tcPr>
            <w:tcW w:w="1026" w:type="pct"/>
            <w:shd w:val="clear" w:color="auto" w:fill="FFFFFF"/>
            <w:noWrap w:val="0"/>
            <w:vAlign w:val="center"/>
          </w:tcPr>
          <w:p>
            <w:pPr>
              <w:jc w:val="center"/>
              <w:rPr>
                <w:rFonts w:ascii="宋体" w:hAnsi="宋体" w:eastAsia="宋体" w:cs="Times New Roman"/>
                <w:b/>
                <w:color w:val="auto"/>
                <w:szCs w:val="21"/>
                <w:highlight w:val="none"/>
              </w:rPr>
            </w:pPr>
            <w:r>
              <w:rPr>
                <w:rFonts w:hint="eastAsia" w:ascii="宋体" w:hAnsi="宋体"/>
                <w:b/>
                <w:color w:val="auto"/>
                <w:szCs w:val="21"/>
                <w:highlight w:val="none"/>
              </w:rPr>
              <w:t>净利润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609" w:hRule="atLeast"/>
          <w:jc w:val="center"/>
        </w:trPr>
        <w:tc>
          <w:tcPr>
            <w:tcW w:w="983" w:type="pct"/>
            <w:vMerge w:val="continue"/>
            <w:shd w:val="clear" w:color="auto" w:fill="auto"/>
            <w:noWrap w:val="0"/>
            <w:vAlign w:val="center"/>
          </w:tcPr>
          <w:p>
            <w:pPr>
              <w:ind w:firstLine="480"/>
              <w:rPr>
                <w:rFonts w:ascii="宋体" w:hAnsi="宋体"/>
                <w:color w:val="auto"/>
                <w:szCs w:val="21"/>
                <w:highlight w:val="none"/>
              </w:rPr>
            </w:pPr>
          </w:p>
        </w:tc>
        <w:tc>
          <w:tcPr>
            <w:tcW w:w="871" w:type="pct"/>
            <w:shd w:val="clear" w:color="auto" w:fill="auto"/>
            <w:noWrap w:val="0"/>
            <w:vAlign w:val="center"/>
          </w:tcPr>
          <w:p>
            <w:pPr>
              <w:jc w:val="center"/>
              <w:rPr>
                <w:rFonts w:hint="eastAsia" w:ascii="宋体" w:hAnsi="宋体"/>
                <w:color w:val="auto"/>
                <w:szCs w:val="21"/>
                <w:highlight w:val="none"/>
              </w:rPr>
            </w:pPr>
            <w:r>
              <w:rPr>
                <w:rFonts w:hint="eastAsia" w:ascii="宋体" w:hAnsi="宋体"/>
                <w:color w:val="auto"/>
                <w:szCs w:val="21"/>
                <w:highlight w:val="none"/>
                <w:lang w:eastAsia="zh-CN"/>
              </w:rPr>
              <w:t>中期</w:t>
            </w:r>
            <w:r>
              <w:rPr>
                <w:rFonts w:hint="eastAsia" w:ascii="宋体" w:hAnsi="宋体"/>
                <w:color w:val="auto"/>
                <w:szCs w:val="21"/>
                <w:highlight w:val="none"/>
              </w:rPr>
              <w:t>报表</w:t>
            </w:r>
          </w:p>
          <w:p>
            <w:pPr>
              <w:ind w:firstLine="420" w:firstLineChars="200"/>
              <w:jc w:val="center"/>
              <w:rPr>
                <w:rFonts w:ascii="宋体" w:hAnsi="宋体" w:eastAsia="宋体" w:cs="Times New Roman"/>
                <w:color w:val="auto"/>
                <w:szCs w:val="21"/>
                <w:highlight w:val="none"/>
              </w:rPr>
            </w:pPr>
            <w:r>
              <w:rPr>
                <w:rFonts w:hint="eastAsia" w:ascii="宋体" w:hAnsi="宋体"/>
                <w:color w:val="auto"/>
                <w:szCs w:val="21"/>
                <w:highlight w:val="none"/>
                <w:lang w:eastAsia="zh-CN"/>
              </w:rPr>
              <w:t>（</w:t>
            </w:r>
            <w:r>
              <w:rPr>
                <w:rFonts w:hint="eastAsia" w:ascii="宋体" w:hAnsi="宋体"/>
                <w:color w:val="auto"/>
                <w:szCs w:val="21"/>
                <w:highlight w:val="none"/>
                <w:lang w:val="en-US" w:eastAsia="zh-CN"/>
              </w:rPr>
              <w:t>1-9月）</w:t>
            </w:r>
          </w:p>
        </w:tc>
        <w:tc>
          <w:tcPr>
            <w:tcW w:w="1115" w:type="pct"/>
            <w:shd w:val="clear" w:color="auto" w:fill="auto"/>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12,355,597.25</w:t>
            </w:r>
          </w:p>
        </w:tc>
        <w:tc>
          <w:tcPr>
            <w:tcW w:w="1003" w:type="pct"/>
            <w:shd w:val="clear" w:color="auto" w:fill="FFFFFF"/>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-921,104.45</w:t>
            </w:r>
          </w:p>
        </w:tc>
        <w:tc>
          <w:tcPr>
            <w:tcW w:w="1026" w:type="pct"/>
            <w:shd w:val="clear" w:color="auto" w:fill="FFFFFF"/>
            <w:noWrap w:val="0"/>
            <w:vAlign w:val="center"/>
          </w:tcPr>
          <w:p>
            <w:pPr>
              <w:ind w:firstLine="420" w:firstLineChars="200"/>
              <w:jc w:val="right"/>
              <w:rPr>
                <w:rFonts w:hint="default" w:ascii="宋体" w:hAnsi="宋体" w:eastAsia="宋体" w:cs="Times New Roman"/>
                <w:color w:val="auto"/>
                <w:szCs w:val="21"/>
                <w:highlight w:val="none"/>
                <w:lang w:val="en-US"/>
              </w:rPr>
            </w:pPr>
            <w:r>
              <w:rPr>
                <w:rFonts w:hint="eastAsia" w:ascii="宋体" w:hAnsi="宋体"/>
                <w:color w:val="auto"/>
                <w:szCs w:val="21"/>
                <w:highlight w:val="none"/>
                <w:lang w:val="en-US" w:eastAsia="zh-CN"/>
              </w:rPr>
              <w:t>-921,104.45</w:t>
            </w:r>
          </w:p>
        </w:tc>
      </w:tr>
    </w:tbl>
    <w:p>
      <w:pPr>
        <w:ind w:firstLine="0" w:firstLineChars="0"/>
        <w:rPr>
          <w:rFonts w:ascii="宋体" w:hAnsi="宋体" w:cs="宋体"/>
          <w:color w:val="auto"/>
          <w:szCs w:val="21"/>
          <w:highlight w:val="none"/>
        </w:rPr>
      </w:pP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8" w:hRule="atLeast"/>
        </w:trPr>
        <w:tc>
          <w:tcPr>
            <w:tcW w:w="5000" w:type="pct"/>
            <w:noWrap w:val="0"/>
            <w:vAlign w:val="top"/>
          </w:tcPr>
          <w:p>
            <w:pPr>
              <w:ind w:firstLine="420"/>
              <w:jc w:val="center"/>
              <w:rPr>
                <w:rFonts w:ascii="宋体" w:hAnsi="宋体" w:cs="宋体"/>
                <w:color w:val="auto"/>
                <w:highlight w:val="none"/>
              </w:rPr>
            </w:pPr>
            <w:bookmarkStart w:id="37" w:name="待定11"/>
            <w:r>
              <w:rPr>
                <w:rFonts w:hint="eastAsia" w:ascii="宋体" w:hAnsi="宋体" w:cs="宋体"/>
                <w:color w:val="auto"/>
                <w:highlight w:val="none"/>
              </w:rPr>
              <w:t>产权转让行为的内部决策及批准情况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000" w:type="pct"/>
            <w:noWrap w:val="0"/>
            <w:vAlign w:val="top"/>
          </w:tcPr>
          <w:p>
            <w:pPr>
              <w:ind w:left="1365" w:hanging="1365" w:hangingChars="650"/>
              <w:rPr>
                <w:rFonts w:hint="eastAsia" w:ascii="宋体" w:hAnsi="宋体" w:cs="宋体"/>
                <w:color w:val="auto"/>
                <w:highlight w:val="none"/>
                <w:lang w:eastAsia="zh-CN"/>
              </w:rPr>
            </w:pPr>
            <w:r>
              <w:rPr>
                <w:rFonts w:hint="eastAsia" w:ascii="宋体" w:hAnsi="宋体" w:cs="宋体"/>
                <w:color w:val="auto"/>
                <w:highlight w:val="none"/>
              </w:rPr>
              <w:t>出资监管单位名称：</w:t>
            </w:r>
            <w:r>
              <w:rPr>
                <w:rFonts w:hint="eastAsia" w:ascii="宋体" w:hAnsi="宋体" w:cs="宋体"/>
                <w:color w:val="auto"/>
                <w:highlight w:val="none"/>
                <w:lang w:eastAsia="zh-CN"/>
              </w:rPr>
              <w:t>玉环市财政局</w:t>
            </w:r>
          </w:p>
          <w:p>
            <w:pPr>
              <w:ind w:left="1365" w:hanging="1365" w:hangingChars="650"/>
              <w:rPr>
                <w:rFonts w:ascii="宋体" w:hAnsi="宋体" w:cs="宋体"/>
                <w:color w:val="auto"/>
                <w:highlight w:val="none"/>
              </w:rPr>
            </w:pPr>
            <w:r>
              <w:rPr>
                <w:rFonts w:hint="eastAsia" w:ascii="宋体" w:hAnsi="宋体" w:cs="宋体"/>
                <w:color w:val="auto"/>
                <w:highlight w:val="none"/>
              </w:rPr>
              <w:t>批复文件号：玉财国资企[2021]</w:t>
            </w:r>
            <w:r>
              <w:rPr>
                <w:rFonts w:hint="eastAsia" w:ascii="宋体" w:hAnsi="宋体" w:cs="宋体"/>
                <w:color w:val="auto"/>
                <w:highlight w:val="none"/>
                <w:lang w:val="en-US" w:eastAsia="zh-CN"/>
              </w:rPr>
              <w:t>51</w:t>
            </w:r>
            <w:r>
              <w:rPr>
                <w:rFonts w:hint="eastAsia" w:ascii="宋体" w:hAnsi="宋体" w:cs="宋体"/>
                <w:color w:val="auto"/>
                <w:highlight w:val="none"/>
              </w:rPr>
              <w:t>号</w:t>
            </w:r>
          </w:p>
          <w:p>
            <w:pPr>
              <w:ind w:left="1365" w:hanging="1365" w:hangingChars="650"/>
              <w:rPr>
                <w:rFonts w:ascii="宋体" w:hAnsi="宋体" w:cs="宋体"/>
                <w:color w:val="auto"/>
                <w:highlight w:val="none"/>
              </w:rPr>
            </w:pPr>
            <w:r>
              <w:rPr>
                <w:rFonts w:hint="eastAsia" w:ascii="宋体" w:hAnsi="宋体" w:cs="宋体"/>
                <w:color w:val="auto"/>
                <w:highlight w:val="none"/>
              </w:rPr>
              <w:t>批复主要内容：同意公开挂牌转让。</w:t>
            </w:r>
          </w:p>
          <w:p>
            <w:pPr>
              <w:ind w:left="1365" w:hanging="1365" w:hangingChars="650"/>
              <w:rPr>
                <w:rFonts w:ascii="宋体" w:hAnsi="宋体" w:cs="宋体"/>
                <w:color w:val="auto"/>
                <w:highlight w:val="none"/>
              </w:rPr>
            </w:pPr>
            <w:r>
              <w:rPr>
                <w:rFonts w:hint="eastAsia" w:ascii="宋体" w:hAnsi="宋体" w:cs="宋体"/>
                <w:color w:val="auto"/>
                <w:highlight w:val="none"/>
              </w:rPr>
              <w:t>内部决策文件：玉环市国有资产投资经营集团</w:t>
            </w:r>
            <w:r>
              <w:rPr>
                <w:rFonts w:hint="eastAsia" w:ascii="宋体" w:hAnsi="宋体" w:cs="宋体"/>
                <w:color w:val="auto"/>
                <w:highlight w:val="none"/>
                <w:lang w:val="en-US" w:eastAsia="zh-CN"/>
              </w:rPr>
              <w:t>有</w:t>
            </w:r>
            <w:r>
              <w:rPr>
                <w:rFonts w:hint="eastAsia" w:ascii="宋体" w:hAnsi="宋体" w:cs="宋体"/>
                <w:color w:val="auto"/>
                <w:highlight w:val="none"/>
              </w:rPr>
              <w:t>限公司</w:t>
            </w:r>
            <w:r>
              <w:rPr>
                <w:rFonts w:hint="eastAsia"/>
                <w:color w:val="auto"/>
                <w:szCs w:val="21"/>
                <w:highlight w:val="none"/>
                <w:lang w:eastAsia="zh-CN"/>
              </w:rPr>
              <w:t>董事</w:t>
            </w:r>
            <w:r>
              <w:rPr>
                <w:rFonts w:hint="eastAsia"/>
                <w:color w:val="auto"/>
                <w:szCs w:val="21"/>
                <w:highlight w:val="none"/>
                <w:lang w:val="en-US" w:eastAsia="zh-CN"/>
              </w:rPr>
              <w:t>书面表决表</w:t>
            </w:r>
            <w:r>
              <w:rPr>
                <w:rFonts w:hint="eastAsia"/>
                <w:color w:val="auto"/>
                <w:szCs w:val="21"/>
                <w:highlight w:val="none"/>
                <w:lang w:eastAsia="zh-CN"/>
              </w:rPr>
              <w:t>批准、</w:t>
            </w:r>
            <w:r>
              <w:rPr>
                <w:rFonts w:hint="eastAsia" w:ascii="宋体" w:hAnsi="宋体" w:cs="宋体"/>
                <w:color w:val="auto"/>
                <w:szCs w:val="21"/>
                <w:highlight w:val="none"/>
                <w:lang w:eastAsia="zh-CN"/>
              </w:rPr>
              <w:t>台州四强新型建材有限公司</w:t>
            </w:r>
            <w:r>
              <w:rPr>
                <w:rFonts w:hint="eastAsia" w:ascii="宋体" w:hAnsi="宋体" w:cs="宋体"/>
                <w:color w:val="auto"/>
                <w:szCs w:val="21"/>
                <w:highlight w:val="none"/>
                <w:lang w:val="en-US" w:eastAsia="zh-CN"/>
              </w:rPr>
              <w:t>临时股东会议决议</w:t>
            </w:r>
            <w:r>
              <w:rPr>
                <w:rFonts w:hint="eastAsia" w:ascii="宋体" w:hAnsi="宋体" w:cs="宋体"/>
                <w:color w:val="auto"/>
                <w:highlight w:val="none"/>
              </w:rPr>
              <w:t>。</w:t>
            </w:r>
          </w:p>
          <w:p>
            <w:pPr>
              <w:ind w:left="1365" w:hanging="1365" w:hangingChars="650"/>
              <w:rPr>
                <w:rFonts w:ascii="宋体" w:hAnsi="宋体" w:cs="宋体"/>
                <w:color w:val="auto"/>
                <w:highlight w:val="none"/>
              </w:rPr>
            </w:pPr>
            <w:r>
              <w:rPr>
                <w:rFonts w:hint="eastAsia" w:ascii="宋体" w:hAnsi="宋体" w:cs="宋体"/>
                <w:color w:val="auto"/>
                <w:highlight w:val="none"/>
              </w:rPr>
              <w:t xml:space="preserve">内部决策文件主要内容：同意转让股权。 </w:t>
            </w:r>
          </w:p>
        </w:tc>
      </w:tr>
      <w:bookmarkEnd w:id="37"/>
    </w:tbl>
    <w:tbl>
      <w:tblPr>
        <w:tblStyle w:val="10"/>
        <w:tblpPr w:leftFromText="180" w:rightFromText="180" w:vertAnchor="text" w:horzAnchor="page" w:tblpX="1577" w:tblpY="308"/>
        <w:tblOverlap w:val="never"/>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7"/>
        <w:gridCol w:w="3519"/>
        <w:gridCol w:w="43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restart"/>
            <w:noWrap w:val="0"/>
            <w:vAlign w:val="center"/>
          </w:tcPr>
          <w:p>
            <w:pPr>
              <w:ind w:firstLine="0" w:firstLineChars="0"/>
              <w:jc w:val="center"/>
              <w:rPr>
                <w:rFonts w:ascii="宋体" w:hAnsi="宋体" w:cs="宋体"/>
                <w:b/>
                <w:color w:val="auto"/>
                <w:szCs w:val="21"/>
                <w:highlight w:val="none"/>
              </w:rPr>
            </w:pPr>
            <w:bookmarkStart w:id="38" w:name="待定22" w:colFirst="1" w:colLast="2"/>
            <w:r>
              <w:rPr>
                <w:rFonts w:hint="eastAsia" w:ascii="宋体" w:hAnsi="宋体" w:cs="宋体"/>
                <w:b/>
                <w:color w:val="auto"/>
                <w:szCs w:val="21"/>
                <w:highlight w:val="none"/>
              </w:rPr>
              <w:t>中介机构</w:t>
            </w:r>
          </w:p>
        </w:tc>
        <w:tc>
          <w:tcPr>
            <w:tcW w:w="1942" w:type="pct"/>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律 师 事 务 所</w:t>
            </w:r>
          </w:p>
        </w:tc>
        <w:tc>
          <w:tcPr>
            <w:tcW w:w="2413" w:type="pct"/>
            <w:noWrap w:val="0"/>
            <w:vAlign w:val="center"/>
          </w:tcPr>
          <w:p>
            <w:pPr>
              <w:ind w:firstLine="420"/>
              <w:jc w:val="center"/>
              <w:rPr>
                <w:rFonts w:hint="eastAsia" w:ascii="宋体" w:hAnsi="宋体" w:eastAsia="宋体" w:cs="宋体"/>
                <w:color w:val="auto"/>
                <w:szCs w:val="21"/>
                <w:highlight w:val="none"/>
                <w:lang w:eastAsia="zh-CN"/>
              </w:rPr>
            </w:pPr>
            <w:r>
              <w:rPr>
                <w:rFonts w:hint="eastAsia" w:ascii="宋体" w:hAnsi="宋体" w:cs="宋体"/>
                <w:color w:val="auto"/>
                <w:szCs w:val="21"/>
                <w:highlight w:val="none"/>
                <w:lang w:eastAsia="zh-CN"/>
              </w:rPr>
              <w:t>浙江法校（玉环）律师事务所</w:t>
            </w:r>
          </w:p>
        </w:tc>
      </w:tr>
      <w:bookmarkEnd w:id="3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noWrap w:val="0"/>
            <w:vAlign w:val="center"/>
          </w:tcPr>
          <w:p>
            <w:pPr>
              <w:ind w:firstLine="422"/>
              <w:jc w:val="center"/>
              <w:rPr>
                <w:rFonts w:ascii="宋体" w:hAnsi="宋体" w:cs="宋体"/>
                <w:b/>
                <w:color w:val="auto"/>
                <w:szCs w:val="21"/>
                <w:highlight w:val="none"/>
              </w:rPr>
            </w:pPr>
          </w:p>
        </w:tc>
        <w:tc>
          <w:tcPr>
            <w:tcW w:w="1942" w:type="pct"/>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会 计 师 事 务 所</w:t>
            </w:r>
          </w:p>
        </w:tc>
        <w:tc>
          <w:tcPr>
            <w:tcW w:w="2413" w:type="pct"/>
            <w:noWrap w:val="0"/>
            <w:vAlign w:val="center"/>
          </w:tcPr>
          <w:p>
            <w:pPr>
              <w:ind w:firstLine="0" w:firstLineChars="0"/>
              <w:jc w:val="center"/>
              <w:rPr>
                <w:rFonts w:hint="eastAsia" w:ascii="宋体" w:hAnsi="宋体" w:eastAsia="宋体"/>
                <w:color w:val="auto"/>
                <w:szCs w:val="21"/>
                <w:highlight w:val="none"/>
                <w:lang w:eastAsia="zh-CN"/>
              </w:rPr>
            </w:pPr>
            <w:r>
              <w:rPr>
                <w:rFonts w:hint="eastAsia" w:ascii="宋体" w:hAnsi="宋体"/>
                <w:color w:val="auto"/>
                <w:szCs w:val="21"/>
                <w:highlight w:val="none"/>
                <w:lang w:eastAsia="zh-CN"/>
              </w:rPr>
              <w:t>浙江浙经天策会计师事务所台州分所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noWrap w:val="0"/>
            <w:vAlign w:val="center"/>
          </w:tcPr>
          <w:p>
            <w:pPr>
              <w:ind w:firstLine="422"/>
              <w:jc w:val="center"/>
              <w:rPr>
                <w:rFonts w:ascii="宋体" w:hAnsi="宋体" w:cs="宋体"/>
                <w:b/>
                <w:color w:val="auto"/>
                <w:szCs w:val="21"/>
                <w:highlight w:val="none"/>
              </w:rPr>
            </w:pPr>
          </w:p>
        </w:tc>
        <w:tc>
          <w:tcPr>
            <w:tcW w:w="1942" w:type="pct"/>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事 务 所</w:t>
            </w:r>
          </w:p>
        </w:tc>
        <w:tc>
          <w:tcPr>
            <w:tcW w:w="2413" w:type="pct"/>
            <w:noWrap w:val="0"/>
            <w:vAlign w:val="center"/>
          </w:tcPr>
          <w:p>
            <w:pPr>
              <w:ind w:firstLine="0" w:firstLineChars="0"/>
              <w:jc w:val="center"/>
              <w:rPr>
                <w:rFonts w:ascii="宋体" w:hAnsi="宋体"/>
                <w:color w:val="auto"/>
                <w:szCs w:val="21"/>
                <w:highlight w:val="none"/>
              </w:rPr>
            </w:pPr>
            <w:r>
              <w:rPr>
                <w:rFonts w:hint="eastAsia" w:ascii="宋体" w:hAnsi="宋体"/>
                <w:color w:val="auto"/>
                <w:szCs w:val="21"/>
                <w:highlight w:val="none"/>
              </w:rPr>
              <w:t>台州宏诚资产评估事务所（普通合伙）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noWrap w:val="0"/>
            <w:vAlign w:val="center"/>
          </w:tcPr>
          <w:p>
            <w:pPr>
              <w:ind w:firstLine="422"/>
              <w:jc w:val="center"/>
              <w:rPr>
                <w:rFonts w:ascii="宋体" w:hAnsi="宋体" w:cs="宋体"/>
                <w:b/>
                <w:color w:val="auto"/>
                <w:szCs w:val="21"/>
                <w:highlight w:val="none"/>
              </w:rPr>
            </w:pPr>
          </w:p>
        </w:tc>
        <w:tc>
          <w:tcPr>
            <w:tcW w:w="1942" w:type="pct"/>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 估 基 准 日</w:t>
            </w:r>
          </w:p>
        </w:tc>
        <w:tc>
          <w:tcPr>
            <w:tcW w:w="2413" w:type="pct"/>
            <w:noWrap w:val="0"/>
            <w:vAlign w:val="center"/>
          </w:tcPr>
          <w:p>
            <w:pPr>
              <w:ind w:firstLine="420"/>
              <w:jc w:val="center"/>
              <w:rPr>
                <w:rFonts w:ascii="宋体" w:hAnsi="宋体" w:cs="宋体"/>
                <w:color w:val="auto"/>
                <w:szCs w:val="21"/>
                <w:highlight w:val="none"/>
              </w:rPr>
            </w:pPr>
            <w:r>
              <w:rPr>
                <w:rFonts w:hint="eastAsia" w:ascii="宋体" w:hAnsi="宋体" w:cs="宋体"/>
                <w:color w:val="auto"/>
                <w:szCs w:val="21"/>
                <w:highlight w:val="none"/>
              </w:rPr>
              <w:t>20</w:t>
            </w:r>
            <w:r>
              <w:rPr>
                <w:rFonts w:hint="eastAsia" w:ascii="宋体" w:hAnsi="宋体" w:cs="宋体"/>
                <w:color w:val="auto"/>
                <w:szCs w:val="21"/>
                <w:highlight w:val="none"/>
                <w:lang w:val="en-US" w:eastAsia="zh-CN"/>
              </w:rPr>
              <w:t>21</w:t>
            </w:r>
            <w:r>
              <w:rPr>
                <w:rFonts w:hint="eastAsia" w:ascii="宋体" w:hAnsi="宋体" w:cs="宋体"/>
                <w:color w:val="auto"/>
                <w:szCs w:val="21"/>
                <w:highlight w:val="none"/>
              </w:rPr>
              <w:t>年</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月</w:t>
            </w:r>
            <w:r>
              <w:rPr>
                <w:rFonts w:hint="eastAsia" w:ascii="宋体" w:hAnsi="宋体" w:cs="宋体"/>
                <w:color w:val="auto"/>
                <w:szCs w:val="21"/>
                <w:highlight w:val="none"/>
                <w:lang w:val="en-US" w:eastAsia="zh-CN"/>
              </w:rPr>
              <w:t>31</w:t>
            </w:r>
            <w:r>
              <w:rPr>
                <w:rFonts w:hint="eastAsia" w:ascii="宋体" w:hAnsi="宋体" w:cs="宋体"/>
                <w:color w:val="auto"/>
                <w:szCs w:val="21"/>
                <w:highlight w:val="none"/>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vMerge w:val="continue"/>
            <w:noWrap w:val="0"/>
            <w:vAlign w:val="center"/>
          </w:tcPr>
          <w:p>
            <w:pPr>
              <w:ind w:firstLine="422"/>
              <w:jc w:val="center"/>
              <w:rPr>
                <w:rFonts w:ascii="宋体" w:hAnsi="宋体" w:cs="宋体"/>
                <w:b/>
                <w:color w:val="auto"/>
                <w:szCs w:val="21"/>
                <w:highlight w:val="none"/>
              </w:rPr>
            </w:pPr>
          </w:p>
        </w:tc>
        <w:tc>
          <w:tcPr>
            <w:tcW w:w="1942" w:type="pct"/>
            <w:noWrap w:val="0"/>
            <w:vAlign w:val="center"/>
          </w:tcPr>
          <w:p>
            <w:pPr>
              <w:ind w:firstLine="422"/>
              <w:jc w:val="center"/>
              <w:rPr>
                <w:rFonts w:ascii="宋体" w:hAnsi="宋体" w:cs="宋体"/>
                <w:b/>
                <w:color w:val="auto"/>
                <w:szCs w:val="21"/>
                <w:highlight w:val="none"/>
              </w:rPr>
            </w:pPr>
            <w:r>
              <w:rPr>
                <w:rFonts w:hint="eastAsia" w:ascii="宋体" w:hAnsi="宋体" w:cs="宋体"/>
                <w:b/>
                <w:color w:val="auto"/>
                <w:szCs w:val="21"/>
                <w:highlight w:val="none"/>
              </w:rPr>
              <w:t>评估核准（备案）机构</w:t>
            </w:r>
          </w:p>
        </w:tc>
        <w:tc>
          <w:tcPr>
            <w:tcW w:w="2413" w:type="pct"/>
            <w:noWrap w:val="0"/>
            <w:vAlign w:val="center"/>
          </w:tcPr>
          <w:p>
            <w:pPr>
              <w:ind w:left="0" w:leftChars="0" w:firstLine="0" w:firstLineChars="0"/>
              <w:jc w:val="center"/>
              <w:rPr>
                <w:rFonts w:hint="eastAsia" w:ascii="宋体" w:hAnsi="宋体" w:cs="宋体"/>
                <w:color w:val="auto"/>
                <w:szCs w:val="21"/>
                <w:highlight w:val="none"/>
              </w:rPr>
            </w:pPr>
            <w:r>
              <w:rPr>
                <w:rFonts w:hint="eastAsia" w:ascii="宋体" w:hAnsi="宋体" w:cs="宋体"/>
                <w:color w:val="auto"/>
                <w:szCs w:val="21"/>
                <w:highlight w:val="none"/>
              </w:rPr>
              <w:t>玉环市人民政府国有资产监督管理办公室</w:t>
            </w:r>
          </w:p>
          <w:p>
            <w:pPr>
              <w:ind w:firstLine="420"/>
              <w:jc w:val="center"/>
              <w:rPr>
                <w:rFonts w:ascii="宋体" w:hAnsi="宋体" w:cs="宋体"/>
                <w:color w:val="auto"/>
                <w:szCs w:val="21"/>
                <w:highlight w:val="none"/>
              </w:rPr>
            </w:pPr>
            <w:r>
              <w:rPr>
                <w:rFonts w:hint="eastAsia" w:ascii="宋体" w:hAnsi="宋体" w:cs="宋体"/>
                <w:color w:val="auto"/>
                <w:szCs w:val="21"/>
                <w:highlight w:val="none"/>
              </w:rPr>
              <w:t>核准□  备案</w:t>
            </w:r>
            <w:r>
              <w:rPr>
                <w:rFonts w:hint="eastAsia" w:ascii="宋体" w:hAnsi="宋体" w:cs="宋体"/>
                <w:color w:val="auto"/>
                <w:szCs w:val="21"/>
                <w:highlight w:val="none"/>
              </w:rPr>
              <w:sym w:font="Wingdings" w:char="00FE"/>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44" w:type="pct"/>
            <w:noWrap w:val="0"/>
            <w:vAlign w:val="center"/>
          </w:tcPr>
          <w:p>
            <w:pPr>
              <w:ind w:firstLine="0" w:firstLineChars="0"/>
              <w:jc w:val="center"/>
              <w:rPr>
                <w:rFonts w:ascii="宋体" w:hAnsi="宋体" w:cs="宋体"/>
                <w:b/>
                <w:color w:val="auto"/>
                <w:szCs w:val="21"/>
                <w:highlight w:val="none"/>
              </w:rPr>
            </w:pPr>
            <w:bookmarkStart w:id="39" w:name="待定12" w:colFirst="1" w:colLast="1"/>
            <w:r>
              <w:rPr>
                <w:rFonts w:hint="eastAsia" w:ascii="宋体" w:hAnsi="宋体" w:cs="宋体"/>
                <w:b/>
                <w:color w:val="auto"/>
                <w:szCs w:val="21"/>
                <w:highlight w:val="none"/>
              </w:rPr>
              <w:t>对受让方的要求</w:t>
            </w:r>
          </w:p>
        </w:tc>
        <w:tc>
          <w:tcPr>
            <w:tcW w:w="4355" w:type="pct"/>
            <w:gridSpan w:val="2"/>
            <w:noWrap w:val="0"/>
            <w:vAlign w:val="center"/>
          </w:tcPr>
          <w:p>
            <w:pPr>
              <w:ind w:firstLine="0" w:firstLineChars="0"/>
              <w:jc w:val="left"/>
              <w:rPr>
                <w:rFonts w:ascii="宋体" w:hAnsi="宋体" w:cs="宋体"/>
                <w:color w:val="auto"/>
                <w:sz w:val="21"/>
                <w:szCs w:val="21"/>
                <w:highlight w:val="none"/>
              </w:rPr>
            </w:pPr>
            <w:r>
              <w:rPr>
                <w:rFonts w:hint="eastAsia" w:ascii="宋体" w:hAnsi="宋体" w:cs="宋体"/>
                <w:color w:val="auto"/>
                <w:sz w:val="21"/>
                <w:szCs w:val="21"/>
                <w:highlight w:val="none"/>
              </w:rPr>
              <w:t>（1）具有良好的商业信用及支付能力的境内企业</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rPr>
              <w:t>其他组织</w:t>
            </w:r>
            <w:r>
              <w:rPr>
                <w:rFonts w:hint="eastAsia" w:ascii="宋体" w:hAnsi="宋体" w:cs="宋体"/>
                <w:color w:val="auto"/>
                <w:sz w:val="21"/>
                <w:szCs w:val="21"/>
                <w:highlight w:val="none"/>
                <w:lang w:eastAsia="zh-CN"/>
              </w:rPr>
              <w:t>或自然人</w:t>
            </w:r>
            <w:r>
              <w:rPr>
                <w:rFonts w:hint="eastAsia" w:ascii="宋体" w:hAnsi="宋体" w:cs="宋体"/>
                <w:color w:val="auto"/>
                <w:sz w:val="21"/>
                <w:szCs w:val="21"/>
                <w:highlight w:val="none"/>
              </w:rPr>
              <w:t>。</w:t>
            </w:r>
          </w:p>
          <w:p>
            <w:pPr>
              <w:ind w:firstLine="0" w:firstLineChars="0"/>
              <w:jc w:val="left"/>
              <w:rPr>
                <w:rFonts w:hint="eastAsia" w:ascii="宋体" w:hAnsi="宋体" w:cs="宋体"/>
                <w:color w:val="auto"/>
                <w:sz w:val="21"/>
                <w:szCs w:val="21"/>
                <w:highlight w:val="none"/>
              </w:rPr>
            </w:pPr>
            <w:r>
              <w:rPr>
                <w:rFonts w:hint="eastAsia" w:ascii="宋体" w:hAnsi="宋体" w:cs="宋体"/>
                <w:color w:val="auto"/>
                <w:sz w:val="21"/>
                <w:szCs w:val="21"/>
                <w:highlight w:val="none"/>
              </w:rPr>
              <w:t>（2）意向</w:t>
            </w:r>
            <w:r>
              <w:rPr>
                <w:rFonts w:hint="eastAsia" w:ascii="宋体" w:hAnsi="宋体" w:cs="宋体"/>
                <w:color w:val="auto"/>
                <w:sz w:val="21"/>
                <w:szCs w:val="21"/>
                <w:highlight w:val="none"/>
                <w:lang w:val="en-US" w:eastAsia="zh-CN"/>
              </w:rPr>
              <w:t>竞买人</w:t>
            </w:r>
            <w:r>
              <w:rPr>
                <w:rFonts w:hint="eastAsia" w:ascii="宋体" w:hAnsi="宋体" w:cs="宋体"/>
                <w:color w:val="auto"/>
                <w:sz w:val="21"/>
                <w:szCs w:val="21"/>
                <w:highlight w:val="none"/>
              </w:rPr>
              <w:t>承诺</w:t>
            </w:r>
            <w:r>
              <w:rPr>
                <w:rFonts w:hint="eastAsia" w:ascii="宋体" w:hAnsi="宋体" w:cs="宋体"/>
                <w:color w:val="auto"/>
                <w:sz w:val="21"/>
                <w:szCs w:val="21"/>
                <w:highlight w:val="none"/>
                <w:lang w:eastAsia="zh-CN"/>
              </w:rPr>
              <w:t>台州四强新型建材有限公司</w:t>
            </w:r>
            <w:r>
              <w:rPr>
                <w:rFonts w:hint="eastAsia" w:ascii="宋体" w:hAnsi="宋体" w:cs="宋体"/>
                <w:color w:val="auto"/>
                <w:sz w:val="21"/>
                <w:szCs w:val="21"/>
                <w:highlight w:val="none"/>
              </w:rPr>
              <w:t>继续履行已订立的所有合同（包括书面及非书面）。</w:t>
            </w:r>
          </w:p>
          <w:p>
            <w:pPr>
              <w:ind w:firstLine="0" w:firstLineChars="0"/>
              <w:jc w:val="left"/>
              <w:rPr>
                <w:rFonts w:ascii="宋体" w:hAnsi="宋体" w:cs="宋体"/>
                <w:color w:val="auto"/>
                <w:sz w:val="18"/>
                <w:szCs w:val="18"/>
                <w:highlight w:val="none"/>
              </w:rPr>
            </w:pPr>
            <w:r>
              <w:rPr>
                <w:rFonts w:hint="eastAsia" w:ascii="宋体" w:hAnsi="宋体" w:cs="宋体"/>
                <w:color w:val="auto"/>
                <w:sz w:val="21"/>
                <w:szCs w:val="21"/>
                <w:highlight w:val="none"/>
              </w:rPr>
              <w:t>（3）本项目不接受联合体摘牌。</w:t>
            </w:r>
          </w:p>
        </w:tc>
      </w:tr>
      <w:bookmarkEnd w:id="39"/>
    </w:tbl>
    <w:p>
      <w:pPr>
        <w:ind w:firstLine="422"/>
        <w:rPr>
          <w:rFonts w:ascii="宋体" w:hAnsi="宋体" w:cs="宋体"/>
          <w:b/>
          <w:color w:val="auto"/>
          <w:szCs w:val="21"/>
          <w:highlight w:val="none"/>
        </w:rPr>
      </w:pPr>
    </w:p>
    <w:p>
      <w:pPr>
        <w:ind w:firstLine="0" w:firstLineChars="0"/>
        <w:jc w:val="center"/>
        <w:rPr>
          <w:rFonts w:hint="eastAsia" w:ascii="黑体" w:eastAsia="黑体"/>
          <w:b/>
          <w:color w:val="auto"/>
          <w:spacing w:val="12"/>
          <w:sz w:val="36"/>
          <w:szCs w:val="36"/>
          <w:highlight w:val="none"/>
        </w:rPr>
      </w:pPr>
    </w:p>
    <w:p>
      <w:pPr>
        <w:ind w:firstLine="0" w:firstLineChars="0"/>
        <w:jc w:val="center"/>
        <w:rPr>
          <w:rFonts w:hint="eastAsia" w:ascii="黑体" w:eastAsia="黑体"/>
          <w:b/>
          <w:color w:val="auto"/>
          <w:spacing w:val="12"/>
          <w:sz w:val="36"/>
          <w:szCs w:val="36"/>
          <w:highlight w:val="none"/>
        </w:rPr>
        <w:sectPr>
          <w:pgSz w:w="11906" w:h="16838"/>
          <w:pgMar w:top="1701" w:right="1474" w:bottom="1701" w:left="1587" w:header="851" w:footer="992" w:gutter="0"/>
          <w:pgNumType w:fmt="numberInDash"/>
          <w:cols w:space="425" w:num="1"/>
          <w:docGrid w:type="lines" w:linePitch="312" w:charSpace="0"/>
        </w:sectPr>
      </w:pPr>
    </w:p>
    <w:p>
      <w:pPr>
        <w:ind w:firstLine="0" w:firstLineChars="0"/>
        <w:jc w:val="center"/>
        <w:rPr>
          <w:rFonts w:hint="eastAsia"/>
          <w:color w:val="auto"/>
          <w:sz w:val="36"/>
          <w:szCs w:val="36"/>
          <w:highlight w:val="none"/>
        </w:rPr>
      </w:pPr>
      <w:r>
        <w:rPr>
          <w:rFonts w:hint="eastAsia" w:ascii="黑体" w:eastAsia="黑体"/>
          <w:b/>
          <w:color w:val="auto"/>
          <w:spacing w:val="12"/>
          <w:sz w:val="36"/>
          <w:szCs w:val="36"/>
          <w:highlight w:val="none"/>
        </w:rPr>
        <w:t>台州市产权交易所有限公司</w:t>
      </w:r>
      <w:r>
        <w:rPr>
          <w:rFonts w:hint="eastAsia"/>
          <w:color w:val="auto"/>
          <w:highlight w:val="none"/>
        </w:rPr>
        <w:br w:type="textWrapping"/>
      </w:r>
      <w:r>
        <w:rPr>
          <w:rFonts w:hint="eastAsia" w:ascii="黑体" w:eastAsia="黑体"/>
          <w:b/>
          <w:color w:val="auto"/>
          <w:spacing w:val="12"/>
          <w:sz w:val="36"/>
          <w:szCs w:val="36"/>
          <w:highlight w:val="none"/>
        </w:rPr>
        <w:t>简  介</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是浙江省人民政府批准，浙江省国资委认定，具有国有产权转让资质，立足台州，面向全国，依法从事企事业产权交易的专业性机构，是集物权、债权、股权、知识产权等一体的综合性交易平台，是整个台州地区唯一的中国企业国有产权交易机构协会会员，也是长江流域产权交易共同市场理事单位，为台州市目前规模最大的产权交易机构。</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台州市产权交易所有限公司为全市各类国有资本的流动、国企采购、非上市民营企业的产权转让、公共资源交易以及其他各类产权交易提供服务。</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台州市产权交易所有限公司的业务领域为：</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1.</w:t>
      </w:r>
      <w:r>
        <w:rPr>
          <w:rFonts w:hint="eastAsia" w:ascii="宋体" w:hAnsi="宋体"/>
          <w:color w:val="auto"/>
          <w:sz w:val="24"/>
          <w:highlight w:val="none"/>
        </w:rPr>
        <w:t>国有企业、企事业单位的国有产权转让服务（股权、房屋、设备、债权、知识产权等）</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2.</w:t>
      </w:r>
      <w:r>
        <w:rPr>
          <w:rFonts w:hint="eastAsia" w:ascii="宋体" w:hAnsi="宋体"/>
          <w:color w:val="auto"/>
          <w:sz w:val="24"/>
          <w:highlight w:val="none"/>
        </w:rPr>
        <w:t>各类企业增资服务</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3.</w:t>
      </w:r>
      <w:r>
        <w:rPr>
          <w:rFonts w:hint="eastAsia" w:ascii="宋体" w:hAnsi="宋体"/>
          <w:color w:val="auto"/>
          <w:sz w:val="24"/>
          <w:highlight w:val="none"/>
        </w:rPr>
        <w:t>非上市民营企业的产权转让服务（股权、房屋、设备、债权、知识产权等）</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4.</w:t>
      </w:r>
      <w:r>
        <w:rPr>
          <w:rFonts w:hint="eastAsia" w:ascii="宋体" w:hAnsi="宋体"/>
          <w:color w:val="auto"/>
          <w:sz w:val="24"/>
          <w:highlight w:val="none"/>
        </w:rPr>
        <w:t>房屋租赁服务</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5.</w:t>
      </w:r>
      <w:r>
        <w:rPr>
          <w:rFonts w:hint="eastAsia" w:ascii="宋体" w:hAnsi="宋体"/>
          <w:color w:val="auto"/>
          <w:sz w:val="24"/>
          <w:highlight w:val="none"/>
        </w:rPr>
        <w:t>国企采购服务</w:t>
      </w:r>
      <w:r>
        <w:rPr>
          <w:rFonts w:hint="eastAsia" w:ascii="宋体" w:hAnsi="宋体"/>
          <w:color w:val="auto"/>
          <w:sz w:val="24"/>
          <w:highlight w:val="none"/>
          <w:lang w:eastAsia="zh-CN"/>
        </w:rPr>
        <w:t>；</w:t>
      </w:r>
    </w:p>
    <w:p>
      <w:pPr>
        <w:spacing w:line="348" w:lineRule="auto"/>
        <w:ind w:firstLine="480"/>
        <w:rPr>
          <w:rFonts w:hint="eastAsia" w:ascii="宋体" w:hAnsi="宋体" w:eastAsia="宋体"/>
          <w:color w:val="auto"/>
          <w:sz w:val="24"/>
          <w:highlight w:val="none"/>
          <w:lang w:eastAsia="zh-CN"/>
        </w:rPr>
      </w:pPr>
      <w:r>
        <w:rPr>
          <w:rFonts w:hint="eastAsia" w:ascii="宋体" w:hAnsi="宋体"/>
          <w:color w:val="auto"/>
          <w:sz w:val="24"/>
          <w:highlight w:val="none"/>
          <w:lang w:val="en-US" w:eastAsia="zh-CN"/>
        </w:rPr>
        <w:t>6.</w:t>
      </w:r>
      <w:r>
        <w:rPr>
          <w:rFonts w:hint="eastAsia" w:ascii="宋体" w:hAnsi="宋体"/>
          <w:color w:val="auto"/>
          <w:sz w:val="24"/>
          <w:highlight w:val="none"/>
        </w:rPr>
        <w:t>招商引资服务</w:t>
      </w:r>
      <w:r>
        <w:rPr>
          <w:rFonts w:hint="eastAsia" w:ascii="宋体" w:hAnsi="宋体"/>
          <w:color w:val="auto"/>
          <w:sz w:val="24"/>
          <w:highlight w:val="none"/>
          <w:lang w:eastAsia="zh-CN"/>
        </w:rPr>
        <w:t>；</w:t>
      </w:r>
    </w:p>
    <w:p>
      <w:pPr>
        <w:spacing w:line="348" w:lineRule="auto"/>
        <w:ind w:firstLine="480"/>
        <w:rPr>
          <w:rFonts w:hint="eastAsia" w:ascii="宋体" w:hAnsi="宋体"/>
          <w:color w:val="auto"/>
          <w:sz w:val="24"/>
          <w:highlight w:val="none"/>
          <w:lang w:eastAsia="zh-CN"/>
        </w:rPr>
      </w:pPr>
      <w:r>
        <w:rPr>
          <w:rFonts w:hint="eastAsia" w:ascii="宋体" w:hAnsi="宋体"/>
          <w:color w:val="auto"/>
          <w:sz w:val="24"/>
          <w:highlight w:val="none"/>
          <w:lang w:val="en-US" w:eastAsia="zh-CN"/>
        </w:rPr>
        <w:t>7.</w:t>
      </w:r>
      <w:r>
        <w:rPr>
          <w:rFonts w:hint="eastAsia" w:ascii="宋体" w:hAnsi="宋体"/>
          <w:color w:val="auto"/>
          <w:sz w:val="24"/>
          <w:highlight w:val="none"/>
        </w:rPr>
        <w:t>项目合作及投融资服务</w:t>
      </w:r>
      <w:r>
        <w:rPr>
          <w:rFonts w:hint="eastAsia" w:ascii="宋体" w:hAnsi="宋体"/>
          <w:color w:val="auto"/>
          <w:sz w:val="24"/>
          <w:highlight w:val="none"/>
          <w:lang w:eastAsia="zh-CN"/>
        </w:rPr>
        <w:t>；</w:t>
      </w:r>
    </w:p>
    <w:p>
      <w:pPr>
        <w:numPr>
          <w:ilvl w:val="0"/>
          <w:numId w:val="0"/>
        </w:numPr>
        <w:spacing w:line="348" w:lineRule="auto"/>
        <w:ind w:firstLine="480" w:firstLineChars="200"/>
        <w:rPr>
          <w:rFonts w:hint="eastAsia" w:ascii="宋体" w:hAnsi="宋体"/>
          <w:color w:val="auto"/>
          <w:sz w:val="24"/>
          <w:highlight w:val="none"/>
        </w:rPr>
      </w:pPr>
      <w:r>
        <w:rPr>
          <w:rFonts w:hint="eastAsia" w:ascii="宋体" w:hAnsi="宋体"/>
          <w:color w:val="auto"/>
          <w:sz w:val="24"/>
          <w:highlight w:val="none"/>
          <w:lang w:val="en-US" w:eastAsia="zh-CN"/>
        </w:rPr>
        <w:t>8.</w:t>
      </w:r>
      <w:r>
        <w:rPr>
          <w:rFonts w:hint="eastAsia" w:ascii="宋体" w:hAnsi="宋体"/>
          <w:color w:val="auto"/>
          <w:sz w:val="24"/>
          <w:highlight w:val="none"/>
        </w:rPr>
        <w:t>各种相关的培训、咨询业务。</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有限公司依据国家政策法规的规定，遵循“公开、公平、公正”的原则，通过区域性产权市场的构建，着力推动国有企业的并购重组和招商引资；促进国资与民资、外资与内资、有形资产与无形资产有效嫁接与融合；实现各类产权跨行业、跨地区、跨所有制的有序流动，提升区域经济竞争力。</w:t>
      </w:r>
    </w:p>
    <w:p>
      <w:pPr>
        <w:spacing w:line="348" w:lineRule="auto"/>
        <w:ind w:firstLine="480"/>
        <w:rPr>
          <w:rFonts w:hint="eastAsia" w:ascii="宋体" w:hAnsi="宋体"/>
          <w:color w:val="auto"/>
          <w:sz w:val="24"/>
          <w:highlight w:val="none"/>
        </w:rPr>
      </w:pPr>
      <w:r>
        <w:rPr>
          <w:rFonts w:hint="eastAsia" w:ascii="宋体" w:hAnsi="宋体"/>
          <w:color w:val="auto"/>
          <w:sz w:val="24"/>
          <w:highlight w:val="none"/>
        </w:rPr>
        <w:t>台州市产权交易所通过对产权交易的成功运作，事实证明产权“阳光交易”，程序规范化，操作市场化，</w:t>
      </w:r>
      <w:r>
        <w:rPr>
          <w:rFonts w:hint="eastAsia" w:ascii="宋体" w:hAnsi="宋体"/>
          <w:color w:val="auto"/>
          <w:sz w:val="24"/>
          <w:highlight w:val="none"/>
          <w:lang w:val="en-US" w:eastAsia="zh-CN"/>
        </w:rPr>
        <w:t>能</w:t>
      </w:r>
      <w:r>
        <w:rPr>
          <w:rFonts w:hint="eastAsia" w:ascii="宋体" w:hAnsi="宋体"/>
          <w:color w:val="auto"/>
          <w:sz w:val="24"/>
          <w:highlight w:val="none"/>
        </w:rPr>
        <w:t>更好地满足企业在资产盘活、增资扩股、资源引进、融资等多方面的需求</w:t>
      </w:r>
      <w:r>
        <w:rPr>
          <w:rFonts w:hint="eastAsia" w:ascii="宋体" w:hAnsi="宋体"/>
          <w:color w:val="auto"/>
          <w:sz w:val="24"/>
          <w:highlight w:val="none"/>
          <w:lang w:eastAsia="zh-CN"/>
        </w:rPr>
        <w:t>，</w:t>
      </w:r>
      <w:r>
        <w:rPr>
          <w:rFonts w:hint="eastAsia" w:ascii="宋体" w:hAnsi="宋体"/>
          <w:color w:val="auto"/>
          <w:sz w:val="24"/>
          <w:highlight w:val="none"/>
        </w:rPr>
        <w:t>实现国有资产的保值增值。</w:t>
      </w:r>
    </w:p>
    <w:p>
      <w:pPr>
        <w:spacing w:line="348" w:lineRule="auto"/>
        <w:ind w:firstLine="480"/>
        <w:rPr>
          <w:color w:val="auto"/>
        </w:rPr>
      </w:pPr>
      <w:r>
        <w:rPr>
          <w:rFonts w:hint="eastAsia" w:ascii="宋体" w:hAnsi="宋体"/>
          <w:color w:val="auto"/>
          <w:sz w:val="24"/>
          <w:highlight w:val="none"/>
        </w:rPr>
        <w:t>台州市产权交易所有限公司位于台州市市府大道777号浙江民泰商业银行五楼，邮编：318000，电话：0576-88685180，传真：0576-88685177，网址:www.tzpre.com。</w:t>
      </w:r>
    </w:p>
    <w:p>
      <w:pPr>
        <w:jc w:val="left"/>
        <w:rPr>
          <w:rFonts w:hint="eastAsia" w:ascii="宋体" w:hAnsi="宋体"/>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336" w:lineRule="auto"/>
        <w:ind w:firstLine="0" w:firstLineChars="0"/>
        <w:textAlignment w:val="auto"/>
        <w:rPr>
          <w:rFonts w:hint="eastAsia" w:asciiTheme="majorEastAsia" w:hAnsiTheme="majorEastAsia" w:eastAsiaTheme="majorEastAsia" w:cstheme="majorEastAsia"/>
          <w:color w:val="auto"/>
          <w:sz w:val="32"/>
          <w:szCs w:val="32"/>
          <w:highlight w:val="none"/>
          <w:lang w:val="en-US" w:eastAsia="zh-CN"/>
        </w:rPr>
      </w:pPr>
      <w:r>
        <w:rPr>
          <w:rFonts w:hint="eastAsia" w:asciiTheme="majorEastAsia" w:hAnsiTheme="majorEastAsia" w:eastAsiaTheme="majorEastAsia" w:cstheme="majorEastAsia"/>
          <w:color w:val="auto"/>
          <w:sz w:val="32"/>
          <w:szCs w:val="32"/>
          <w:lang w:val="en-US" w:eastAsia="zh-CN"/>
        </w:rPr>
        <w:t>附件：宏诚</w:t>
      </w:r>
      <w:r>
        <w:rPr>
          <w:rFonts w:hint="eastAsia" w:asciiTheme="majorEastAsia" w:hAnsiTheme="majorEastAsia" w:eastAsiaTheme="majorEastAsia" w:cstheme="majorEastAsia"/>
          <w:color w:val="auto"/>
          <w:sz w:val="32"/>
          <w:szCs w:val="32"/>
        </w:rPr>
        <w:t>评报</w:t>
      </w:r>
      <w:r>
        <w:rPr>
          <w:rFonts w:hint="eastAsia" w:asciiTheme="majorEastAsia" w:hAnsiTheme="majorEastAsia" w:eastAsiaTheme="majorEastAsia" w:cstheme="majorEastAsia"/>
          <w:color w:val="auto"/>
          <w:sz w:val="32"/>
          <w:szCs w:val="32"/>
          <w:lang w:val="en-US" w:eastAsia="zh-CN"/>
        </w:rPr>
        <w:t>字</w:t>
      </w:r>
      <w:r>
        <w:rPr>
          <w:rFonts w:hint="eastAsia" w:asciiTheme="majorEastAsia" w:hAnsiTheme="majorEastAsia" w:eastAsiaTheme="majorEastAsia" w:cstheme="majorEastAsia"/>
          <w:color w:val="auto"/>
          <w:sz w:val="32"/>
          <w:szCs w:val="32"/>
        </w:rPr>
        <w:t>[2021]第0</w:t>
      </w:r>
      <w:r>
        <w:rPr>
          <w:rFonts w:hint="eastAsia" w:asciiTheme="majorEastAsia" w:hAnsiTheme="majorEastAsia" w:eastAsiaTheme="majorEastAsia" w:cstheme="majorEastAsia"/>
          <w:color w:val="auto"/>
          <w:sz w:val="32"/>
          <w:szCs w:val="32"/>
          <w:lang w:val="en-US" w:eastAsia="zh-CN"/>
        </w:rPr>
        <w:t>61</w:t>
      </w:r>
      <w:r>
        <w:rPr>
          <w:rFonts w:hint="eastAsia" w:asciiTheme="majorEastAsia" w:hAnsiTheme="majorEastAsia" w:eastAsiaTheme="majorEastAsia" w:cstheme="majorEastAsia"/>
          <w:color w:val="auto"/>
          <w:sz w:val="32"/>
          <w:szCs w:val="32"/>
        </w:rPr>
        <w:t>号评估报告</w:t>
      </w:r>
      <w:r>
        <w:rPr>
          <w:rFonts w:hint="eastAsia" w:asciiTheme="majorEastAsia" w:hAnsiTheme="majorEastAsia" w:eastAsiaTheme="majorEastAsia" w:cstheme="majorEastAsia"/>
          <w:color w:val="auto"/>
          <w:sz w:val="32"/>
          <w:szCs w:val="32"/>
          <w:lang w:val="en-US" w:eastAsia="zh-CN"/>
        </w:rPr>
        <w:t>中第十一项特别事项说明</w:t>
      </w:r>
    </w:p>
    <w:p>
      <w:pPr>
        <w:spacing w:line="400" w:lineRule="exact"/>
        <w:ind w:firstLine="480" w:firstLineChars="200"/>
        <w:rPr>
          <w:rFonts w:hint="eastAsia" w:asciiTheme="minorEastAsia" w:hAnsiTheme="minorEastAsia" w:eastAsiaTheme="minorEastAsia" w:cstheme="minorEastAsia"/>
          <w:b/>
          <w:color w:val="auto"/>
          <w:sz w:val="24"/>
        </w:rPr>
      </w:pPr>
      <w:r>
        <w:rPr>
          <w:rFonts w:hint="eastAsia" w:asciiTheme="minorEastAsia" w:hAnsiTheme="minorEastAsia" w:eastAsiaTheme="minorEastAsia" w:cstheme="minorEastAsia"/>
          <w:color w:val="auto"/>
          <w:sz w:val="24"/>
        </w:rPr>
        <w:t>(一)</w:t>
      </w:r>
      <w:r>
        <w:rPr>
          <w:rFonts w:hint="eastAsia" w:asciiTheme="minorEastAsia" w:hAnsiTheme="minorEastAsia" w:eastAsiaTheme="minorEastAsia" w:cstheme="minorEastAsia"/>
          <w:color w:val="000000"/>
          <w:sz w:val="24"/>
        </w:rPr>
        <w:t>本评估机构及资产评估师于2021年5月17日、6月17日执行现场调查程序，</w:t>
      </w:r>
      <w:r>
        <w:rPr>
          <w:rFonts w:hint="eastAsia" w:asciiTheme="minorEastAsia" w:hAnsiTheme="minorEastAsia" w:eastAsiaTheme="minorEastAsia" w:cstheme="minorEastAsia"/>
          <w:sz w:val="24"/>
        </w:rPr>
        <w:t>四强建材相关负责人能给予配合。</w:t>
      </w:r>
    </w:p>
    <w:p>
      <w:pPr>
        <w:spacing w:line="4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color w:val="000000"/>
          <w:sz w:val="24"/>
        </w:rPr>
        <w:t>(二)评估报告中涉及的有关权属证明文件及相关资料由被评估单位台州四强新型建材有限公司</w:t>
      </w:r>
      <w:r>
        <w:rPr>
          <w:rFonts w:hint="eastAsia" w:asciiTheme="minorEastAsia" w:hAnsiTheme="minorEastAsia" w:eastAsiaTheme="minorEastAsia" w:cstheme="minorEastAsia"/>
          <w:sz w:val="24"/>
        </w:rPr>
        <w:t>提供，</w:t>
      </w:r>
      <w:r>
        <w:rPr>
          <w:rFonts w:hint="eastAsia" w:asciiTheme="minorEastAsia" w:hAnsiTheme="minorEastAsia" w:eastAsiaTheme="minorEastAsia" w:cstheme="minorEastAsia"/>
          <w:color w:val="000000"/>
          <w:sz w:val="24"/>
        </w:rPr>
        <w:t>被评估单位</w:t>
      </w:r>
      <w:r>
        <w:rPr>
          <w:rFonts w:hint="eastAsia" w:asciiTheme="minorEastAsia" w:hAnsiTheme="minorEastAsia" w:eastAsiaTheme="minorEastAsia" w:cstheme="minorEastAsia"/>
          <w:sz w:val="24"/>
        </w:rPr>
        <w:t>对其提供的有关权属证明文件及相关资料的真实性、合法性承捐款法律责任。</w:t>
      </w:r>
    </w:p>
    <w:p>
      <w:pPr>
        <w:spacing w:line="4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color w:val="000000"/>
          <w:sz w:val="24"/>
        </w:rPr>
        <w:t>(三)</w:t>
      </w:r>
      <w:r>
        <w:rPr>
          <w:rFonts w:hint="eastAsia" w:asciiTheme="minorEastAsia" w:hAnsiTheme="minorEastAsia" w:eastAsiaTheme="minorEastAsia" w:cstheme="minorEastAsia"/>
          <w:sz w:val="24"/>
        </w:rPr>
        <w:t>本次评估根据被评估单位四强建材账面数（未经审计）进行评估。</w:t>
      </w:r>
    </w:p>
    <w:p>
      <w:pPr>
        <w:spacing w:line="400" w:lineRule="exact"/>
        <w:ind w:firstLine="480" w:firstLineChars="200"/>
        <w:rPr>
          <w:rFonts w:hint="eastAsia" w:asciiTheme="minorEastAsia" w:hAnsiTheme="minorEastAsia" w:eastAsiaTheme="minorEastAsia" w:cstheme="minorEastAsia"/>
          <w:sz w:val="24"/>
        </w:rPr>
      </w:pPr>
      <w:r>
        <w:rPr>
          <w:rFonts w:hint="eastAsia" w:asciiTheme="minorEastAsia" w:hAnsiTheme="minorEastAsia" w:eastAsiaTheme="minorEastAsia" w:cstheme="minorEastAsia"/>
          <w:color w:val="000000"/>
          <w:sz w:val="24"/>
        </w:rPr>
        <w:t>(四)</w:t>
      </w:r>
      <w:r>
        <w:rPr>
          <w:rFonts w:hint="eastAsia" w:asciiTheme="minorEastAsia" w:hAnsiTheme="minorEastAsia" w:eastAsiaTheme="minorEastAsia" w:cstheme="minorEastAsia"/>
          <w:sz w:val="24"/>
        </w:rPr>
        <w:t xml:space="preserve"> 应收账款中，“方远建设集团股份有限公司-徐昌富”、“浙江绿驰景观工程有限公司”、“浙江国利英核能源有限公司”、“台州远信建设工程有限公司-冯仙友”等共4笔合计839,188.83元（详见表3），均系混凝土货款，工程项目已完结，挂账多年，经多次催讨无望，后期再无业务往来。经四强新材出具款项预计无法收回说明，故本次评估为0.00元。</w:t>
      </w:r>
    </w:p>
    <w:p>
      <w:pPr>
        <w:spacing w:line="400" w:lineRule="exact"/>
        <w:ind w:firstLine="0" w:firstLineChars="0"/>
        <w:rPr>
          <w:rFonts w:hint="eastAsia" w:ascii="华文楷体" w:hAnsi="华文楷体" w:eastAsia="华文楷体"/>
          <w:sz w:val="24"/>
        </w:rPr>
      </w:pPr>
      <w:r>
        <w:rPr>
          <w:rFonts w:hint="eastAsia" w:ascii="华文楷体" w:hAnsi="华文楷体" w:eastAsia="华文楷体"/>
          <w:sz w:val="24"/>
        </w:rPr>
        <w:t xml:space="preserve">       </w:t>
      </w:r>
    </w:p>
    <w:p>
      <w:pPr>
        <w:spacing w:line="400" w:lineRule="exac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表3台州四强新型建材有限公司预计无法收回应收账款账面明细</w:t>
      </w:r>
    </w:p>
    <w:p>
      <w:pPr>
        <w:spacing w:line="400" w:lineRule="exact"/>
        <w:rPr>
          <w:rFonts w:hint="eastAsia" w:asciiTheme="majorEastAsia" w:hAnsiTheme="majorEastAsia" w:eastAsiaTheme="majorEastAsia" w:cstheme="majorEastAsia"/>
          <w:color w:val="000000"/>
          <w:sz w:val="24"/>
        </w:rPr>
      </w:pPr>
      <w:r>
        <w:rPr>
          <w:rFonts w:hint="eastAsia" w:asciiTheme="majorEastAsia" w:hAnsiTheme="majorEastAsia" w:eastAsiaTheme="majorEastAsia" w:cstheme="majorEastAsia"/>
          <w:sz w:val="24"/>
        </w:rPr>
        <w:t xml:space="preserve">                                                       （单位：元）</w:t>
      </w:r>
    </w:p>
    <w:tbl>
      <w:tblPr>
        <w:tblStyle w:val="1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1"/>
        <w:gridCol w:w="2743"/>
        <w:gridCol w:w="716"/>
        <w:gridCol w:w="1287"/>
        <w:gridCol w:w="789"/>
        <w:gridCol w:w="1179"/>
        <w:gridCol w:w="1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363" w:type="pct"/>
            <w:noWrap w:val="0"/>
            <w:vAlign w:val="center"/>
          </w:tcPr>
          <w:p>
            <w:pPr>
              <w:spacing w:line="380" w:lineRule="exact"/>
              <w:ind w:leftChars="-51" w:hanging="107" w:hangingChars="51"/>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1619" w:type="pct"/>
            <w:noWrap w:val="0"/>
            <w:vAlign w:val="center"/>
          </w:tcPr>
          <w:p>
            <w:pPr>
              <w:spacing w:line="380" w:lineRule="exact"/>
              <w:ind w:leftChars="-51" w:hanging="107" w:hangingChars="51"/>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欠款单位名称(结算对象)</w:t>
            </w:r>
          </w:p>
        </w:tc>
        <w:tc>
          <w:tcPr>
            <w:tcW w:w="430" w:type="pct"/>
            <w:noWrap w:val="0"/>
            <w:vAlign w:val="center"/>
          </w:tcPr>
          <w:p>
            <w:pPr>
              <w:spacing w:line="380" w:lineRule="exact"/>
              <w:ind w:firstLine="0" w:firstLineChars="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业务 内容</w:t>
            </w:r>
          </w:p>
        </w:tc>
        <w:tc>
          <w:tcPr>
            <w:tcW w:w="765" w:type="pct"/>
            <w:noWrap w:val="0"/>
            <w:vAlign w:val="center"/>
          </w:tcPr>
          <w:p>
            <w:pPr>
              <w:spacing w:line="380" w:lineRule="exact"/>
              <w:ind w:leftChars="-51" w:hanging="107" w:hangingChars="51"/>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发生日期</w:t>
            </w:r>
          </w:p>
        </w:tc>
        <w:tc>
          <w:tcPr>
            <w:tcW w:w="473" w:type="pct"/>
            <w:noWrap w:val="0"/>
            <w:vAlign w:val="center"/>
          </w:tcPr>
          <w:p>
            <w:pPr>
              <w:spacing w:line="380" w:lineRule="exact"/>
              <w:ind w:firstLine="0" w:firstLineChars="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账龄</w:t>
            </w:r>
          </w:p>
        </w:tc>
        <w:tc>
          <w:tcPr>
            <w:tcW w:w="702" w:type="pct"/>
            <w:noWrap w:val="0"/>
            <w:vAlign w:val="center"/>
          </w:tcPr>
          <w:p>
            <w:pPr>
              <w:spacing w:line="380" w:lineRule="exact"/>
              <w:ind w:leftChars="-51" w:hanging="107" w:hangingChars="51"/>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账面</w:t>
            </w:r>
            <w:r>
              <w:rPr>
                <w:rFonts w:hint="eastAsia" w:asciiTheme="majorEastAsia" w:hAnsiTheme="majorEastAsia" w:eastAsiaTheme="majorEastAsia" w:cstheme="majorEastAsia"/>
                <w:szCs w:val="21"/>
              </w:rPr>
              <w:t>价值</w:t>
            </w:r>
          </w:p>
        </w:tc>
        <w:tc>
          <w:tcPr>
            <w:tcW w:w="645" w:type="pct"/>
            <w:noWrap w:val="0"/>
            <w:vAlign w:val="center"/>
          </w:tcPr>
          <w:p>
            <w:pPr>
              <w:spacing w:line="380" w:lineRule="exact"/>
              <w:ind w:firstLine="0" w:firstLineChars="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lang w:val="en-US" w:eastAsia="zh-CN"/>
              </w:rPr>
              <w:t>预计</w:t>
            </w:r>
            <w:r>
              <w:rPr>
                <w:rFonts w:hint="eastAsia" w:asciiTheme="majorEastAsia" w:hAnsiTheme="majorEastAsia" w:eastAsiaTheme="majorEastAsia" w:cstheme="majorEastAsia"/>
                <w:szCs w:val="21"/>
              </w:rPr>
              <w:t>无法收回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363" w:type="pct"/>
            <w:noWrap w:val="0"/>
            <w:vAlign w:val="center"/>
          </w:tcPr>
          <w:p>
            <w:pPr>
              <w:spacing w:line="380" w:lineRule="exact"/>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1</w:t>
            </w:r>
          </w:p>
        </w:tc>
        <w:tc>
          <w:tcPr>
            <w:tcW w:w="1619" w:type="pct"/>
            <w:noWrap w:val="0"/>
            <w:vAlign w:val="center"/>
          </w:tcPr>
          <w:p>
            <w:pPr>
              <w:spacing w:line="380" w:lineRule="exact"/>
              <w:ind w:leftChars="-119" w:hanging="249" w:hangingChars="119"/>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方远建设集团股份有限公司</w:t>
            </w:r>
          </w:p>
          <w:p>
            <w:pPr>
              <w:spacing w:line="380" w:lineRule="exact"/>
              <w:ind w:leftChars="-119" w:hanging="249" w:hangingChars="119"/>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-徐昌富</w:t>
            </w:r>
          </w:p>
        </w:tc>
        <w:tc>
          <w:tcPr>
            <w:tcW w:w="430" w:type="pct"/>
            <w:noWrap w:val="0"/>
            <w:vAlign w:val="center"/>
          </w:tcPr>
          <w:p>
            <w:pPr>
              <w:ind w:firstLine="0" w:firstLineChars="0"/>
              <w:jc w:val="center"/>
              <w:rPr>
                <w:rFonts w:hint="eastAsia" w:asciiTheme="majorEastAsia" w:hAnsiTheme="majorEastAsia" w:eastAsiaTheme="majorEastAsia" w:cstheme="majorEastAsia"/>
                <w:color w:val="000000"/>
                <w:spacing w:val="-20"/>
                <w:szCs w:val="21"/>
              </w:rPr>
            </w:pPr>
          </w:p>
          <w:p>
            <w:pPr>
              <w:ind w:firstLine="0" w:firstLineChars="0"/>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pacing w:val="-20"/>
                <w:szCs w:val="21"/>
              </w:rPr>
              <w:t>货款</w:t>
            </w:r>
          </w:p>
        </w:tc>
        <w:tc>
          <w:tcPr>
            <w:tcW w:w="765"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2014年</w:t>
            </w:r>
          </w:p>
        </w:tc>
        <w:tc>
          <w:tcPr>
            <w:tcW w:w="473"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5年以上</w:t>
            </w:r>
          </w:p>
        </w:tc>
        <w:tc>
          <w:tcPr>
            <w:tcW w:w="702" w:type="pct"/>
            <w:noWrap w:val="0"/>
            <w:vAlign w:val="center"/>
          </w:tcPr>
          <w:p>
            <w:pPr>
              <w:spacing w:line="380" w:lineRule="exact"/>
              <w:ind w:left="0" w:leftChars="0"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538,419.14</w:t>
            </w:r>
          </w:p>
        </w:tc>
        <w:tc>
          <w:tcPr>
            <w:tcW w:w="645"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538,419.14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363" w:type="pct"/>
            <w:noWrap w:val="0"/>
            <w:vAlign w:val="center"/>
          </w:tcPr>
          <w:p>
            <w:pPr>
              <w:spacing w:line="380" w:lineRule="exact"/>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2</w:t>
            </w:r>
          </w:p>
        </w:tc>
        <w:tc>
          <w:tcPr>
            <w:tcW w:w="1619" w:type="pct"/>
            <w:noWrap w:val="0"/>
            <w:vAlign w:val="center"/>
          </w:tcPr>
          <w:p>
            <w:pPr>
              <w:spacing w:line="380" w:lineRule="exact"/>
              <w:ind w:leftChars="-119" w:hanging="249" w:hangingChars="119"/>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浙江绿驰景观工程有限公司</w:t>
            </w:r>
          </w:p>
        </w:tc>
        <w:tc>
          <w:tcPr>
            <w:tcW w:w="430" w:type="pct"/>
            <w:noWrap w:val="0"/>
            <w:vAlign w:val="center"/>
          </w:tcPr>
          <w:p>
            <w:pPr>
              <w:ind w:firstLine="0" w:firstLineChars="0"/>
              <w:jc w:val="center"/>
              <w:rPr>
                <w:rFonts w:hint="eastAsia" w:asciiTheme="majorEastAsia" w:hAnsiTheme="majorEastAsia" w:eastAsiaTheme="majorEastAsia" w:cstheme="majorEastAsia"/>
                <w:color w:val="000000"/>
                <w:spacing w:val="-20"/>
                <w:szCs w:val="21"/>
              </w:rPr>
            </w:pPr>
          </w:p>
          <w:p>
            <w:pPr>
              <w:ind w:firstLine="0" w:firstLineChars="0"/>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pacing w:val="-20"/>
                <w:szCs w:val="21"/>
              </w:rPr>
              <w:t>货款</w:t>
            </w:r>
          </w:p>
        </w:tc>
        <w:tc>
          <w:tcPr>
            <w:tcW w:w="765" w:type="pct"/>
            <w:noWrap w:val="0"/>
            <w:vAlign w:val="center"/>
          </w:tcPr>
          <w:p>
            <w:pPr>
              <w:spacing w:line="380" w:lineRule="exact"/>
              <w:ind w:leftChars="-51" w:hanging="107" w:hangingChars="63"/>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2017-2018年</w:t>
            </w:r>
          </w:p>
        </w:tc>
        <w:tc>
          <w:tcPr>
            <w:tcW w:w="473" w:type="pct"/>
            <w:noWrap w:val="0"/>
            <w:vAlign w:val="center"/>
          </w:tcPr>
          <w:p>
            <w:pPr>
              <w:spacing w:line="380" w:lineRule="exact"/>
              <w:ind w:leftChars="-51" w:hanging="107" w:hangingChars="63"/>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3-5年</w:t>
            </w:r>
          </w:p>
        </w:tc>
        <w:tc>
          <w:tcPr>
            <w:tcW w:w="702" w:type="pct"/>
            <w:noWrap w:val="0"/>
            <w:vAlign w:val="center"/>
          </w:tcPr>
          <w:p>
            <w:pPr>
              <w:spacing w:line="380" w:lineRule="exact"/>
              <w:ind w:left="0" w:leftChars="0"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11,285.49</w:t>
            </w:r>
          </w:p>
        </w:tc>
        <w:tc>
          <w:tcPr>
            <w:tcW w:w="645"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11,285.49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363" w:type="pct"/>
            <w:noWrap w:val="0"/>
            <w:vAlign w:val="center"/>
          </w:tcPr>
          <w:p>
            <w:pPr>
              <w:spacing w:line="380" w:lineRule="exact"/>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3</w:t>
            </w:r>
          </w:p>
        </w:tc>
        <w:tc>
          <w:tcPr>
            <w:tcW w:w="1619" w:type="pct"/>
            <w:noWrap w:val="0"/>
            <w:vAlign w:val="center"/>
          </w:tcPr>
          <w:p>
            <w:pPr>
              <w:spacing w:line="380" w:lineRule="exact"/>
              <w:ind w:leftChars="-119" w:hanging="249" w:hangingChars="119"/>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浙江国利英核能源有限公司</w:t>
            </w:r>
          </w:p>
        </w:tc>
        <w:tc>
          <w:tcPr>
            <w:tcW w:w="430" w:type="pct"/>
            <w:noWrap w:val="0"/>
            <w:vAlign w:val="center"/>
          </w:tcPr>
          <w:p>
            <w:pPr>
              <w:ind w:firstLine="0" w:firstLineChars="0"/>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pacing w:val="-20"/>
                <w:szCs w:val="21"/>
              </w:rPr>
              <w:t>货款</w:t>
            </w:r>
          </w:p>
        </w:tc>
        <w:tc>
          <w:tcPr>
            <w:tcW w:w="765" w:type="pct"/>
            <w:noWrap w:val="0"/>
            <w:vAlign w:val="center"/>
          </w:tcPr>
          <w:p>
            <w:pPr>
              <w:spacing w:line="380" w:lineRule="exact"/>
              <w:ind w:leftChars="-186" w:hanging="390" w:hangingChars="23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color w:val="000000"/>
                <w:spacing w:val="-20"/>
                <w:szCs w:val="21"/>
              </w:rPr>
              <w:t>2015-2016</w:t>
            </w:r>
            <w:r>
              <w:rPr>
                <w:rFonts w:hint="eastAsia" w:asciiTheme="majorEastAsia" w:hAnsiTheme="majorEastAsia" w:eastAsiaTheme="majorEastAsia" w:cstheme="majorEastAsia"/>
                <w:szCs w:val="21"/>
              </w:rPr>
              <w:t>年</w:t>
            </w:r>
          </w:p>
        </w:tc>
        <w:tc>
          <w:tcPr>
            <w:tcW w:w="473" w:type="pct"/>
            <w:noWrap w:val="0"/>
            <w:vAlign w:val="center"/>
          </w:tcPr>
          <w:p>
            <w:pPr>
              <w:spacing w:line="380" w:lineRule="exact"/>
              <w:ind w:leftChars="-51" w:hanging="107" w:hangingChars="63"/>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color w:val="000000"/>
                <w:spacing w:val="-20"/>
                <w:szCs w:val="21"/>
              </w:rPr>
              <w:t>5年以上</w:t>
            </w:r>
          </w:p>
        </w:tc>
        <w:tc>
          <w:tcPr>
            <w:tcW w:w="702" w:type="pct"/>
            <w:noWrap w:val="0"/>
            <w:vAlign w:val="center"/>
          </w:tcPr>
          <w:p>
            <w:pPr>
              <w:spacing w:line="380" w:lineRule="exact"/>
              <w:ind w:left="0" w:leftChars="0" w:firstLine="0" w:firstLineChars="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19,649.38</w:t>
            </w:r>
          </w:p>
        </w:tc>
        <w:tc>
          <w:tcPr>
            <w:tcW w:w="645" w:type="pct"/>
            <w:noWrap w:val="0"/>
            <w:vAlign w:val="center"/>
          </w:tcPr>
          <w:p>
            <w:pPr>
              <w:spacing w:line="380" w:lineRule="exact"/>
              <w:ind w:leftChars="-51" w:hanging="107" w:hangingChars="51"/>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19,649.38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2" w:hRule="atLeast"/>
        </w:trPr>
        <w:tc>
          <w:tcPr>
            <w:tcW w:w="363" w:type="pct"/>
            <w:noWrap w:val="0"/>
            <w:vAlign w:val="center"/>
          </w:tcPr>
          <w:p>
            <w:pPr>
              <w:spacing w:line="380" w:lineRule="exact"/>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4</w:t>
            </w:r>
          </w:p>
        </w:tc>
        <w:tc>
          <w:tcPr>
            <w:tcW w:w="1619" w:type="pct"/>
            <w:noWrap w:val="0"/>
            <w:vAlign w:val="center"/>
          </w:tcPr>
          <w:p>
            <w:pPr>
              <w:spacing w:line="380" w:lineRule="exact"/>
              <w:ind w:leftChars="-119" w:hanging="249" w:hangingChars="119"/>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台州远信建设工程有限公司</w:t>
            </w:r>
          </w:p>
          <w:p>
            <w:pPr>
              <w:spacing w:line="380" w:lineRule="exact"/>
              <w:ind w:leftChars="-119" w:hanging="249" w:hangingChars="119"/>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-冯仙友</w:t>
            </w:r>
          </w:p>
        </w:tc>
        <w:tc>
          <w:tcPr>
            <w:tcW w:w="430" w:type="pct"/>
            <w:noWrap w:val="0"/>
            <w:vAlign w:val="center"/>
          </w:tcPr>
          <w:p>
            <w:pPr>
              <w:ind w:firstLine="0" w:firstLineChars="0"/>
              <w:jc w:val="center"/>
              <w:rPr>
                <w:rFonts w:hint="eastAsia" w:asciiTheme="majorEastAsia" w:hAnsiTheme="majorEastAsia" w:eastAsiaTheme="majorEastAsia" w:cstheme="majorEastAsia"/>
              </w:rPr>
            </w:pPr>
            <w:r>
              <w:rPr>
                <w:rFonts w:hint="eastAsia" w:asciiTheme="majorEastAsia" w:hAnsiTheme="majorEastAsia" w:eastAsiaTheme="majorEastAsia" w:cstheme="majorEastAsia"/>
                <w:color w:val="000000"/>
                <w:spacing w:val="-20"/>
                <w:szCs w:val="21"/>
              </w:rPr>
              <w:t>货款</w:t>
            </w:r>
          </w:p>
        </w:tc>
        <w:tc>
          <w:tcPr>
            <w:tcW w:w="765"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2015年</w:t>
            </w:r>
          </w:p>
        </w:tc>
        <w:tc>
          <w:tcPr>
            <w:tcW w:w="473"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5年以上</w:t>
            </w:r>
          </w:p>
        </w:tc>
        <w:tc>
          <w:tcPr>
            <w:tcW w:w="702" w:type="pct"/>
            <w:noWrap w:val="0"/>
            <w:vAlign w:val="center"/>
          </w:tcPr>
          <w:p>
            <w:pPr>
              <w:spacing w:line="380" w:lineRule="exact"/>
              <w:ind w:left="0" w:leftChars="0"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269,834.82</w:t>
            </w:r>
          </w:p>
        </w:tc>
        <w:tc>
          <w:tcPr>
            <w:tcW w:w="645"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269,834.82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trPr>
        <w:tc>
          <w:tcPr>
            <w:tcW w:w="1983" w:type="pct"/>
            <w:gridSpan w:val="2"/>
            <w:noWrap w:val="0"/>
            <w:vAlign w:val="center"/>
          </w:tcPr>
          <w:p>
            <w:pPr>
              <w:spacing w:line="380" w:lineRule="exact"/>
              <w:ind w:left="-1" w:leftChars="-389" w:hanging="816" w:hangingChars="480"/>
              <w:jc w:val="center"/>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color w:val="000000"/>
                <w:spacing w:val="-20"/>
                <w:szCs w:val="21"/>
              </w:rPr>
              <w:t>合计</w:t>
            </w:r>
          </w:p>
        </w:tc>
        <w:tc>
          <w:tcPr>
            <w:tcW w:w="430" w:type="pct"/>
            <w:noWrap w:val="0"/>
            <w:vAlign w:val="center"/>
          </w:tcPr>
          <w:p>
            <w:pPr>
              <w:spacing w:line="380" w:lineRule="exact"/>
              <w:jc w:val="center"/>
              <w:rPr>
                <w:rFonts w:hint="eastAsia" w:asciiTheme="majorEastAsia" w:hAnsiTheme="majorEastAsia" w:eastAsiaTheme="majorEastAsia" w:cstheme="majorEastAsia"/>
                <w:color w:val="000000"/>
                <w:spacing w:val="-20"/>
                <w:szCs w:val="21"/>
              </w:rPr>
            </w:pPr>
          </w:p>
        </w:tc>
        <w:tc>
          <w:tcPr>
            <w:tcW w:w="765" w:type="pct"/>
            <w:noWrap w:val="0"/>
            <w:vAlign w:val="center"/>
          </w:tcPr>
          <w:p>
            <w:pPr>
              <w:spacing w:line="380" w:lineRule="exact"/>
              <w:jc w:val="center"/>
              <w:rPr>
                <w:rFonts w:hint="eastAsia" w:asciiTheme="majorEastAsia" w:hAnsiTheme="majorEastAsia" w:eastAsiaTheme="majorEastAsia" w:cstheme="majorEastAsia"/>
                <w:color w:val="000000"/>
                <w:spacing w:val="-20"/>
                <w:szCs w:val="21"/>
              </w:rPr>
            </w:pPr>
          </w:p>
        </w:tc>
        <w:tc>
          <w:tcPr>
            <w:tcW w:w="473" w:type="pct"/>
            <w:noWrap w:val="0"/>
            <w:vAlign w:val="center"/>
          </w:tcPr>
          <w:p>
            <w:pPr>
              <w:spacing w:line="380" w:lineRule="exact"/>
              <w:jc w:val="center"/>
              <w:rPr>
                <w:rFonts w:hint="eastAsia" w:asciiTheme="majorEastAsia" w:hAnsiTheme="majorEastAsia" w:eastAsiaTheme="majorEastAsia" w:cstheme="majorEastAsia"/>
                <w:color w:val="000000"/>
                <w:spacing w:val="-20"/>
                <w:szCs w:val="21"/>
              </w:rPr>
            </w:pPr>
          </w:p>
        </w:tc>
        <w:tc>
          <w:tcPr>
            <w:tcW w:w="702" w:type="pct"/>
            <w:noWrap w:val="0"/>
            <w:vAlign w:val="center"/>
          </w:tcPr>
          <w:p>
            <w:pPr>
              <w:spacing w:line="380" w:lineRule="exact"/>
              <w:ind w:left="0" w:leftChars="0"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839,188.83</w:t>
            </w:r>
          </w:p>
        </w:tc>
        <w:tc>
          <w:tcPr>
            <w:tcW w:w="645" w:type="pct"/>
            <w:noWrap w:val="0"/>
            <w:vAlign w:val="center"/>
          </w:tcPr>
          <w:p>
            <w:pPr>
              <w:spacing w:line="380" w:lineRule="exact"/>
              <w:ind w:firstLine="0" w:firstLineChars="0"/>
              <w:jc w:val="center"/>
              <w:rPr>
                <w:rFonts w:hint="eastAsia" w:asciiTheme="majorEastAsia" w:hAnsiTheme="majorEastAsia" w:eastAsiaTheme="majorEastAsia" w:cstheme="majorEastAsia"/>
                <w:color w:val="000000"/>
                <w:spacing w:val="-20"/>
                <w:szCs w:val="21"/>
              </w:rPr>
            </w:pPr>
            <w:r>
              <w:rPr>
                <w:rFonts w:hint="eastAsia" w:asciiTheme="majorEastAsia" w:hAnsiTheme="majorEastAsia" w:eastAsiaTheme="majorEastAsia" w:cstheme="majorEastAsia"/>
                <w:color w:val="000000"/>
                <w:spacing w:val="-20"/>
                <w:szCs w:val="21"/>
              </w:rPr>
              <w:t>839,188.83</w:t>
            </w:r>
          </w:p>
        </w:tc>
      </w:tr>
    </w:tbl>
    <w:p>
      <w:pPr>
        <w:spacing w:line="200" w:lineRule="exact"/>
        <w:ind w:firstLine="480" w:firstLineChars="200"/>
        <w:rPr>
          <w:rFonts w:hint="eastAsia" w:ascii="华文楷体" w:hAnsi="华文楷体" w:eastAsia="华文楷体"/>
          <w:color w:val="000000"/>
          <w:sz w:val="24"/>
        </w:rPr>
      </w:pPr>
    </w:p>
    <w:p>
      <w:pPr>
        <w:spacing w:line="400" w:lineRule="exact"/>
        <w:ind w:firstLine="480" w:firstLineChars="20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2）其余各项，经核实未见异常，以核实后的账面金额为评估值。同时，计提的坏账准备评估为0.00元。</w:t>
      </w:r>
    </w:p>
    <w:p>
      <w:pPr>
        <w:spacing w:line="400" w:lineRule="exact"/>
        <w:ind w:firstLine="480" w:firstLineChars="200"/>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sz w:val="24"/>
        </w:rPr>
        <w:t>(五)</w:t>
      </w:r>
      <w:r>
        <w:rPr>
          <w:rFonts w:hint="eastAsia" w:asciiTheme="majorEastAsia" w:hAnsiTheme="majorEastAsia" w:eastAsiaTheme="majorEastAsia" w:cstheme="majorEastAsia"/>
          <w:sz w:val="24"/>
        </w:rPr>
        <w:t>根据国家企业信用信息公示系统提供的台州四强新型建材有限公司“企业信用信息公示报告”显示：台州四强新型建材有限公司注册资本2000万元，其中台州美标水泥有限公司对四强新材投资200万元、投资比例10%，于2021年4月7日变更为</w:t>
      </w:r>
      <w:r>
        <w:rPr>
          <w:rFonts w:hint="eastAsia" w:asciiTheme="majorEastAsia" w:hAnsiTheme="majorEastAsia" w:eastAsiaTheme="majorEastAsia" w:cstheme="majorEastAsia"/>
          <w:color w:val="000000"/>
          <w:sz w:val="24"/>
        </w:rPr>
        <w:t>玉环市国有资产投资经营集团有限公司对</w:t>
      </w:r>
      <w:r>
        <w:rPr>
          <w:rFonts w:hint="eastAsia" w:asciiTheme="majorEastAsia" w:hAnsiTheme="majorEastAsia" w:eastAsiaTheme="majorEastAsia" w:cstheme="majorEastAsia"/>
          <w:sz w:val="24"/>
        </w:rPr>
        <w:t>四强新材</w:t>
      </w:r>
      <w:r>
        <w:rPr>
          <w:rFonts w:hint="eastAsia" w:asciiTheme="majorEastAsia" w:hAnsiTheme="majorEastAsia" w:eastAsiaTheme="majorEastAsia" w:cstheme="majorEastAsia"/>
          <w:color w:val="000000"/>
          <w:sz w:val="24"/>
        </w:rPr>
        <w:t>投</w:t>
      </w:r>
      <w:r>
        <w:rPr>
          <w:rFonts w:hint="eastAsia" w:asciiTheme="majorEastAsia" w:hAnsiTheme="majorEastAsia" w:eastAsiaTheme="majorEastAsia" w:cstheme="majorEastAsia"/>
          <w:sz w:val="24"/>
        </w:rPr>
        <w:t>资200万元，投资比例10%。</w:t>
      </w:r>
    </w:p>
    <w:p>
      <w:pPr>
        <w:spacing w:line="400" w:lineRule="exact"/>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color w:val="000000"/>
          <w:sz w:val="24"/>
        </w:rPr>
        <w:t>(六)</w:t>
      </w:r>
      <w:r>
        <w:rPr>
          <w:rFonts w:hint="eastAsia" w:asciiTheme="majorEastAsia" w:hAnsiTheme="majorEastAsia" w:eastAsiaTheme="majorEastAsia" w:cstheme="majorEastAsia"/>
          <w:sz w:val="24"/>
        </w:rPr>
        <w:t>四强新材原注册资本1000万元，分别由方远建设集团股份有限公司出资320万元占32%、台州市丰源工贸发展有限公司出资290万元占29%、浙江省海运集团台州海运有限公司出资290万元占29%及台州美</w:t>
      </w:r>
      <w:r>
        <w:rPr>
          <w:rFonts w:hint="eastAsia" w:asciiTheme="majorEastAsia" w:hAnsiTheme="majorEastAsia" w:eastAsiaTheme="majorEastAsia" w:cstheme="majorEastAsia"/>
          <w:sz w:val="24"/>
          <w:lang w:val="en-US" w:eastAsia="zh-CN"/>
        </w:rPr>
        <w:t>标</w:t>
      </w:r>
      <w:r>
        <w:rPr>
          <w:rFonts w:hint="eastAsia" w:asciiTheme="majorEastAsia" w:hAnsiTheme="majorEastAsia" w:eastAsiaTheme="majorEastAsia" w:cstheme="majorEastAsia"/>
          <w:sz w:val="24"/>
        </w:rPr>
        <w:t>水泥有限公司出资100万元占10%。2005年4月19日注册资本由1000万元变更为2000万元，根据四强新材提供的：（甲方）台州市丰源工贸发展有限公司、浙江省海运集团台州海运有限公司、台州美</w:t>
      </w:r>
      <w:r>
        <w:rPr>
          <w:rFonts w:hint="eastAsia" w:asciiTheme="majorEastAsia" w:hAnsiTheme="majorEastAsia" w:eastAsiaTheme="majorEastAsia" w:cstheme="majorEastAsia"/>
          <w:sz w:val="24"/>
          <w:lang w:val="en-US" w:eastAsia="zh-CN"/>
        </w:rPr>
        <w:t>标</w:t>
      </w:r>
      <w:r>
        <w:rPr>
          <w:rFonts w:hint="eastAsia" w:asciiTheme="majorEastAsia" w:hAnsiTheme="majorEastAsia" w:eastAsiaTheme="majorEastAsia" w:cstheme="majorEastAsia"/>
          <w:sz w:val="24"/>
        </w:rPr>
        <w:t>水泥有限公司与（乙方）方远建设集团股份有限公司2005年3月28日签订的《协议书》。</w:t>
      </w:r>
    </w:p>
    <w:p>
      <w:pPr>
        <w:spacing w:line="400" w:lineRule="exact"/>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1、将四强公司注册资本金由1000万元增加到2000万元，各股东名义上按原持股比例增资，其目的为满足乙方在承包经营期间提升四强公司资质、扩大经营的需要。</w:t>
      </w:r>
    </w:p>
    <w:p>
      <w:pPr>
        <w:spacing w:line="400" w:lineRule="exact"/>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2、本次增资甲方各单位股东所需资金均由乙方提供；</w:t>
      </w:r>
    </w:p>
    <w:p>
      <w:pPr>
        <w:spacing w:line="400" w:lineRule="exact"/>
        <w:jc w:val="lef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3、甲方各股东单位按原出资额承担义务、按原持股双例享有权利，其收益权等权利义务按照2004年4月7日签订的二轮承包经营协议书确定有内容承担与享有。</w:t>
      </w:r>
    </w:p>
    <w:p>
      <w:pPr>
        <w:spacing w:line="400" w:lineRule="exact"/>
        <w:rPr>
          <w:rFonts w:hint="eastAsia" w:asciiTheme="majorEastAsia" w:hAnsiTheme="majorEastAsia" w:eastAsiaTheme="majorEastAsia" w:cstheme="majorEastAsia"/>
          <w:b/>
          <w:sz w:val="24"/>
        </w:rPr>
      </w:pPr>
      <w:r>
        <w:rPr>
          <w:rFonts w:hint="eastAsia" w:asciiTheme="majorEastAsia" w:hAnsiTheme="majorEastAsia" w:eastAsiaTheme="majorEastAsia" w:cstheme="majorEastAsia"/>
          <w:color w:val="000000"/>
          <w:sz w:val="24"/>
        </w:rPr>
        <w:t>(七)</w:t>
      </w:r>
      <w:r>
        <w:rPr>
          <w:rFonts w:hint="eastAsia" w:asciiTheme="majorEastAsia" w:hAnsiTheme="majorEastAsia" w:eastAsiaTheme="majorEastAsia" w:cstheme="majorEastAsia"/>
          <w:sz w:val="24"/>
        </w:rPr>
        <w:t>根据四强新材提供的台州四强新型建材有限公司股东会（甲方）与方远建设集团股份有限公司（乙方）签订的《委托承包经营协议书》，承包经营期限共四期，一期2002年4月1日至2004年12月31日，二期2005年1月1日至2009年12月31日，三期2010年1月1日至2014年12月31日，四期2015年1月1日至2019年12月31日， 后无续签。承包合同期内上缴给各股东的所得税后收益基数定为一期总额580万元、二至三期每年330万元、四期每年280万元，不足基数部分由乙方弥补至基数额，超过部分归乙方所有，各股东按持股比例参加分配</w:t>
      </w:r>
      <w:r>
        <w:rPr>
          <w:rFonts w:hint="eastAsia" w:asciiTheme="majorEastAsia" w:hAnsiTheme="majorEastAsia" w:eastAsiaTheme="majorEastAsia" w:cstheme="majorEastAsia"/>
          <w:b/>
          <w:sz w:val="24"/>
        </w:rPr>
        <w:t xml:space="preserve"> 。   </w:t>
      </w:r>
    </w:p>
    <w:p>
      <w:pPr>
        <w:spacing w:line="400" w:lineRule="exact"/>
        <w:rPr>
          <w:rFonts w:hint="eastAsia" w:asciiTheme="majorEastAsia" w:hAnsiTheme="majorEastAsia" w:eastAsiaTheme="majorEastAsia" w:cstheme="majorEastAsia"/>
          <w:sz w:val="24"/>
        </w:rPr>
      </w:pPr>
      <w:r>
        <w:rPr>
          <w:rFonts w:hint="eastAsia" w:asciiTheme="majorEastAsia" w:hAnsiTheme="majorEastAsia" w:eastAsiaTheme="majorEastAsia" w:cstheme="majorEastAsia"/>
          <w:sz w:val="24"/>
        </w:rPr>
        <w:t>由于2019年12月31日后无续签承包经营协议，据了解目前四强新材仍系方远建设集团股份有限公司承包经营。本次评估根据前四轮承包经营协议，按每年基数280万元计提2020年1月1日至2021年5月31日的应付股利额共计3,967,000.00元作为评估值。</w:t>
      </w:r>
    </w:p>
    <w:p>
      <w:pPr>
        <w:spacing w:line="400" w:lineRule="exact"/>
        <w:ind w:firstLine="480"/>
        <w:jc w:val="left"/>
        <w:rPr>
          <w:rFonts w:hint="eastAsia" w:ascii="华文楷体" w:hAnsi="华文楷体" w:eastAsia="华文楷体"/>
          <w:sz w:val="24"/>
        </w:rPr>
      </w:pPr>
      <w:r>
        <w:rPr>
          <w:rFonts w:hint="eastAsia" w:asciiTheme="majorEastAsia" w:hAnsiTheme="majorEastAsia" w:eastAsiaTheme="majorEastAsia" w:cstheme="majorEastAsia"/>
          <w:sz w:val="24"/>
        </w:rPr>
        <w:t>本次评估因上述事项金额的不确定性，未考虑该事项金额对评估结论的影响。</w:t>
      </w:r>
    </w:p>
    <w:p>
      <w:pPr>
        <w:spacing w:line="400" w:lineRule="exact"/>
        <w:jc w:val="left"/>
        <w:rPr>
          <w:rFonts w:hint="eastAsia" w:ascii="宋体" w:hAnsi="宋体"/>
          <w:color w:val="auto"/>
          <w:sz w:val="28"/>
          <w:szCs w:val="28"/>
          <w:highlight w:val="none"/>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43"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CF3C52" w:usb2="00000016" w:usb3="00000000" w:csb0="0004001F" w:csb1="0000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36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asciiTheme="minorEastAsia" w:hAnsiTheme="minorEastAsia" w:eastAsiaTheme="minorEastAsia" w:cstheme="minorEastAsia"/>
                              <w:color w:val="auto"/>
                              <w:sz w:val="28"/>
                              <w:szCs w:val="28"/>
                              <w:lang w:eastAsia="zh-CN"/>
                            </w:rPr>
                            <w:fldChar w:fldCharType="begin"/>
                          </w:r>
                          <w:r>
                            <w:rPr>
                              <w:rFonts w:hint="eastAsia" w:asciiTheme="minorEastAsia" w:hAnsiTheme="minorEastAsia" w:eastAsiaTheme="minorEastAsia" w:cstheme="minorEastAsia"/>
                              <w:color w:val="auto"/>
                              <w:sz w:val="28"/>
                              <w:szCs w:val="28"/>
                              <w:lang w:eastAsia="zh-CN"/>
                            </w:rPr>
                            <w:instrText xml:space="preserve"> PAGE  \* MERGEFORMAT </w:instrText>
                          </w:r>
                          <w:r>
                            <w:rPr>
                              <w:rFonts w:hint="eastAsia" w:asciiTheme="minorEastAsia" w:hAnsiTheme="minorEastAsia" w:eastAsiaTheme="minorEastAsia" w:cstheme="minorEastAsia"/>
                              <w:color w:val="auto"/>
                              <w:sz w:val="28"/>
                              <w:szCs w:val="28"/>
                              <w:lang w:eastAsia="zh-CN"/>
                            </w:rPr>
                            <w:fldChar w:fldCharType="separate"/>
                          </w:r>
                          <w:r>
                            <w:rPr>
                              <w:rFonts w:hint="eastAsia" w:asciiTheme="minorEastAsia" w:hAnsiTheme="minorEastAsia" w:eastAsiaTheme="minorEastAsia" w:cstheme="minorEastAsia"/>
                              <w:color w:val="auto"/>
                              <w:sz w:val="28"/>
                              <w:szCs w:val="28"/>
                              <w:lang w:eastAsia="zh-CN"/>
                            </w:rPr>
                            <w:t>2</w:t>
                          </w:r>
                          <w:r>
                            <w:rPr>
                              <w:rFonts w:hint="eastAsia" w:asciiTheme="minorEastAsia" w:hAnsiTheme="minorEastAsia" w:eastAsiaTheme="minorEastAsia" w:cstheme="minorEastAsia"/>
                              <w:color w:val="auto"/>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F3HKwEwIAABMEAAAOAAAAAAAAAAEA&#10;IAAAAB8BAABkcnMvZTJvRG9jLnhtbFBLBQYAAAAABgAGAFkBAACkBQAAAAA=&#10;">
              <v:fill on="f" focussize="0,0"/>
              <v:stroke on="f" weight="0.5pt"/>
              <v:imagedata o:title=""/>
              <o:lock v:ext="edit" aspectratio="f"/>
              <v:textbox inset="0mm,0mm,0mm,0mm" style="mso-fit-shape-to-text:t;">
                <w:txbxContent>
                  <w:p>
                    <w:pPr>
                      <w:pStyle w:val="6"/>
                      <w:rPr>
                        <w:rFonts w:hint="eastAsia" w:eastAsia="宋体"/>
                        <w:lang w:eastAsia="zh-CN"/>
                      </w:rPr>
                    </w:pPr>
                    <w:r>
                      <w:rPr>
                        <w:rFonts w:hint="eastAsia" w:asciiTheme="minorEastAsia" w:hAnsiTheme="minorEastAsia" w:eastAsiaTheme="minorEastAsia" w:cstheme="minorEastAsia"/>
                        <w:color w:val="auto"/>
                        <w:sz w:val="28"/>
                        <w:szCs w:val="28"/>
                        <w:lang w:eastAsia="zh-CN"/>
                      </w:rPr>
                      <w:fldChar w:fldCharType="begin"/>
                    </w:r>
                    <w:r>
                      <w:rPr>
                        <w:rFonts w:hint="eastAsia" w:asciiTheme="minorEastAsia" w:hAnsiTheme="minorEastAsia" w:eastAsiaTheme="minorEastAsia" w:cstheme="minorEastAsia"/>
                        <w:color w:val="auto"/>
                        <w:sz w:val="28"/>
                        <w:szCs w:val="28"/>
                        <w:lang w:eastAsia="zh-CN"/>
                      </w:rPr>
                      <w:instrText xml:space="preserve"> PAGE  \* MERGEFORMAT </w:instrText>
                    </w:r>
                    <w:r>
                      <w:rPr>
                        <w:rFonts w:hint="eastAsia" w:asciiTheme="minorEastAsia" w:hAnsiTheme="minorEastAsia" w:eastAsiaTheme="minorEastAsia" w:cstheme="minorEastAsia"/>
                        <w:color w:val="auto"/>
                        <w:sz w:val="28"/>
                        <w:szCs w:val="28"/>
                        <w:lang w:eastAsia="zh-CN"/>
                      </w:rPr>
                      <w:fldChar w:fldCharType="separate"/>
                    </w:r>
                    <w:r>
                      <w:rPr>
                        <w:rFonts w:hint="eastAsia" w:asciiTheme="minorEastAsia" w:hAnsiTheme="minorEastAsia" w:eastAsiaTheme="minorEastAsia" w:cstheme="minorEastAsia"/>
                        <w:color w:val="auto"/>
                        <w:sz w:val="28"/>
                        <w:szCs w:val="28"/>
                        <w:lang w:eastAsia="zh-CN"/>
                      </w:rPr>
                      <w:t>2</w:t>
                    </w:r>
                    <w:r>
                      <w:rPr>
                        <w:rFonts w:hint="eastAsia" w:asciiTheme="minorEastAsia" w:hAnsiTheme="minorEastAsia" w:eastAsiaTheme="minorEastAsia" w:cstheme="minorEastAsia"/>
                        <w:color w:val="auto"/>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8F70687"/>
    <w:multiLevelType w:val="singleLevel"/>
    <w:tmpl w:val="88F70687"/>
    <w:lvl w:ilvl="0" w:tentative="0">
      <w:start w:val="1"/>
      <w:numFmt w:val="chineseCounting"/>
      <w:suff w:val="nothing"/>
      <w:lvlText w:val="（%1）"/>
      <w:lvlJc w:val="left"/>
      <w:pPr>
        <w:ind w:left="0" w:firstLine="420"/>
      </w:pPr>
      <w:rPr>
        <w:rFonts w:hint="eastAsia"/>
      </w:rPr>
    </w:lvl>
  </w:abstractNum>
  <w:abstractNum w:abstractNumId="1">
    <w:nsid w:val="95ACBEF6"/>
    <w:multiLevelType w:val="singleLevel"/>
    <w:tmpl w:val="95ACBEF6"/>
    <w:lvl w:ilvl="0" w:tentative="0">
      <w:start w:val="1"/>
      <w:numFmt w:val="chineseCounting"/>
      <w:suff w:val="nothing"/>
      <w:lvlText w:val="%1、"/>
      <w:lvlJc w:val="left"/>
      <w:pPr>
        <w:ind w:left="0" w:firstLine="420"/>
      </w:pPr>
      <w:rPr>
        <w:rFonts w:hint="eastAsia"/>
      </w:rPr>
    </w:lvl>
  </w:abstractNum>
  <w:abstractNum w:abstractNumId="2">
    <w:nsid w:val="ABACB610"/>
    <w:multiLevelType w:val="singleLevel"/>
    <w:tmpl w:val="ABACB610"/>
    <w:lvl w:ilvl="0" w:tentative="0">
      <w:start w:val="1"/>
      <w:numFmt w:val="chineseCounting"/>
      <w:suff w:val="nothing"/>
      <w:lvlText w:val="%1、"/>
      <w:lvlJc w:val="left"/>
      <w:rPr>
        <w:rFonts w:hint="eastAsia"/>
      </w:rPr>
    </w:lvl>
  </w:abstractNum>
  <w:abstractNum w:abstractNumId="3">
    <w:nsid w:val="C6A7A4A0"/>
    <w:multiLevelType w:val="singleLevel"/>
    <w:tmpl w:val="C6A7A4A0"/>
    <w:lvl w:ilvl="0" w:tentative="0">
      <w:start w:val="2"/>
      <w:numFmt w:val="decimal"/>
      <w:suff w:val="nothing"/>
      <w:lvlText w:val="%1、"/>
      <w:lvlJc w:val="left"/>
    </w:lvl>
  </w:abstractNum>
  <w:abstractNum w:abstractNumId="4">
    <w:nsid w:val="D585185B"/>
    <w:multiLevelType w:val="singleLevel"/>
    <w:tmpl w:val="D585185B"/>
    <w:lvl w:ilvl="0" w:tentative="0">
      <w:start w:val="1"/>
      <w:numFmt w:val="decimal"/>
      <w:lvlText w:val="%1."/>
      <w:lvlJc w:val="left"/>
      <w:pPr>
        <w:ind w:left="425" w:hanging="425"/>
      </w:pPr>
      <w:rPr>
        <w:rFonts w:hint="default"/>
      </w:rPr>
    </w:lvl>
  </w:abstractNum>
  <w:abstractNum w:abstractNumId="5">
    <w:nsid w:val="FBB175B6"/>
    <w:multiLevelType w:val="singleLevel"/>
    <w:tmpl w:val="FBB175B6"/>
    <w:lvl w:ilvl="0" w:tentative="0">
      <w:start w:val="2"/>
      <w:numFmt w:val="chineseCounting"/>
      <w:suff w:val="space"/>
      <w:lvlText w:val="第%1条"/>
      <w:lvlJc w:val="left"/>
      <w:rPr>
        <w:rFonts w:hint="eastAsia"/>
      </w:rPr>
    </w:lvl>
  </w:abstractNum>
  <w:abstractNum w:abstractNumId="6">
    <w:nsid w:val="1CB331C0"/>
    <w:multiLevelType w:val="multilevel"/>
    <w:tmpl w:val="1CB331C0"/>
    <w:lvl w:ilvl="0" w:tentative="0">
      <w:start w:val="1"/>
      <w:numFmt w:val="japaneseCounting"/>
      <w:lvlText w:val="%1、"/>
      <w:lvlJc w:val="left"/>
      <w:pPr>
        <w:tabs>
          <w:tab w:val="left" w:pos="900"/>
        </w:tabs>
        <w:ind w:left="900" w:hanging="480"/>
      </w:pPr>
      <w:rPr>
        <w:rFonts w:hint="default"/>
        <w:lang w:val="en-US"/>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abstractNum w:abstractNumId="7">
    <w:nsid w:val="4A4A7152"/>
    <w:multiLevelType w:val="singleLevel"/>
    <w:tmpl w:val="4A4A7152"/>
    <w:lvl w:ilvl="0" w:tentative="0">
      <w:start w:val="4"/>
      <w:numFmt w:val="chineseCounting"/>
      <w:suff w:val="nothing"/>
      <w:lvlText w:val="%1、"/>
      <w:lvlJc w:val="left"/>
      <w:rPr>
        <w:rFonts w:hint="eastAsia"/>
      </w:rPr>
    </w:lvl>
  </w:abstractNum>
  <w:abstractNum w:abstractNumId="8">
    <w:nsid w:val="63631DC9"/>
    <w:multiLevelType w:val="multilevel"/>
    <w:tmpl w:val="63631DC9"/>
    <w:lvl w:ilvl="0" w:tentative="0">
      <w:start w:val="1"/>
      <w:numFmt w:val="decimal"/>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lvlText w:val="%3."/>
      <w:lvlJc w:val="right"/>
      <w:pPr>
        <w:ind w:left="1820" w:hanging="420"/>
      </w:pPr>
    </w:lvl>
    <w:lvl w:ilvl="3" w:tentative="0">
      <w:start w:val="1"/>
      <w:numFmt w:val="decimal"/>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9">
    <w:nsid w:val="73B11575"/>
    <w:multiLevelType w:val="multilevel"/>
    <w:tmpl w:val="73B11575"/>
    <w:lvl w:ilvl="0" w:tentative="0">
      <w:start w:val="1"/>
      <w:numFmt w:val="decimal"/>
      <w:lvlText w:val="%1、"/>
      <w:lvlJc w:val="left"/>
      <w:pPr>
        <w:ind w:left="1260" w:hanging="420"/>
      </w:pPr>
      <w:rPr>
        <w:rFonts w:hint="eastAsia"/>
      </w:r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num w:numId="1">
    <w:abstractNumId w:val="6"/>
  </w:num>
  <w:num w:numId="2">
    <w:abstractNumId w:val="4"/>
  </w:num>
  <w:num w:numId="3">
    <w:abstractNumId w:val="7"/>
  </w:num>
  <w:num w:numId="4">
    <w:abstractNumId w:val="3"/>
  </w:num>
  <w:num w:numId="5">
    <w:abstractNumId w:val="1"/>
  </w:num>
  <w:num w:numId="6">
    <w:abstractNumId w:val="0"/>
  </w:num>
  <w:num w:numId="7">
    <w:abstractNumId w:val="2"/>
  </w:num>
  <w:num w:numId="8">
    <w:abstractNumId w:val="9"/>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02C5D10"/>
    <w:rsid w:val="067412EF"/>
    <w:rsid w:val="07A75B76"/>
    <w:rsid w:val="07C678FD"/>
    <w:rsid w:val="092F75B0"/>
    <w:rsid w:val="0A2E5647"/>
    <w:rsid w:val="0E0F33E0"/>
    <w:rsid w:val="102C5D10"/>
    <w:rsid w:val="106E72BC"/>
    <w:rsid w:val="115C630E"/>
    <w:rsid w:val="12E3308D"/>
    <w:rsid w:val="13D6674E"/>
    <w:rsid w:val="14AF6CF6"/>
    <w:rsid w:val="162304BC"/>
    <w:rsid w:val="189C469D"/>
    <w:rsid w:val="19AB2C35"/>
    <w:rsid w:val="19F2776D"/>
    <w:rsid w:val="1A977F74"/>
    <w:rsid w:val="1AC00AF1"/>
    <w:rsid w:val="1AD37D06"/>
    <w:rsid w:val="1B205AEE"/>
    <w:rsid w:val="210C66D2"/>
    <w:rsid w:val="22323213"/>
    <w:rsid w:val="23A54617"/>
    <w:rsid w:val="25EB14B9"/>
    <w:rsid w:val="26506553"/>
    <w:rsid w:val="268378EC"/>
    <w:rsid w:val="26D7520B"/>
    <w:rsid w:val="275A4453"/>
    <w:rsid w:val="2978652E"/>
    <w:rsid w:val="2BE25740"/>
    <w:rsid w:val="2F401C3D"/>
    <w:rsid w:val="2F8D6B48"/>
    <w:rsid w:val="304372CE"/>
    <w:rsid w:val="30B0573D"/>
    <w:rsid w:val="31E364B3"/>
    <w:rsid w:val="32ED680E"/>
    <w:rsid w:val="38EB6C56"/>
    <w:rsid w:val="395E1AE3"/>
    <w:rsid w:val="3A720424"/>
    <w:rsid w:val="3C1240FD"/>
    <w:rsid w:val="3C1D78F8"/>
    <w:rsid w:val="3DDC1545"/>
    <w:rsid w:val="3FF80670"/>
    <w:rsid w:val="408B24EB"/>
    <w:rsid w:val="425E443E"/>
    <w:rsid w:val="43E02B4D"/>
    <w:rsid w:val="43EF2284"/>
    <w:rsid w:val="44102C80"/>
    <w:rsid w:val="465F2A65"/>
    <w:rsid w:val="469E4499"/>
    <w:rsid w:val="471A1ED2"/>
    <w:rsid w:val="475C455B"/>
    <w:rsid w:val="4A5A3702"/>
    <w:rsid w:val="4BA001D7"/>
    <w:rsid w:val="4C871CFC"/>
    <w:rsid w:val="4CFB5BD1"/>
    <w:rsid w:val="4E14094C"/>
    <w:rsid w:val="4E667301"/>
    <w:rsid w:val="5121290E"/>
    <w:rsid w:val="516412F9"/>
    <w:rsid w:val="51ED13A1"/>
    <w:rsid w:val="53FE6DD5"/>
    <w:rsid w:val="546C7C74"/>
    <w:rsid w:val="55FD4314"/>
    <w:rsid w:val="578265B2"/>
    <w:rsid w:val="5AD24EF5"/>
    <w:rsid w:val="5AE82248"/>
    <w:rsid w:val="5C4665FE"/>
    <w:rsid w:val="5CA55F60"/>
    <w:rsid w:val="5D71457E"/>
    <w:rsid w:val="5EB56C59"/>
    <w:rsid w:val="5ED42A73"/>
    <w:rsid w:val="5F741281"/>
    <w:rsid w:val="637D11C4"/>
    <w:rsid w:val="67ED581E"/>
    <w:rsid w:val="67FC395A"/>
    <w:rsid w:val="68071D23"/>
    <w:rsid w:val="6AC023D9"/>
    <w:rsid w:val="6BDB1254"/>
    <w:rsid w:val="6C586D06"/>
    <w:rsid w:val="6CB14A9B"/>
    <w:rsid w:val="71911E5A"/>
    <w:rsid w:val="72183311"/>
    <w:rsid w:val="7224155D"/>
    <w:rsid w:val="727753C7"/>
    <w:rsid w:val="73AB13B6"/>
    <w:rsid w:val="76CC4810"/>
    <w:rsid w:val="7B8775B2"/>
    <w:rsid w:val="7CAD0B24"/>
    <w:rsid w:val="7DCE6F9B"/>
    <w:rsid w:val="7FFE7DC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99"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ind w:firstLine="200" w:firstLineChars="20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Lines="0" w:beforeAutospacing="0" w:afterLines="0" w:afterAutospacing="0" w:line="360" w:lineRule="auto"/>
      <w:jc w:val="center"/>
      <w:outlineLvl w:val="0"/>
    </w:pPr>
    <w:rPr>
      <w:b/>
      <w:kern w:val="44"/>
      <w:sz w:val="44"/>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szCs w:val="20"/>
    </w:rPr>
  </w:style>
  <w:style w:type="paragraph" w:styleId="4">
    <w:name w:val="Body Text Indent"/>
    <w:qFormat/>
    <w:uiPriority w:val="0"/>
    <w:pPr>
      <w:widowControl w:val="0"/>
      <w:spacing w:line="440" w:lineRule="exact"/>
      <w:ind w:firstLine="720" w:firstLineChars="300"/>
      <w:jc w:val="both"/>
    </w:pPr>
    <w:rPr>
      <w:rFonts w:ascii="Times New Roman" w:hAnsi="Times New Roman" w:eastAsia="宋体" w:cs="Times New Roman"/>
      <w:kern w:val="2"/>
      <w:sz w:val="24"/>
      <w:szCs w:val="24"/>
      <w:lang w:val="en-US" w:eastAsia="zh-CN" w:bidi="ar-SA"/>
    </w:rPr>
  </w:style>
  <w:style w:type="paragraph" w:styleId="5">
    <w:name w:val="Plain Text"/>
    <w:basedOn w:val="1"/>
    <w:qFormat/>
    <w:uiPriority w:val="0"/>
    <w:pPr>
      <w:ind w:firstLine="0" w:firstLineChars="0"/>
    </w:pPr>
    <w:rPr>
      <w:rFonts w:ascii="宋体" w:hAnsi="Courier New"/>
    </w:rPr>
  </w:style>
  <w:style w:type="paragraph" w:styleId="6">
    <w:name w:val="footer"/>
    <w:qFormat/>
    <w:uiPriority w:val="0"/>
    <w:pPr>
      <w:widowControl w:val="0"/>
      <w:tabs>
        <w:tab w:val="center" w:pos="4153"/>
        <w:tab w:val="right" w:pos="8306"/>
      </w:tabs>
      <w:snapToGrid w:val="0"/>
      <w:ind w:firstLine="200" w:firstLineChars="200"/>
      <w:jc w:val="left"/>
    </w:pPr>
    <w:rPr>
      <w:rFonts w:ascii="Times New Roman" w:hAnsi="Times New Roman" w:eastAsia="宋体" w:cs="Times New Roman"/>
      <w:kern w:val="2"/>
      <w:sz w:val="18"/>
      <w:szCs w:val="24"/>
      <w:lang w:val="en-US" w:eastAsia="zh-CN" w:bidi="ar-SA"/>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toc 1"/>
    <w:basedOn w:val="1"/>
    <w:next w:val="1"/>
    <w:qFormat/>
    <w:uiPriority w:val="39"/>
  </w:style>
  <w:style w:type="paragraph" w:styleId="9">
    <w:name w:val="Title"/>
    <w:basedOn w:val="1"/>
    <w:next w:val="1"/>
    <w:qFormat/>
    <w:uiPriority w:val="99"/>
    <w:pPr>
      <w:spacing w:before="240" w:after="60"/>
      <w:jc w:val="center"/>
      <w:outlineLvl w:val="0"/>
    </w:pPr>
    <w:rPr>
      <w:rFonts w:ascii="Cambria" w:hAnsi="Cambria" w:eastAsia="仿宋_GB2312" w:cs="Verdana"/>
      <w:b/>
      <w:bCs/>
      <w:sz w:val="32"/>
      <w:szCs w:val="32"/>
      <w:lang w:eastAsia="en-US"/>
    </w:rPr>
  </w:style>
  <w:style w:type="character" w:styleId="12">
    <w:name w:val="Hyperlink"/>
    <w:basedOn w:val="11"/>
    <w:qFormat/>
    <w:uiPriority w:val="0"/>
    <w:rPr>
      <w:color w:val="0000FF"/>
      <w:u w:val="single"/>
    </w:rPr>
  </w:style>
  <w:style w:type="paragraph" w:customStyle="1" w:styleId="13">
    <w:name w:val="列表段落1"/>
    <w:qFormat/>
    <w:uiPriority w:val="34"/>
    <w:pPr>
      <w:widowControl w:val="0"/>
      <w:ind w:firstLine="420" w:firstLineChars="20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78</TotalTime>
  <ScaleCrop>false</ScaleCrop>
  <LinksUpToDate>false</LinksUpToDate>
  <CharactersWithSpaces>0</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2021-05-25T01:22:00Z</dcterms:created>
  <dc:creator>黄小蕾</dc:creator>
  <cp:lastModifiedBy>多年以后</cp:lastModifiedBy>
  <cp:lastPrinted>2021-12-09T02:11:00Z</cp:lastPrinted>
  <dcterms:modified xsi:type="dcterms:W3CDTF">2021-12-09T05:51:40Z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3D0FFAD459B142838CC0BAC8B224C2BA</vt:lpwstr>
  </property>
</Properties>
</file>