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cs="方正小标宋简体"/>
          <w:sz w:val="32"/>
          <w:szCs w:val="36"/>
        </w:rPr>
      </w:pPr>
      <w:r>
        <w:rPr>
          <w:rFonts w:hint="eastAsia" w:ascii="方正小标宋简体" w:hAnsi="方正小标宋简体" w:eastAsia="方正小标宋简体" w:cs="方正小标宋简体"/>
          <w:sz w:val="32"/>
          <w:szCs w:val="36"/>
        </w:rPr>
        <w:t>北京北航天宇长鹰无人机科技有限公司增资项目</w:t>
      </w:r>
    </w:p>
    <w:p>
      <w:pPr>
        <w:jc w:val="center"/>
        <w:rPr>
          <w:rFonts w:ascii="方正小标宋简体" w:hAnsi="方正小标宋简体" w:eastAsia="方正小标宋简体" w:cs="方正小标宋简体"/>
          <w:sz w:val="32"/>
          <w:szCs w:val="36"/>
        </w:rPr>
      </w:pPr>
      <w:r>
        <w:rPr>
          <w:rFonts w:hint="eastAsia" w:ascii="方正小标宋简体" w:hAnsi="方正小标宋简体" w:eastAsia="方正小标宋简体" w:cs="方正小标宋简体"/>
          <w:sz w:val="32"/>
          <w:szCs w:val="36"/>
        </w:rPr>
        <w:t>竞争性谈判方案</w:t>
      </w:r>
    </w:p>
    <w:p>
      <w:pPr>
        <w:rPr>
          <w:sz w:val="24"/>
          <w:szCs w:val="28"/>
        </w:rPr>
      </w:pP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北京北航天宇长鹰无人机科技有限公司增资项目（项目编号：台交所挂【2021】24号）由台州市产权交易所有限公司（以下简称组织人）对外披露</w:t>
      </w:r>
      <w:bookmarkStart w:id="2" w:name="_GoBack"/>
      <w:bookmarkEnd w:id="2"/>
      <w:r>
        <w:rPr>
          <w:rFonts w:hint="eastAsia" w:ascii="仿宋_GB2312" w:hAnsi="仿宋_GB2312" w:eastAsia="仿宋_GB2312" w:cs="仿宋_GB2312"/>
          <w:sz w:val="24"/>
          <w:szCs w:val="28"/>
        </w:rPr>
        <w:t>信息公开征集投资方，并协助融资方（北京北航天宇长鹰无人机科技有限公司）采用竞争性谈判结合综合评议等方式开展投资方遴选工作。</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一、标的、底价及保证金</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本次增资融资方为北京北航天宇长鹰无人机科技有限公司，增资金额不低于8亿元人民币（其中3098.477486万元计入注册资本，超出部分计入资本公积），报名时交纳8000万元人民币增资保证金。</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二、竞争性谈判说明及安排</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1、本次竞争性谈判活动依据《企业国有资产交易监督管理办法》等相关规定进行。</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2、意向投资方提交投资申请相关材料，按时足额交纳保证金，并经融资方确认合格意向投资方有二家及以上的，采用竞争性谈判结合综合评议择优选定投资方。</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3、出现以下任何情形时，则本次公开征集终止：</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（1）</w:t>
      </w:r>
      <w:r>
        <w:rPr>
          <w:rFonts w:hint="eastAsia" w:ascii="仿宋_GB2312" w:hAnsi="仿宋_GB2312" w:eastAsia="仿宋_GB2312" w:cs="仿宋_GB2312"/>
          <w:sz w:val="24"/>
          <w:szCs w:val="28"/>
        </w:rPr>
        <w:tab/>
      </w:r>
      <w:r>
        <w:rPr>
          <w:rFonts w:hint="eastAsia" w:ascii="仿宋_GB2312" w:hAnsi="仿宋_GB2312" w:eastAsia="仿宋_GB2312" w:cs="仿宋_GB2312"/>
          <w:sz w:val="24"/>
          <w:szCs w:val="28"/>
        </w:rPr>
        <w:t>未征集到合格的意向投资方；</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（2）</w:t>
      </w:r>
      <w:r>
        <w:rPr>
          <w:rFonts w:hint="eastAsia" w:ascii="仿宋_GB2312" w:hAnsi="仿宋_GB2312" w:eastAsia="仿宋_GB2312" w:cs="仿宋_GB2312"/>
          <w:sz w:val="24"/>
          <w:szCs w:val="28"/>
        </w:rPr>
        <w:tab/>
      </w:r>
      <w:r>
        <w:rPr>
          <w:rFonts w:hint="eastAsia" w:ascii="仿宋_GB2312" w:hAnsi="仿宋_GB2312" w:eastAsia="仿宋_GB2312" w:cs="仿宋_GB2312"/>
          <w:sz w:val="24"/>
          <w:szCs w:val="28"/>
        </w:rPr>
        <w:t>其他导致本增资项目不适宜继续的情形。</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4、谈判时间：具体以组织人发送的《关于意向投资方资格确认意见及交易安排的通知》为准。</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5、谈判地点：浙江省台州市市府大道777号台州市公共资源交易中心三楼开标室四。</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三、竞争性谈判程序及规则</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1、组织方收到融资方出具的《意向投资方资格确认意见书》后二个工作日内，向各意向投资方发出《关于意向投资方资格确认意见及交易安排的通知》。</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2、合格意向投资方须按《关于意向投资方资格确认意见及交易安排的通知》的规定时间参加竞争性谈判活动，否则视为自动放弃投资资格。合格意向投资方到达谈判现场后，应将准备的《北京北航天宇长鹰无人机科技有限公司竞争性谈判材料》（一式陆份），当场递交给组织人。组织人统一接收后分发至谈判小组。</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3、组织人采取现场抽签的方式确定合格意向投资方竞争性谈判顺序。</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谈判小组围绕以下谈判要点内容与各合格意向投资方逐一进行谈判：</w:t>
      </w:r>
    </w:p>
    <w:p>
      <w:pPr>
        <w:spacing w:line="600" w:lineRule="exact"/>
        <w:ind w:firstLine="480" w:firstLineChars="200"/>
        <w:rPr>
          <w:rFonts w:ascii="仿宋_GB2312" w:hAnsi="仿宋_GB2312" w:eastAsia="仿宋_GB2312" w:cs="仿宋_GB2312"/>
          <w:color w:val="auto"/>
          <w:sz w:val="24"/>
          <w:szCs w:val="28"/>
        </w:rPr>
      </w:pPr>
      <w:bookmarkStart w:id="0" w:name="_Hlk81045580"/>
      <w:r>
        <w:rPr>
          <w:rFonts w:hint="eastAsia" w:ascii="仿宋_GB2312" w:hAnsi="仿宋_GB2312" w:eastAsia="仿宋_GB2312" w:cs="仿宋_GB2312"/>
          <w:sz w:val="24"/>
          <w:szCs w:val="28"/>
        </w:rPr>
        <w:t>（</w:t>
      </w:r>
      <w:r>
        <w:rPr>
          <w:rFonts w:hint="eastAsia" w:ascii="仿宋_GB2312" w:hAnsi="仿宋_GB2312" w:eastAsia="仿宋_GB2312" w:cs="仿宋_GB2312"/>
          <w:color w:val="auto"/>
          <w:sz w:val="24"/>
          <w:szCs w:val="28"/>
        </w:rPr>
        <w:t>1）意向投资方的投资报价情况。</w:t>
      </w:r>
    </w:p>
    <w:p>
      <w:pPr>
        <w:spacing w:line="600" w:lineRule="exact"/>
        <w:ind w:firstLine="480" w:firstLineChars="200"/>
        <w:rPr>
          <w:rFonts w:ascii="仿宋_GB2312" w:hAnsi="仿宋_GB2312" w:eastAsia="仿宋_GB2312" w:cs="仿宋_GB2312"/>
          <w:color w:val="auto"/>
          <w:sz w:val="24"/>
          <w:szCs w:val="28"/>
        </w:rPr>
      </w:pPr>
      <w:r>
        <w:rPr>
          <w:rFonts w:hint="eastAsia" w:ascii="仿宋_GB2312" w:hAnsi="仿宋_GB2312" w:eastAsia="仿宋_GB2312" w:cs="仿宋_GB2312"/>
          <w:color w:val="auto"/>
          <w:sz w:val="24"/>
          <w:szCs w:val="28"/>
        </w:rPr>
        <w:t>（2）意向投资方的主业情况。包括：经营情况、行业地位等情况。</w:t>
      </w:r>
    </w:p>
    <w:p>
      <w:pPr>
        <w:spacing w:line="600" w:lineRule="exact"/>
        <w:ind w:firstLine="480" w:firstLineChars="200"/>
        <w:rPr>
          <w:rFonts w:ascii="仿宋_GB2312" w:hAnsi="仿宋_GB2312" w:eastAsia="仿宋_GB2312" w:cs="仿宋_GB2312"/>
          <w:color w:val="auto"/>
          <w:sz w:val="24"/>
          <w:szCs w:val="28"/>
        </w:rPr>
      </w:pPr>
      <w:r>
        <w:rPr>
          <w:rFonts w:hint="eastAsia" w:ascii="仿宋_GB2312" w:hAnsi="仿宋_GB2312" w:eastAsia="仿宋_GB2312" w:cs="仿宋_GB2312"/>
          <w:color w:val="auto"/>
          <w:sz w:val="24"/>
          <w:szCs w:val="28"/>
        </w:rPr>
        <w:t>（3）意向投资方资金实力。包括：管理规模、融资能力等情况。</w:t>
      </w:r>
    </w:p>
    <w:p>
      <w:pPr>
        <w:spacing w:line="600" w:lineRule="exact"/>
        <w:ind w:firstLine="480" w:firstLineChars="200"/>
        <w:rPr>
          <w:rFonts w:ascii="仿宋_GB2312" w:hAnsi="仿宋_GB2312" w:eastAsia="仿宋_GB2312" w:cs="仿宋_GB2312"/>
          <w:color w:val="auto"/>
          <w:sz w:val="24"/>
          <w:szCs w:val="28"/>
        </w:rPr>
      </w:pPr>
      <w:r>
        <w:rPr>
          <w:rFonts w:hint="eastAsia" w:ascii="仿宋_GB2312" w:hAnsi="仿宋_GB2312" w:eastAsia="仿宋_GB2312" w:cs="仿宋_GB2312"/>
          <w:color w:val="auto"/>
          <w:sz w:val="24"/>
          <w:szCs w:val="28"/>
        </w:rPr>
        <w:t>（4）意向投资方与融资方的战略契合度情况。包括：战略方向、产业布局和总部战略等。</w:t>
      </w:r>
    </w:p>
    <w:p>
      <w:pPr>
        <w:spacing w:line="600" w:lineRule="exact"/>
        <w:ind w:firstLine="480" w:firstLineChars="200"/>
        <w:rPr>
          <w:rFonts w:ascii="仿宋_GB2312" w:hAnsi="仿宋_GB2312" w:eastAsia="仿宋_GB2312" w:cs="仿宋_GB2312"/>
          <w:color w:val="auto"/>
          <w:sz w:val="24"/>
          <w:szCs w:val="28"/>
        </w:rPr>
      </w:pPr>
      <w:r>
        <w:rPr>
          <w:rFonts w:hint="eastAsia" w:ascii="仿宋_GB2312" w:hAnsi="仿宋_GB2312" w:eastAsia="仿宋_GB2312" w:cs="仿宋_GB2312"/>
          <w:color w:val="auto"/>
          <w:sz w:val="24"/>
          <w:szCs w:val="28"/>
        </w:rPr>
        <w:t>（5）意向投资方市场实力。包括：市场渠道、产业整合和产业链布局等。</w:t>
      </w:r>
    </w:p>
    <w:bookmarkEnd w:id="0"/>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4、每家谈判一次为一轮，竞争性谈判原则上只进行一轮。</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5、每次谈判均当场形成谈判纪要，由全体谈判小组成员及合格意向投资方谈判代表签字确认。</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6、合格意向投资方可在谈判进行中对所提交材料进行确认（包括报价）。合格意向投资方在谈判纪要上签字确认后，材料不得再进行修改。谈判时报价为最终报价。</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7、谈判小组成员根据合格意向投资方递交的材料、谈判纪要，对合格意向投资方在此次增资项目中的综合实力按照评分细则打分并独立发表评审意见，对个人的评审意见承担法律责任。</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8、评分依据及权重</w:t>
      </w:r>
    </w:p>
    <w:p>
      <w:pPr>
        <w:spacing w:line="600" w:lineRule="exact"/>
        <w:ind w:firstLine="480" w:firstLineChars="200"/>
        <w:rPr>
          <w:rFonts w:ascii="仿宋_GB2312" w:hAnsi="仿宋_GB2312" w:eastAsia="仿宋_GB2312" w:cs="仿宋_GB2312"/>
          <w:color w:val="auto"/>
          <w:sz w:val="24"/>
          <w:szCs w:val="28"/>
        </w:rPr>
      </w:pPr>
      <w:r>
        <w:rPr>
          <w:rFonts w:hint="eastAsia" w:ascii="仿宋_GB2312" w:hAnsi="仿宋_GB2312" w:eastAsia="仿宋_GB2312" w:cs="仿宋_GB2312"/>
          <w:color w:val="auto"/>
          <w:sz w:val="24"/>
          <w:szCs w:val="28"/>
        </w:rPr>
        <w:t>增资金额20%、资方主业20%、资金实力</w:t>
      </w:r>
      <w:r>
        <w:rPr>
          <w:rFonts w:hint="eastAsia" w:ascii="仿宋_GB2312" w:hAnsi="仿宋_GB2312" w:eastAsia="仿宋_GB2312" w:cs="仿宋_GB2312"/>
          <w:color w:val="auto"/>
          <w:sz w:val="24"/>
          <w:szCs w:val="28"/>
          <w:lang w:val="en-US" w:eastAsia="zh-CN"/>
        </w:rPr>
        <w:t>20</w:t>
      </w:r>
      <w:r>
        <w:rPr>
          <w:rFonts w:hint="eastAsia" w:ascii="仿宋_GB2312" w:hAnsi="仿宋_GB2312" w:eastAsia="仿宋_GB2312" w:cs="仿宋_GB2312"/>
          <w:color w:val="auto"/>
          <w:sz w:val="24"/>
          <w:szCs w:val="28"/>
        </w:rPr>
        <w:t>%、战略契合度</w:t>
      </w:r>
      <w:r>
        <w:rPr>
          <w:rFonts w:hint="eastAsia" w:ascii="仿宋_GB2312" w:hAnsi="仿宋_GB2312" w:eastAsia="仿宋_GB2312" w:cs="仿宋_GB2312"/>
          <w:color w:val="auto"/>
          <w:sz w:val="24"/>
          <w:szCs w:val="28"/>
          <w:lang w:val="en-US" w:eastAsia="zh-CN"/>
        </w:rPr>
        <w:t>25</w:t>
      </w:r>
      <w:r>
        <w:rPr>
          <w:rFonts w:hint="eastAsia" w:ascii="仿宋_GB2312" w:hAnsi="仿宋_GB2312" w:eastAsia="仿宋_GB2312" w:cs="仿宋_GB2312"/>
          <w:color w:val="auto"/>
          <w:sz w:val="24"/>
          <w:szCs w:val="28"/>
        </w:rPr>
        <w:t>%、资方的市场实力15%。具体评分标准见附件。</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9、谈判小组汇总各成员打分、综评意见确定合格意向投资方优先接纳顺序排名，编写谈判评审报告，一份交融资方，一份交组织人存档。</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10、融资方将遴选结果书面反馈给组织人。组织人收到融资方书面反馈后，当日通知意向投资方。意向投资方被确定为投资方后二个工作日内签订《增资确认书》，并于《增资确认书》签订后五个工作日内签订《增资协议》，协议签订后十日内一次性支付全部剩余增资款，所支付的资金来源合法。</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11、融资方、原股东和最终投资方按照规定签署《增资协议》，并递交一份供组织人备案。</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12、交易鉴证及公告：增资协议签订并生效后，组织人出具交易凭证，通过网站对外公告结果，公告期不少于5个工作日。</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四、其他</w:t>
      </w:r>
    </w:p>
    <w:p>
      <w:pPr>
        <w:kinsoku w:val="0"/>
        <w:overflowPunct w:val="0"/>
        <w:spacing w:line="600" w:lineRule="exact"/>
        <w:ind w:firstLine="480" w:firstLineChars="200"/>
        <w:jc w:val="left"/>
        <w:rPr>
          <w:rFonts w:ascii="仿宋_GB2312" w:hAnsi="仿宋_GB2312" w:eastAsia="仿宋_GB2312" w:cs="仿宋_GB2312"/>
          <w:sz w:val="24"/>
          <w:szCs w:val="28"/>
        </w:rPr>
      </w:pPr>
      <w:r>
        <w:rPr>
          <w:rFonts w:hint="eastAsia" w:ascii="仿宋_GB2312" w:hAnsi="仿宋_GB2312" w:eastAsia="仿宋_GB2312" w:cs="仿宋_GB2312"/>
          <w:sz w:val="24"/>
          <w:szCs w:val="28"/>
        </w:rPr>
        <w:t>1.意向投资方参加谈判活动自行所携带的材料，须经意向投资方法定代表人（或授权代表人）签字并加盖公章，否则为无效。</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2.意向投资方向组织人递交的材料，在评审结束后，由</w:t>
      </w:r>
      <w:r>
        <w:rPr>
          <w:rFonts w:hint="eastAsia" w:ascii="仿宋_GB2312" w:hAnsi="仿宋_GB2312" w:eastAsia="仿宋_GB2312" w:cs="仿宋_GB2312"/>
          <w:color w:val="000000" w:themeColor="text1"/>
          <w:sz w:val="24"/>
          <w:szCs w:val="28"/>
          <w14:textFill>
            <w14:solidFill>
              <w14:schemeClr w14:val="tx1"/>
            </w14:solidFill>
          </w14:textFill>
        </w:rPr>
        <w:t>融资方</w:t>
      </w:r>
      <w:r>
        <w:rPr>
          <w:rFonts w:hint="eastAsia" w:ascii="仿宋_GB2312" w:hAnsi="仿宋_GB2312" w:eastAsia="仿宋_GB2312" w:cs="仿宋_GB2312"/>
          <w:sz w:val="24"/>
          <w:szCs w:val="28"/>
        </w:rPr>
        <w:t>和组织人分别存档。</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五、谈判小组</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谈判小组由</w:t>
      </w:r>
      <w:r>
        <w:rPr>
          <w:rFonts w:hint="eastAsia" w:ascii="仿宋_GB2312" w:hAnsi="仿宋_GB2312" w:eastAsia="仿宋_GB2312" w:cs="仿宋_GB2312"/>
          <w:color w:val="000000" w:themeColor="text1"/>
          <w:sz w:val="24"/>
          <w:szCs w:val="28"/>
          <w14:textFill>
            <w14:solidFill>
              <w14:schemeClr w14:val="tx1"/>
            </w14:solidFill>
          </w14:textFill>
        </w:rPr>
        <w:t>融资方</w:t>
      </w:r>
      <w:r>
        <w:rPr>
          <w:rFonts w:hint="eastAsia" w:ascii="仿宋_GB2312" w:hAnsi="仿宋_GB2312" w:eastAsia="仿宋_GB2312" w:cs="仿宋_GB2312"/>
          <w:sz w:val="24"/>
          <w:szCs w:val="28"/>
        </w:rPr>
        <w:t>负责组建，本次竞争性谈判小组成员五人，由融资方和外部专家组成。台州市国有资产监督管理委员会纪检人员全程参与竞争性谈判过程。</w:t>
      </w:r>
    </w:p>
    <w:p>
      <w:pPr>
        <w:spacing w:line="600" w:lineRule="exact"/>
        <w:ind w:firstLine="480" w:firstLineChars="200"/>
        <w:rPr>
          <w:rFonts w:ascii="仿宋_GB2312" w:hAnsi="仿宋_GB2312" w:eastAsia="仿宋_GB2312" w:cs="仿宋_GB2312"/>
          <w:sz w:val="24"/>
          <w:szCs w:val="28"/>
        </w:rPr>
      </w:pP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附件：1.关于意向投资方资格确认意见及交易安排的通知</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 xml:space="preserve">      2.材料清单</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 xml:space="preserve">      3.竞争性谈判评分标准</w:t>
      </w:r>
    </w:p>
    <w:p>
      <w:pPr>
        <w:ind w:firstLine="480" w:firstLineChars="200"/>
        <w:rPr>
          <w:rFonts w:ascii="仿宋_GB2312" w:hAnsi="仿宋_GB2312" w:eastAsia="仿宋_GB2312" w:cs="仿宋_GB2312"/>
          <w:sz w:val="24"/>
          <w:szCs w:val="28"/>
        </w:rPr>
      </w:pPr>
    </w:p>
    <w:p>
      <w:pPr>
        <w:pStyle w:val="2"/>
        <w:ind w:firstLine="480"/>
        <w:rPr>
          <w:rFonts w:ascii="仿宋_GB2312" w:hAnsi="仿宋_GB2312" w:cs="仿宋_GB2312"/>
          <w:sz w:val="24"/>
          <w:szCs w:val="28"/>
        </w:rPr>
      </w:pPr>
    </w:p>
    <w:p>
      <w:pPr>
        <w:pStyle w:val="2"/>
        <w:ind w:firstLine="480"/>
        <w:rPr>
          <w:rFonts w:ascii="仿宋_GB2312" w:hAnsi="仿宋_GB2312" w:cs="仿宋_GB2312"/>
          <w:sz w:val="24"/>
          <w:szCs w:val="28"/>
        </w:rPr>
      </w:pPr>
    </w:p>
    <w:p>
      <w:pPr>
        <w:pStyle w:val="2"/>
        <w:ind w:firstLine="480"/>
        <w:rPr>
          <w:rFonts w:ascii="仿宋_GB2312" w:hAnsi="仿宋_GB2312" w:cs="仿宋_GB2312"/>
          <w:sz w:val="24"/>
          <w:szCs w:val="28"/>
        </w:rPr>
      </w:pPr>
    </w:p>
    <w:p>
      <w:pPr>
        <w:pStyle w:val="2"/>
        <w:ind w:firstLine="480"/>
        <w:rPr>
          <w:rFonts w:ascii="仿宋_GB2312" w:hAnsi="仿宋_GB2312" w:cs="仿宋_GB2312"/>
          <w:sz w:val="24"/>
          <w:szCs w:val="28"/>
        </w:rPr>
      </w:pPr>
    </w:p>
    <w:p>
      <w:pPr>
        <w:pStyle w:val="2"/>
        <w:ind w:firstLine="480"/>
        <w:rPr>
          <w:rFonts w:ascii="仿宋_GB2312" w:hAnsi="仿宋_GB2312" w:cs="仿宋_GB2312"/>
          <w:sz w:val="24"/>
          <w:szCs w:val="28"/>
        </w:rPr>
      </w:pPr>
    </w:p>
    <w:p>
      <w:pPr>
        <w:pStyle w:val="2"/>
        <w:ind w:firstLine="480"/>
        <w:rPr>
          <w:rFonts w:ascii="仿宋_GB2312" w:hAnsi="仿宋_GB2312" w:cs="仿宋_GB2312"/>
          <w:sz w:val="24"/>
          <w:szCs w:val="28"/>
        </w:rPr>
      </w:pPr>
    </w:p>
    <w:p>
      <w:pPr>
        <w:pStyle w:val="2"/>
        <w:ind w:firstLine="480"/>
        <w:rPr>
          <w:rFonts w:ascii="仿宋_GB2312" w:hAnsi="仿宋_GB2312" w:cs="仿宋_GB2312"/>
          <w:sz w:val="24"/>
          <w:szCs w:val="28"/>
        </w:rPr>
      </w:pPr>
    </w:p>
    <w:p>
      <w:pPr>
        <w:pStyle w:val="2"/>
        <w:ind w:firstLine="480"/>
        <w:rPr>
          <w:rFonts w:ascii="仿宋_GB2312" w:hAnsi="仿宋_GB2312" w:cs="仿宋_GB2312"/>
          <w:sz w:val="24"/>
          <w:szCs w:val="28"/>
        </w:rPr>
      </w:pPr>
    </w:p>
    <w:p>
      <w:pPr>
        <w:pStyle w:val="2"/>
        <w:ind w:firstLine="480"/>
        <w:rPr>
          <w:rFonts w:ascii="仿宋_GB2312" w:hAnsi="仿宋_GB2312" w:cs="仿宋_GB2312"/>
          <w:sz w:val="24"/>
          <w:szCs w:val="28"/>
        </w:rPr>
      </w:pPr>
    </w:p>
    <w:p>
      <w:pPr>
        <w:pStyle w:val="2"/>
        <w:ind w:firstLine="480"/>
        <w:rPr>
          <w:rFonts w:ascii="仿宋_GB2312" w:hAnsi="仿宋_GB2312" w:cs="仿宋_GB2312"/>
          <w:sz w:val="24"/>
          <w:szCs w:val="28"/>
        </w:rPr>
      </w:pPr>
    </w:p>
    <w:p>
      <w:pPr>
        <w:pStyle w:val="2"/>
        <w:ind w:firstLine="480"/>
        <w:rPr>
          <w:rFonts w:ascii="仿宋_GB2312" w:hAnsi="仿宋_GB2312" w:cs="仿宋_GB2312"/>
          <w:sz w:val="24"/>
          <w:szCs w:val="28"/>
        </w:rPr>
      </w:pPr>
    </w:p>
    <w:p>
      <w:pPr>
        <w:pStyle w:val="2"/>
        <w:ind w:firstLine="480"/>
        <w:rPr>
          <w:rFonts w:ascii="仿宋_GB2312" w:hAnsi="仿宋_GB2312" w:cs="仿宋_GB2312"/>
          <w:sz w:val="24"/>
          <w:szCs w:val="28"/>
        </w:rPr>
      </w:pPr>
    </w:p>
    <w:p>
      <w:pPr>
        <w:pStyle w:val="2"/>
        <w:ind w:firstLine="480"/>
        <w:rPr>
          <w:rFonts w:ascii="仿宋_GB2312" w:hAnsi="仿宋_GB2312" w:cs="仿宋_GB2312"/>
          <w:sz w:val="24"/>
          <w:szCs w:val="28"/>
        </w:rPr>
      </w:pPr>
    </w:p>
    <w:p>
      <w:pPr>
        <w:pStyle w:val="2"/>
        <w:ind w:firstLine="480"/>
        <w:rPr>
          <w:rFonts w:ascii="仿宋_GB2312" w:hAnsi="仿宋_GB2312" w:cs="仿宋_GB2312"/>
          <w:sz w:val="24"/>
          <w:szCs w:val="28"/>
        </w:rPr>
      </w:pPr>
    </w:p>
    <w:p>
      <w:pPr>
        <w:pStyle w:val="2"/>
        <w:ind w:left="0" w:leftChars="0" w:firstLine="0" w:firstLineChars="0"/>
        <w:rPr>
          <w:rFonts w:hint="eastAsia" w:ascii="仿宋_GB2312" w:hAnsi="仿宋_GB2312" w:cs="仿宋_GB2312"/>
          <w:sz w:val="24"/>
          <w:szCs w:val="28"/>
        </w:rPr>
      </w:pPr>
    </w:p>
    <w:p>
      <w:pPr>
        <w:pStyle w:val="2"/>
        <w:ind w:left="0" w:leftChars="0" w:firstLine="0" w:firstLineChars="0"/>
        <w:rPr>
          <w:rFonts w:hint="eastAsia" w:ascii="仿宋_GB2312" w:hAnsi="仿宋_GB2312" w:cs="仿宋_GB2312"/>
          <w:sz w:val="24"/>
          <w:szCs w:val="28"/>
        </w:rPr>
      </w:pPr>
    </w:p>
    <w:p>
      <w:pPr>
        <w:pStyle w:val="2"/>
        <w:ind w:left="0" w:leftChars="0" w:firstLine="0" w:firstLineChars="0"/>
        <w:rPr>
          <w:rFonts w:hint="eastAsia" w:ascii="仿宋_GB2312" w:hAnsi="仿宋_GB2312" w:cs="仿宋_GB2312"/>
          <w:sz w:val="24"/>
          <w:szCs w:val="28"/>
        </w:rPr>
      </w:pPr>
    </w:p>
    <w:p>
      <w:pPr>
        <w:pStyle w:val="2"/>
        <w:ind w:left="0" w:leftChars="0" w:firstLine="0" w:firstLineChars="0"/>
        <w:rPr>
          <w:rFonts w:hint="eastAsia" w:ascii="仿宋_GB2312" w:hAnsi="仿宋_GB2312" w:cs="仿宋_GB2312"/>
          <w:sz w:val="24"/>
          <w:szCs w:val="28"/>
        </w:rPr>
      </w:pPr>
    </w:p>
    <w:p>
      <w:pPr>
        <w:pStyle w:val="2"/>
        <w:ind w:left="0" w:leftChars="0" w:firstLine="0" w:firstLineChars="0"/>
        <w:rPr>
          <w:rFonts w:hint="eastAsia" w:ascii="仿宋_GB2312" w:hAnsi="仿宋_GB2312" w:cs="仿宋_GB2312"/>
          <w:sz w:val="24"/>
          <w:szCs w:val="28"/>
        </w:rPr>
      </w:pPr>
    </w:p>
    <w:p>
      <w:pPr>
        <w:pStyle w:val="2"/>
        <w:ind w:left="0" w:leftChars="0" w:firstLine="0" w:firstLineChars="0"/>
        <w:rPr>
          <w:rFonts w:hint="eastAsia" w:ascii="仿宋_GB2312" w:hAnsi="仿宋_GB2312" w:cs="仿宋_GB2312"/>
          <w:sz w:val="24"/>
          <w:szCs w:val="28"/>
        </w:rPr>
      </w:pPr>
    </w:p>
    <w:p>
      <w:pPr>
        <w:pStyle w:val="2"/>
        <w:ind w:left="0" w:leftChars="0" w:firstLine="0" w:firstLineChars="0"/>
        <w:rPr>
          <w:rFonts w:hint="eastAsia" w:ascii="仿宋_GB2312" w:hAnsi="仿宋_GB2312" w:cs="仿宋_GB2312"/>
          <w:sz w:val="24"/>
          <w:szCs w:val="28"/>
        </w:rPr>
      </w:pPr>
    </w:p>
    <w:p>
      <w:pPr>
        <w:pStyle w:val="2"/>
        <w:ind w:left="0" w:leftChars="0" w:firstLine="0" w:firstLineChars="0"/>
        <w:rPr>
          <w:rFonts w:hint="eastAsia" w:ascii="仿宋_GB2312" w:hAnsi="仿宋_GB2312" w:cs="仿宋_GB2312"/>
          <w:sz w:val="24"/>
          <w:szCs w:val="28"/>
        </w:rPr>
      </w:pPr>
    </w:p>
    <w:p>
      <w:pPr>
        <w:pStyle w:val="2"/>
        <w:ind w:left="0" w:leftChars="0" w:firstLine="0" w:firstLineChars="0"/>
        <w:rPr>
          <w:rFonts w:hint="eastAsia" w:ascii="仿宋_GB2312" w:hAnsi="仿宋_GB2312" w:cs="仿宋_GB2312"/>
          <w:sz w:val="24"/>
          <w:szCs w:val="28"/>
        </w:rPr>
      </w:pPr>
    </w:p>
    <w:p>
      <w:pPr>
        <w:pStyle w:val="2"/>
        <w:ind w:left="0" w:leftChars="0" w:firstLine="0" w:firstLineChars="0"/>
        <w:rPr>
          <w:rFonts w:hint="eastAsia" w:ascii="仿宋_GB2312" w:hAnsi="仿宋_GB2312" w:cs="仿宋_GB2312"/>
          <w:sz w:val="24"/>
          <w:szCs w:val="28"/>
        </w:rPr>
      </w:pPr>
    </w:p>
    <w:p>
      <w:pPr>
        <w:pStyle w:val="2"/>
        <w:ind w:left="0" w:leftChars="0" w:firstLine="0" w:firstLineChars="0"/>
        <w:rPr>
          <w:rFonts w:hint="eastAsia" w:ascii="仿宋_GB2312" w:hAnsi="仿宋_GB2312" w:cs="仿宋_GB2312"/>
          <w:sz w:val="24"/>
          <w:szCs w:val="28"/>
        </w:rPr>
      </w:pPr>
    </w:p>
    <w:p>
      <w:pPr>
        <w:spacing w:line="600" w:lineRule="exact"/>
        <w:rPr>
          <w:rFonts w:ascii="黑体" w:hAnsi="黑体" w:eastAsia="黑体" w:cs="黑体"/>
          <w:sz w:val="24"/>
          <w:szCs w:val="28"/>
        </w:rPr>
      </w:pPr>
      <w:r>
        <w:rPr>
          <w:rFonts w:hint="eastAsia" w:ascii="黑体" w:hAnsi="黑体" w:eastAsia="黑体" w:cs="黑体"/>
          <w:sz w:val="24"/>
          <w:szCs w:val="28"/>
        </w:rPr>
        <w:t>附件1</w:t>
      </w:r>
    </w:p>
    <w:p>
      <w:pPr>
        <w:spacing w:line="600" w:lineRule="exact"/>
        <w:rPr>
          <w:rFonts w:ascii="黑体" w:hAnsi="黑体" w:eastAsia="黑体" w:cs="黑体"/>
          <w:sz w:val="24"/>
          <w:szCs w:val="28"/>
        </w:rPr>
      </w:pPr>
    </w:p>
    <w:p>
      <w:pPr>
        <w:jc w:val="center"/>
        <w:rPr>
          <w:rFonts w:ascii="方正小标宋简体" w:hAnsi="方正小标宋简体" w:eastAsia="方正小标宋简体" w:cs="方正小标宋简体"/>
          <w:sz w:val="32"/>
          <w:szCs w:val="36"/>
        </w:rPr>
      </w:pPr>
      <w:r>
        <w:rPr>
          <w:rFonts w:hint="eastAsia" w:ascii="方正小标宋简体" w:hAnsi="方正小标宋简体" w:eastAsia="方正小标宋简体" w:cs="方正小标宋简体"/>
          <w:sz w:val="32"/>
          <w:szCs w:val="36"/>
        </w:rPr>
        <w:t>关于意向投资方资格确认意见及交易安排的通知</w:t>
      </w:r>
    </w:p>
    <w:p>
      <w:pPr>
        <w:spacing w:line="600" w:lineRule="exact"/>
        <w:ind w:firstLine="420" w:firstLineChars="200"/>
        <w:rPr>
          <w:snapToGrid w:val="0"/>
          <w:kern w:val="0"/>
        </w:rPr>
      </w:pPr>
    </w:p>
    <w:p>
      <w:pPr>
        <w:spacing w:line="600" w:lineRule="exact"/>
        <w:rPr>
          <w:rFonts w:ascii="仿宋_GB2312" w:hAnsi="Tahoma" w:eastAsia="仿宋_GB2312" w:cs="Tahoma"/>
          <w:kern w:val="0"/>
          <w:sz w:val="24"/>
          <w:szCs w:val="24"/>
        </w:rPr>
      </w:pPr>
      <w:r>
        <w:rPr>
          <w:rFonts w:ascii="仿宋_GB2312" w:hAnsi="Tahoma" w:eastAsia="仿宋_GB2312" w:cs="Tahoma"/>
          <w:kern w:val="0"/>
          <w:sz w:val="30"/>
          <w:szCs w:val="30"/>
          <w:u w:val="single"/>
        </w:rPr>
        <w:t xml:space="preserve"> </w:t>
      </w:r>
      <w:r>
        <w:rPr>
          <w:rFonts w:ascii="仿宋_GB2312" w:hAnsi="Tahoma" w:eastAsia="仿宋_GB2312" w:cs="Tahoma"/>
          <w:kern w:val="0"/>
          <w:sz w:val="24"/>
          <w:szCs w:val="24"/>
          <w:u w:val="single"/>
        </w:rPr>
        <w:t xml:space="preserve">                        </w:t>
      </w:r>
    </w:p>
    <w:p>
      <w:pPr>
        <w:spacing w:line="600" w:lineRule="exact"/>
        <w:ind w:firstLine="480" w:firstLineChars="200"/>
        <w:jc w:val="left"/>
        <w:rPr>
          <w:rFonts w:ascii="仿宋_GB2312" w:hAnsi="仿宋_GB2312" w:eastAsia="仿宋_GB2312" w:cs="仿宋_GB2312"/>
          <w:sz w:val="24"/>
          <w:szCs w:val="28"/>
        </w:rPr>
      </w:pPr>
      <w:r>
        <w:rPr>
          <w:rFonts w:hint="eastAsia" w:ascii="仿宋_GB2312" w:hAnsi="仿宋_GB2312" w:eastAsia="仿宋_GB2312" w:cs="仿宋_GB2312"/>
          <w:sz w:val="24"/>
          <w:szCs w:val="28"/>
        </w:rPr>
        <w:t>贵方拟投资北京北航天宇长鹰无人机科技有限公司增资项目，根据贵方所提交的材料及所缴的保证金，经融资方审核，符合本次增资资格条件，通知如下：</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贵方请参加于2021年11月8日(星期一)上午9：30时在台州市产权交易所</w:t>
      </w:r>
      <w:bookmarkStart w:id="1" w:name="dizhi"/>
      <w:r>
        <w:rPr>
          <w:rFonts w:hint="eastAsia" w:ascii="仿宋_GB2312" w:hAnsi="仿宋_GB2312" w:eastAsia="仿宋_GB2312" w:cs="仿宋_GB2312"/>
          <w:sz w:val="24"/>
          <w:szCs w:val="28"/>
        </w:rPr>
        <w:t>（浙江省台州市市府大道777号台州市公共资源交易中心三楼开标室四）</w:t>
      </w:r>
      <w:bookmarkEnd w:id="1"/>
      <w:r>
        <w:rPr>
          <w:rFonts w:hint="eastAsia" w:ascii="仿宋_GB2312" w:hAnsi="仿宋_GB2312" w:eastAsia="仿宋_GB2312" w:cs="仿宋_GB2312"/>
          <w:sz w:val="24"/>
          <w:szCs w:val="28"/>
        </w:rPr>
        <w:t>举行的北京北航天宇长鹰无人机科技有限公司增资金额不低于8亿元人民币项目活动。</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因疫情防控需要，请参会人员配带口罩，提供绿色“健康码”、“行程卡”及会前3天核酸检测阴性证明材料</w:t>
      </w:r>
      <w:r>
        <w:rPr>
          <w:rFonts w:hint="eastAsia" w:ascii="仿宋_GB2312" w:hAnsi="仿宋_GB2312" w:eastAsia="仿宋_GB2312" w:cs="仿宋_GB2312"/>
          <w:color w:val="C00000"/>
          <w:sz w:val="24"/>
          <w:szCs w:val="28"/>
        </w:rPr>
        <w:t>。</w:t>
      </w:r>
    </w:p>
    <w:p>
      <w:pPr>
        <w:spacing w:line="600" w:lineRule="exact"/>
        <w:ind w:firstLine="480" w:firstLineChars="200"/>
        <w:jc w:val="left"/>
        <w:rPr>
          <w:rFonts w:ascii="仿宋_GB2312" w:hAnsi="仿宋_GB2312" w:eastAsia="仿宋_GB2312" w:cs="仿宋_GB2312"/>
          <w:sz w:val="24"/>
          <w:szCs w:val="28"/>
        </w:rPr>
      </w:pPr>
      <w:r>
        <w:rPr>
          <w:rFonts w:hint="eastAsia" w:ascii="仿宋_GB2312" w:hAnsi="仿宋_GB2312" w:eastAsia="仿宋_GB2312" w:cs="仿宋_GB2312"/>
          <w:sz w:val="24"/>
          <w:szCs w:val="28"/>
        </w:rPr>
        <w:t>特此通知。</w:t>
      </w:r>
    </w:p>
    <w:p>
      <w:pPr>
        <w:snapToGrid w:val="0"/>
        <w:spacing w:line="600" w:lineRule="exact"/>
        <w:ind w:firstLine="480" w:firstLineChars="200"/>
        <w:rPr>
          <w:rFonts w:ascii="宋体"/>
          <w:snapToGrid w:val="0"/>
          <w:kern w:val="0"/>
          <w:sz w:val="24"/>
          <w:szCs w:val="24"/>
        </w:rPr>
      </w:pPr>
    </w:p>
    <w:p>
      <w:pPr>
        <w:spacing w:line="600" w:lineRule="exact"/>
        <w:ind w:firstLine="480" w:firstLineChars="200"/>
        <w:rPr>
          <w:rFonts w:ascii="仿宋_GB2312" w:hAnsi="Tahoma" w:eastAsia="仿宋_GB2312" w:cs="Tahoma"/>
          <w:kern w:val="0"/>
          <w:sz w:val="24"/>
          <w:szCs w:val="24"/>
        </w:rPr>
      </w:pPr>
    </w:p>
    <w:p>
      <w:pPr>
        <w:spacing w:line="600" w:lineRule="exact"/>
        <w:ind w:firstLine="480" w:firstLineChars="200"/>
        <w:jc w:val="center"/>
        <w:rPr>
          <w:rFonts w:ascii="仿宋_GB2312" w:hAnsi="仿宋_GB2312" w:eastAsia="仿宋_GB2312" w:cs="仿宋_GB2312"/>
          <w:sz w:val="24"/>
          <w:szCs w:val="28"/>
        </w:rPr>
      </w:pPr>
      <w:r>
        <w:rPr>
          <w:rFonts w:ascii="仿宋_GB2312" w:hAnsi="Tahoma" w:eastAsia="仿宋_GB2312" w:cs="Tahoma"/>
          <w:kern w:val="0"/>
          <w:sz w:val="24"/>
          <w:szCs w:val="24"/>
        </w:rPr>
        <w:t xml:space="preserve">                       </w:t>
      </w:r>
      <w:r>
        <w:rPr>
          <w:rFonts w:hint="eastAsia" w:ascii="仿宋_GB2312" w:hAnsi="Tahoma" w:eastAsia="仿宋_GB2312" w:cs="Tahoma"/>
          <w:kern w:val="0"/>
          <w:sz w:val="24"/>
          <w:szCs w:val="24"/>
        </w:rPr>
        <w:t xml:space="preserve">             </w:t>
      </w:r>
      <w:r>
        <w:rPr>
          <w:rFonts w:hint="eastAsia" w:ascii="仿宋_GB2312" w:hAnsi="仿宋_GB2312" w:eastAsia="仿宋_GB2312" w:cs="仿宋_GB2312"/>
          <w:sz w:val="24"/>
          <w:szCs w:val="28"/>
        </w:rPr>
        <w:t>产权交易机构（盖章）</w:t>
      </w:r>
    </w:p>
    <w:p>
      <w:pPr>
        <w:spacing w:line="600" w:lineRule="exact"/>
        <w:ind w:firstLine="480" w:firstLineChars="200"/>
        <w:jc w:val="center"/>
        <w:rPr>
          <w:rFonts w:ascii="仿宋_GB2312" w:hAnsi="仿宋_GB2312" w:eastAsia="仿宋_GB2312" w:cs="仿宋_GB2312"/>
          <w:sz w:val="24"/>
          <w:szCs w:val="28"/>
        </w:rPr>
      </w:pPr>
      <w:r>
        <w:rPr>
          <w:rFonts w:hint="eastAsia" w:ascii="仿宋_GB2312" w:hAnsi="仿宋_GB2312" w:eastAsia="仿宋_GB2312" w:cs="仿宋_GB2312"/>
          <w:sz w:val="24"/>
          <w:szCs w:val="28"/>
        </w:rPr>
        <w:t xml:space="preserve">                                年  月   日</w:t>
      </w:r>
    </w:p>
    <w:p>
      <w:pPr>
        <w:spacing w:line="600" w:lineRule="exact"/>
        <w:ind w:firstLine="480" w:firstLineChars="200"/>
        <w:rPr>
          <w:sz w:val="24"/>
          <w:szCs w:val="28"/>
        </w:rPr>
      </w:pPr>
    </w:p>
    <w:p>
      <w:pPr>
        <w:ind w:firstLine="480" w:firstLineChars="200"/>
        <w:rPr>
          <w:sz w:val="24"/>
          <w:szCs w:val="28"/>
        </w:rPr>
      </w:pPr>
    </w:p>
    <w:p>
      <w:pPr>
        <w:ind w:firstLine="480" w:firstLineChars="200"/>
        <w:rPr>
          <w:sz w:val="24"/>
          <w:szCs w:val="28"/>
        </w:rPr>
      </w:pPr>
    </w:p>
    <w:p>
      <w:pPr>
        <w:pStyle w:val="2"/>
        <w:ind w:left="0" w:leftChars="0" w:firstLine="0" w:firstLineChars="0"/>
        <w:rPr>
          <w:rFonts w:hint="eastAsia"/>
          <w:sz w:val="24"/>
          <w:szCs w:val="28"/>
        </w:rPr>
      </w:pPr>
    </w:p>
    <w:p>
      <w:pPr>
        <w:pStyle w:val="2"/>
        <w:ind w:left="0" w:leftChars="0" w:firstLine="0" w:firstLineChars="0"/>
        <w:rPr>
          <w:rFonts w:hint="eastAsia"/>
          <w:sz w:val="24"/>
          <w:szCs w:val="28"/>
        </w:rPr>
      </w:pPr>
    </w:p>
    <w:p>
      <w:pPr>
        <w:spacing w:line="600" w:lineRule="exact"/>
        <w:rPr>
          <w:rFonts w:ascii="黑体" w:hAnsi="黑体" w:eastAsia="黑体" w:cs="黑体"/>
          <w:sz w:val="24"/>
          <w:szCs w:val="28"/>
        </w:rPr>
      </w:pPr>
      <w:r>
        <w:rPr>
          <w:rFonts w:hint="eastAsia" w:ascii="黑体" w:hAnsi="黑体" w:eastAsia="黑体" w:cs="黑体"/>
          <w:sz w:val="24"/>
          <w:szCs w:val="28"/>
        </w:rPr>
        <w:t>附件2</w:t>
      </w:r>
    </w:p>
    <w:p>
      <w:pPr>
        <w:spacing w:line="600" w:lineRule="exact"/>
        <w:rPr>
          <w:sz w:val="24"/>
          <w:szCs w:val="28"/>
        </w:rPr>
      </w:pPr>
    </w:p>
    <w:p>
      <w:pPr>
        <w:jc w:val="center"/>
        <w:rPr>
          <w:rFonts w:ascii="方正小标宋简体" w:hAnsi="方正小标宋简体" w:eastAsia="方正小标宋简体" w:cs="方正小标宋简体"/>
          <w:sz w:val="32"/>
          <w:szCs w:val="36"/>
        </w:rPr>
      </w:pPr>
      <w:r>
        <w:rPr>
          <w:rFonts w:hint="eastAsia" w:ascii="方正小标宋简体" w:hAnsi="方正小标宋简体" w:eastAsia="方正小标宋简体" w:cs="方正小标宋简体"/>
          <w:sz w:val="32"/>
          <w:szCs w:val="36"/>
        </w:rPr>
        <w:t>材料清单</w:t>
      </w:r>
    </w:p>
    <w:p>
      <w:pPr>
        <w:jc w:val="center"/>
        <w:rPr>
          <w:rFonts w:ascii="方正小标宋简体" w:hAnsi="方正小标宋简体" w:eastAsia="方正小标宋简体" w:cs="方正小标宋简体"/>
          <w:sz w:val="32"/>
          <w:szCs w:val="36"/>
        </w:rPr>
      </w:pP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2-1承诺和报价（此件为二次报价，谈判中提供）</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2-2授权委托书</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2-3诚信承诺书</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2-4与谈判要点相关证明材料（包括但不限于意向投资方2020年度审计报告、最近一期财务报表、意向投资方股东背景证明材料及评分标准要求的相关材料）</w:t>
      </w:r>
    </w:p>
    <w:p>
      <w:pPr>
        <w:ind w:firstLine="480" w:firstLineChars="200"/>
        <w:rPr>
          <w:rFonts w:ascii="仿宋_GB2312" w:hAnsi="仿宋_GB2312" w:eastAsia="仿宋_GB2312" w:cs="仿宋_GB2312"/>
          <w:sz w:val="24"/>
          <w:szCs w:val="28"/>
        </w:rPr>
      </w:pPr>
    </w:p>
    <w:p>
      <w:pPr>
        <w:ind w:firstLine="480" w:firstLineChars="200"/>
        <w:rPr>
          <w:rFonts w:ascii="仿宋_GB2312" w:hAnsi="仿宋_GB2312" w:eastAsia="仿宋_GB2312" w:cs="仿宋_GB2312"/>
          <w:sz w:val="24"/>
          <w:szCs w:val="28"/>
        </w:rPr>
      </w:pPr>
    </w:p>
    <w:p>
      <w:pPr>
        <w:pStyle w:val="2"/>
        <w:ind w:firstLine="480"/>
        <w:rPr>
          <w:sz w:val="24"/>
          <w:szCs w:val="28"/>
        </w:rPr>
      </w:pPr>
    </w:p>
    <w:p>
      <w:pPr>
        <w:pStyle w:val="2"/>
        <w:ind w:firstLine="480"/>
        <w:rPr>
          <w:sz w:val="24"/>
          <w:szCs w:val="28"/>
        </w:rPr>
      </w:pPr>
    </w:p>
    <w:p>
      <w:pPr>
        <w:pStyle w:val="2"/>
        <w:ind w:firstLine="480"/>
        <w:rPr>
          <w:sz w:val="24"/>
          <w:szCs w:val="28"/>
        </w:rPr>
      </w:pPr>
    </w:p>
    <w:p>
      <w:pPr>
        <w:pStyle w:val="2"/>
        <w:ind w:firstLine="480"/>
        <w:rPr>
          <w:sz w:val="24"/>
          <w:szCs w:val="28"/>
        </w:rPr>
      </w:pPr>
    </w:p>
    <w:p>
      <w:pPr>
        <w:pStyle w:val="2"/>
        <w:ind w:firstLine="480"/>
        <w:rPr>
          <w:sz w:val="24"/>
          <w:szCs w:val="28"/>
        </w:rPr>
      </w:pPr>
    </w:p>
    <w:p>
      <w:pPr>
        <w:pStyle w:val="2"/>
        <w:ind w:firstLine="480"/>
        <w:rPr>
          <w:sz w:val="24"/>
          <w:szCs w:val="28"/>
        </w:rPr>
      </w:pPr>
    </w:p>
    <w:p>
      <w:pPr>
        <w:pStyle w:val="2"/>
        <w:ind w:firstLine="480"/>
        <w:rPr>
          <w:sz w:val="24"/>
          <w:szCs w:val="28"/>
        </w:rPr>
      </w:pPr>
    </w:p>
    <w:p>
      <w:pPr>
        <w:pStyle w:val="2"/>
        <w:ind w:firstLine="480"/>
        <w:rPr>
          <w:sz w:val="24"/>
          <w:szCs w:val="28"/>
        </w:rPr>
      </w:pPr>
    </w:p>
    <w:p>
      <w:pPr>
        <w:pStyle w:val="2"/>
        <w:ind w:firstLine="480"/>
        <w:rPr>
          <w:sz w:val="24"/>
          <w:szCs w:val="28"/>
        </w:rPr>
      </w:pPr>
    </w:p>
    <w:p>
      <w:pPr>
        <w:pStyle w:val="2"/>
        <w:ind w:left="0" w:leftChars="0" w:firstLine="0" w:firstLineChars="0"/>
        <w:rPr>
          <w:sz w:val="24"/>
          <w:szCs w:val="28"/>
        </w:rPr>
      </w:pPr>
    </w:p>
    <w:p>
      <w:pPr>
        <w:spacing w:line="600" w:lineRule="exact"/>
        <w:rPr>
          <w:rFonts w:ascii="黑体" w:hAnsi="黑体" w:eastAsia="黑体" w:cs="黑体"/>
          <w:sz w:val="24"/>
          <w:szCs w:val="28"/>
        </w:rPr>
      </w:pPr>
      <w:r>
        <w:rPr>
          <w:rFonts w:hint="eastAsia" w:ascii="黑体" w:hAnsi="黑体" w:eastAsia="黑体" w:cs="黑体"/>
          <w:sz w:val="24"/>
          <w:szCs w:val="28"/>
        </w:rPr>
        <w:t>2-1承诺和报价</w:t>
      </w:r>
    </w:p>
    <w:p>
      <w:pPr>
        <w:numPr>
          <w:ilvl w:val="255"/>
          <w:numId w:val="0"/>
        </w:numPr>
        <w:spacing w:line="600" w:lineRule="exact"/>
        <w:ind w:firstLine="560" w:firstLineChars="200"/>
        <w:jc w:val="center"/>
        <w:rPr>
          <w:rFonts w:ascii="方正小标宋简体" w:hAnsi="方正小标宋简体" w:eastAsia="方正小标宋简体" w:cs="方正小标宋简体"/>
          <w:bCs/>
          <w:sz w:val="28"/>
          <w:szCs w:val="28"/>
        </w:rPr>
      </w:pPr>
      <w:r>
        <w:rPr>
          <w:rFonts w:hint="eastAsia" w:ascii="方正小标宋简体" w:hAnsi="方正小标宋简体" w:eastAsia="方正小标宋简体" w:cs="方正小标宋简体"/>
          <w:bCs/>
          <w:sz w:val="28"/>
          <w:szCs w:val="28"/>
        </w:rPr>
        <w:t>承诺和报价</w:t>
      </w:r>
    </w:p>
    <w:p>
      <w:pPr>
        <w:numPr>
          <w:ilvl w:val="255"/>
          <w:numId w:val="0"/>
        </w:numPr>
        <w:spacing w:line="600" w:lineRule="exact"/>
        <w:ind w:firstLine="640" w:firstLineChars="200"/>
        <w:jc w:val="center"/>
        <w:rPr>
          <w:rFonts w:ascii="宋体" w:hAnsi="宋体"/>
          <w:b/>
          <w:sz w:val="32"/>
          <w:szCs w:val="32"/>
        </w:rPr>
      </w:pPr>
    </w:p>
    <w:p>
      <w:pPr>
        <w:numPr>
          <w:ilvl w:val="255"/>
          <w:numId w:val="0"/>
        </w:numPr>
        <w:spacing w:line="600" w:lineRule="exact"/>
        <w:rPr>
          <w:rFonts w:ascii="仿宋_GB2312" w:hAnsi="仿宋_GB2312" w:eastAsia="仿宋_GB2312" w:cs="仿宋_GB2312"/>
          <w:sz w:val="24"/>
          <w:szCs w:val="28"/>
        </w:rPr>
      </w:pPr>
      <w:r>
        <w:rPr>
          <w:rFonts w:hint="eastAsia" w:ascii="仿宋_GB2312" w:hAnsi="仿宋_GB2312" w:eastAsia="仿宋_GB2312" w:cs="仿宋_GB2312"/>
          <w:sz w:val="24"/>
          <w:szCs w:val="28"/>
        </w:rPr>
        <w:t xml:space="preserve">致：                           </w:t>
      </w:r>
    </w:p>
    <w:p>
      <w:pPr>
        <w:adjustRightInd w:val="0"/>
        <w:snapToGrid w:val="0"/>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经审慎决策并依法合规履行公司内部程序，我司愿意按照下表填报内容参与北京北航天宇长鹰无人机科技有限公司增资项目（项目编号：台交所挂【2021】24号）。具体见下表：</w:t>
      </w:r>
    </w:p>
    <w:tbl>
      <w:tblPr>
        <w:tblStyle w:val="22"/>
        <w:tblpPr w:leftFromText="180" w:rightFromText="180" w:vertAnchor="text" w:horzAnchor="page" w:tblpX="1599" w:tblpY="77"/>
        <w:tblW w:w="852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09"/>
        <w:gridCol w:w="3119"/>
        <w:gridCol w:w="2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2" w:hRule="atLeast"/>
        </w:trPr>
        <w:tc>
          <w:tcPr>
            <w:tcW w:w="3209" w:type="dxa"/>
            <w:vAlign w:val="center"/>
          </w:tcPr>
          <w:p>
            <w:pPr>
              <w:adjustRightInd w:val="0"/>
              <w:snapToGrid w:val="0"/>
              <w:spacing w:line="600" w:lineRule="exact"/>
              <w:jc w:val="center"/>
              <w:rPr>
                <w:rFonts w:ascii="仿宋_GB2312" w:hAnsi="仿宋_GB2312" w:eastAsia="仿宋_GB2312" w:cs="仿宋_GB2312"/>
                <w:b/>
                <w:sz w:val="24"/>
                <w:szCs w:val="28"/>
                <w:lang w:eastAsia="en-US"/>
              </w:rPr>
            </w:pPr>
            <w:r>
              <w:rPr>
                <w:rFonts w:hint="eastAsia" w:ascii="仿宋_GB2312" w:hAnsi="仿宋_GB2312" w:eastAsia="仿宋_GB2312" w:cs="仿宋_GB2312"/>
                <w:b/>
                <w:sz w:val="24"/>
                <w:szCs w:val="28"/>
                <w:lang w:eastAsia="en-US"/>
              </w:rPr>
              <w:t>认购新增注册资本</w:t>
            </w:r>
          </w:p>
        </w:tc>
        <w:tc>
          <w:tcPr>
            <w:tcW w:w="3119" w:type="dxa"/>
            <w:vAlign w:val="center"/>
          </w:tcPr>
          <w:p>
            <w:pPr>
              <w:adjustRightInd w:val="0"/>
              <w:snapToGrid w:val="0"/>
              <w:spacing w:line="600" w:lineRule="exact"/>
              <w:jc w:val="center"/>
              <w:rPr>
                <w:rFonts w:ascii="仿宋_GB2312" w:hAnsi="仿宋_GB2312" w:eastAsia="仿宋_GB2312" w:cs="仿宋_GB2312"/>
                <w:b/>
                <w:sz w:val="24"/>
                <w:szCs w:val="28"/>
                <w:lang w:eastAsia="en-US"/>
              </w:rPr>
            </w:pPr>
            <w:r>
              <w:rPr>
                <w:rFonts w:hint="eastAsia" w:ascii="仿宋_GB2312" w:hAnsi="仿宋_GB2312" w:eastAsia="仿宋_GB2312" w:cs="仿宋_GB2312"/>
                <w:b/>
                <w:sz w:val="24"/>
                <w:szCs w:val="28"/>
                <w:lang w:eastAsia="en-US"/>
              </w:rPr>
              <w:t>投资金额</w:t>
            </w:r>
          </w:p>
        </w:tc>
        <w:tc>
          <w:tcPr>
            <w:tcW w:w="2199" w:type="dxa"/>
            <w:vAlign w:val="center"/>
          </w:tcPr>
          <w:p>
            <w:pPr>
              <w:adjustRightInd w:val="0"/>
              <w:snapToGrid w:val="0"/>
              <w:spacing w:line="600" w:lineRule="exact"/>
              <w:jc w:val="center"/>
              <w:rPr>
                <w:rFonts w:ascii="仿宋_GB2312" w:hAnsi="仿宋_GB2312" w:eastAsia="仿宋_GB2312" w:cs="仿宋_GB2312"/>
                <w:b/>
                <w:sz w:val="24"/>
                <w:szCs w:val="28"/>
                <w:lang w:eastAsia="en-US"/>
              </w:rPr>
            </w:pPr>
            <w:r>
              <w:rPr>
                <w:rFonts w:hint="eastAsia" w:ascii="仿宋_GB2312" w:hAnsi="仿宋_GB2312" w:eastAsia="仿宋_GB2312" w:cs="仿宋_GB2312"/>
                <w:b/>
                <w:sz w:val="24"/>
                <w:szCs w:val="28"/>
                <w:lang w:eastAsia="en-US"/>
              </w:rPr>
              <w:t>出资形式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0" w:hRule="atLeast"/>
        </w:trPr>
        <w:tc>
          <w:tcPr>
            <w:tcW w:w="3209" w:type="dxa"/>
          </w:tcPr>
          <w:p>
            <w:pPr>
              <w:adjustRightInd w:val="0"/>
              <w:snapToGrid w:val="0"/>
              <w:spacing w:line="600" w:lineRule="exact"/>
              <w:ind w:firstLine="480" w:firstLineChars="200"/>
              <w:rPr>
                <w:rFonts w:ascii="仿宋_GB2312" w:hAnsi="仿宋_GB2312" w:eastAsia="仿宋_GB2312" w:cs="仿宋_GB2312"/>
                <w:sz w:val="24"/>
                <w:szCs w:val="28"/>
                <w:lang w:eastAsia="zh-CN"/>
              </w:rPr>
            </w:pPr>
            <w:r>
              <w:rPr>
                <w:rFonts w:hint="eastAsia" w:ascii="仿宋_GB2312" w:hAnsi="仿宋_GB2312" w:eastAsia="仿宋_GB2312" w:cs="仿宋_GB2312"/>
                <w:sz w:val="24"/>
                <w:szCs w:val="28"/>
                <w:lang w:eastAsia="zh-CN"/>
              </w:rPr>
              <w:t xml:space="preserve"> 3098.477486万元</w:t>
            </w:r>
          </w:p>
          <w:p>
            <w:pPr>
              <w:adjustRightInd w:val="0"/>
              <w:snapToGrid w:val="0"/>
              <w:spacing w:line="600" w:lineRule="exact"/>
              <w:ind w:firstLine="480" w:firstLineChars="200"/>
              <w:jc w:val="center"/>
              <w:rPr>
                <w:rFonts w:ascii="仿宋_GB2312" w:hAnsi="仿宋_GB2312" w:eastAsia="仿宋_GB2312" w:cs="仿宋_GB2312"/>
                <w:sz w:val="24"/>
                <w:szCs w:val="28"/>
                <w:lang w:eastAsia="zh-CN"/>
              </w:rPr>
            </w:pPr>
            <w:r>
              <w:rPr>
                <w:rFonts w:hint="eastAsia" w:ascii="仿宋_GB2312" w:hAnsi="仿宋_GB2312" w:eastAsia="仿宋_GB2312" w:cs="仿宋_GB2312"/>
                <w:sz w:val="24"/>
                <w:szCs w:val="28"/>
                <w:lang w:eastAsia="zh-CN"/>
              </w:rPr>
              <w:t>（币种：人民币）</w:t>
            </w:r>
          </w:p>
        </w:tc>
        <w:tc>
          <w:tcPr>
            <w:tcW w:w="3119" w:type="dxa"/>
          </w:tcPr>
          <w:p>
            <w:pPr>
              <w:adjustRightInd w:val="0"/>
              <w:snapToGrid w:val="0"/>
              <w:spacing w:line="600" w:lineRule="exact"/>
              <w:ind w:firstLine="1440" w:firstLineChars="600"/>
              <w:jc w:val="center"/>
              <w:rPr>
                <w:rFonts w:ascii="仿宋_GB2312" w:hAnsi="仿宋_GB2312" w:eastAsia="仿宋_GB2312" w:cs="仿宋_GB2312"/>
                <w:sz w:val="24"/>
                <w:szCs w:val="28"/>
                <w:lang w:eastAsia="zh-CN"/>
              </w:rPr>
            </w:pPr>
            <w:r>
              <w:rPr>
                <w:rFonts w:hint="eastAsia" w:ascii="仿宋_GB2312" w:hAnsi="仿宋_GB2312" w:eastAsia="仿宋_GB2312" w:cs="仿宋_GB2312"/>
                <w:sz w:val="24"/>
                <w:szCs w:val="28"/>
                <w:lang w:eastAsia="zh-CN"/>
              </w:rPr>
              <w:t>万元</w:t>
            </w:r>
          </w:p>
          <w:p>
            <w:pPr>
              <w:adjustRightInd w:val="0"/>
              <w:snapToGrid w:val="0"/>
              <w:spacing w:line="600" w:lineRule="exact"/>
              <w:ind w:firstLine="480" w:firstLineChars="200"/>
              <w:jc w:val="center"/>
              <w:rPr>
                <w:rFonts w:ascii="仿宋_GB2312" w:hAnsi="仿宋_GB2312" w:eastAsia="仿宋_GB2312" w:cs="仿宋_GB2312"/>
                <w:sz w:val="24"/>
                <w:szCs w:val="28"/>
                <w:lang w:eastAsia="zh-CN"/>
              </w:rPr>
            </w:pPr>
            <w:r>
              <w:rPr>
                <w:rFonts w:hint="eastAsia" w:ascii="仿宋_GB2312" w:hAnsi="仿宋_GB2312" w:eastAsia="仿宋_GB2312" w:cs="仿宋_GB2312"/>
                <w:sz w:val="24"/>
                <w:szCs w:val="28"/>
                <w:lang w:eastAsia="zh-CN"/>
              </w:rPr>
              <w:t>（币种：人民币</w:t>
            </w:r>
            <w:r>
              <w:rPr>
                <w:rFonts w:hint="eastAsia" w:ascii="仿宋_GB2312" w:hAnsi="仿宋_GB2312" w:eastAsia="仿宋_GB2312" w:cs="仿宋_GB2312"/>
                <w:sz w:val="24"/>
                <w:szCs w:val="28"/>
                <w:lang w:eastAsia="zh-CN"/>
              </w:rPr>
              <w:tab/>
            </w:r>
            <w:r>
              <w:rPr>
                <w:rFonts w:hint="eastAsia" w:ascii="仿宋_GB2312" w:hAnsi="仿宋_GB2312" w:eastAsia="仿宋_GB2312" w:cs="仿宋_GB2312"/>
                <w:sz w:val="24"/>
                <w:szCs w:val="28"/>
                <w:lang w:eastAsia="zh-CN"/>
              </w:rPr>
              <w:t>）</w:t>
            </w:r>
          </w:p>
        </w:tc>
        <w:tc>
          <w:tcPr>
            <w:tcW w:w="2199" w:type="dxa"/>
            <w:vAlign w:val="center"/>
          </w:tcPr>
          <w:p>
            <w:pPr>
              <w:adjustRightInd w:val="0"/>
              <w:snapToGrid w:val="0"/>
              <w:spacing w:line="600" w:lineRule="exact"/>
              <w:jc w:val="center"/>
              <w:rPr>
                <w:rFonts w:ascii="仿宋_GB2312" w:hAnsi="仿宋_GB2312" w:eastAsia="仿宋_GB2312" w:cs="仿宋_GB2312"/>
                <w:sz w:val="24"/>
                <w:szCs w:val="28"/>
                <w:lang w:eastAsia="en-US"/>
              </w:rPr>
            </w:pPr>
            <w:r>
              <w:rPr>
                <w:rFonts w:hint="eastAsia" w:ascii="仿宋_GB2312" w:hAnsi="仿宋_GB2312" w:eastAsia="仿宋_GB2312" w:cs="仿宋_GB2312"/>
                <w:sz w:val="24"/>
                <w:szCs w:val="28"/>
                <w:lang w:eastAsia="en-US"/>
              </w:rPr>
              <w:t>货币</w:t>
            </w:r>
          </w:p>
        </w:tc>
      </w:tr>
    </w:tbl>
    <w:p>
      <w:pPr>
        <w:spacing w:line="600" w:lineRule="exact"/>
        <w:ind w:firstLine="480" w:firstLineChars="200"/>
        <w:rPr>
          <w:sz w:val="24"/>
          <w:szCs w:val="28"/>
        </w:rPr>
      </w:pPr>
      <w:r>
        <w:rPr>
          <w:rFonts w:hint="eastAsia" w:ascii="仿宋_GB2312" w:hAnsi="仿宋_GB2312" w:eastAsia="仿宋_GB2312" w:cs="仿宋_GB2312"/>
          <w:sz w:val="24"/>
          <w:szCs w:val="28"/>
        </w:rPr>
        <w:tab/>
      </w:r>
      <w:r>
        <w:rPr>
          <w:rFonts w:hint="eastAsia" w:ascii="仿宋_GB2312" w:hAnsi="仿宋_GB2312" w:eastAsia="仿宋_GB2312" w:cs="仿宋_GB2312"/>
          <w:sz w:val="24"/>
          <w:szCs w:val="28"/>
        </w:rPr>
        <w:t>我方承诺，以上报价为我司最终报价。</w:t>
      </w:r>
    </w:p>
    <w:p>
      <w:pPr>
        <w:adjustRightInd w:val="0"/>
        <w:snapToGrid w:val="0"/>
        <w:spacing w:line="600" w:lineRule="exact"/>
        <w:rPr>
          <w:rFonts w:ascii="宋体"/>
          <w:sz w:val="24"/>
          <w:szCs w:val="28"/>
        </w:rPr>
      </w:pPr>
    </w:p>
    <w:p>
      <w:pPr>
        <w:spacing w:line="600" w:lineRule="exact"/>
        <w:ind w:firstLine="480" w:firstLineChars="200"/>
        <w:jc w:val="left"/>
        <w:rPr>
          <w:sz w:val="24"/>
          <w:szCs w:val="28"/>
        </w:rPr>
      </w:pPr>
    </w:p>
    <w:p>
      <w:pPr>
        <w:spacing w:line="600" w:lineRule="exact"/>
        <w:ind w:firstLine="3120" w:firstLineChars="1300"/>
        <w:jc w:val="left"/>
        <w:rPr>
          <w:rFonts w:ascii="仿宋_GB2312" w:hAnsi="仿宋_GB2312" w:eastAsia="仿宋_GB2312" w:cs="仿宋_GB2312"/>
          <w:sz w:val="24"/>
          <w:szCs w:val="28"/>
        </w:rPr>
      </w:pPr>
      <w:r>
        <w:rPr>
          <w:rFonts w:hint="eastAsia" w:ascii="仿宋_GB2312" w:hAnsi="仿宋_GB2312" w:eastAsia="仿宋_GB2312" w:cs="仿宋_GB2312"/>
          <w:sz w:val="24"/>
          <w:szCs w:val="28"/>
        </w:rPr>
        <w:t>法定代表人（或授权代表人）（签字）：</w:t>
      </w:r>
    </w:p>
    <w:p>
      <w:pPr>
        <w:numPr>
          <w:ilvl w:val="255"/>
          <w:numId w:val="0"/>
        </w:numPr>
        <w:spacing w:line="600" w:lineRule="exact"/>
        <w:rPr>
          <w:rFonts w:ascii="仿宋_GB2312" w:hAnsi="仿宋_GB2312" w:eastAsia="仿宋_GB2312" w:cs="仿宋_GB2312"/>
          <w:b/>
          <w:sz w:val="32"/>
          <w:szCs w:val="32"/>
        </w:rPr>
      </w:pPr>
      <w:r>
        <w:rPr>
          <w:rFonts w:hint="eastAsia" w:ascii="仿宋_GB2312" w:hAnsi="仿宋_GB2312" w:eastAsia="仿宋_GB2312" w:cs="仿宋_GB2312"/>
          <w:sz w:val="28"/>
        </w:rPr>
        <w:t xml:space="preserve">                             </w:t>
      </w:r>
      <w:r>
        <w:rPr>
          <w:rFonts w:hint="eastAsia" w:ascii="仿宋_GB2312" w:hAnsi="仿宋_GB2312" w:eastAsia="仿宋_GB2312" w:cs="仿宋_GB2312"/>
          <w:sz w:val="24"/>
          <w:szCs w:val="28"/>
        </w:rPr>
        <w:t>年   月   日</w:t>
      </w:r>
    </w:p>
    <w:p>
      <w:pPr>
        <w:numPr>
          <w:ilvl w:val="255"/>
          <w:numId w:val="0"/>
        </w:numPr>
        <w:ind w:left="1680"/>
        <w:rPr>
          <w:sz w:val="32"/>
          <w:szCs w:val="36"/>
        </w:rPr>
      </w:pPr>
      <w:r>
        <w:rPr>
          <w:sz w:val="24"/>
          <w:szCs w:val="28"/>
        </w:rPr>
        <w:t xml:space="preserve"> </w:t>
      </w:r>
      <w:r>
        <w:rPr>
          <w:sz w:val="32"/>
          <w:szCs w:val="36"/>
        </w:rPr>
        <w:t xml:space="preserve"> </w:t>
      </w:r>
    </w:p>
    <w:p>
      <w:pPr>
        <w:numPr>
          <w:ilvl w:val="255"/>
          <w:numId w:val="0"/>
        </w:numPr>
        <w:ind w:left="1680"/>
        <w:rPr>
          <w:sz w:val="32"/>
          <w:szCs w:val="36"/>
        </w:rPr>
      </w:pPr>
    </w:p>
    <w:p>
      <w:pPr>
        <w:numPr>
          <w:ilvl w:val="255"/>
          <w:numId w:val="0"/>
        </w:numPr>
        <w:ind w:left="1680"/>
        <w:rPr>
          <w:sz w:val="32"/>
          <w:szCs w:val="36"/>
        </w:rPr>
      </w:pPr>
    </w:p>
    <w:p>
      <w:pPr>
        <w:numPr>
          <w:ilvl w:val="255"/>
          <w:numId w:val="0"/>
        </w:numPr>
        <w:ind w:left="1680"/>
        <w:rPr>
          <w:sz w:val="32"/>
          <w:szCs w:val="36"/>
        </w:rPr>
      </w:pPr>
    </w:p>
    <w:p>
      <w:pPr>
        <w:numPr>
          <w:ilvl w:val="255"/>
          <w:numId w:val="0"/>
        </w:numPr>
        <w:rPr>
          <w:sz w:val="32"/>
          <w:szCs w:val="36"/>
        </w:rPr>
      </w:pPr>
    </w:p>
    <w:p>
      <w:pPr>
        <w:numPr>
          <w:ilvl w:val="255"/>
          <w:numId w:val="0"/>
        </w:numPr>
        <w:rPr>
          <w:rFonts w:hint="eastAsia"/>
          <w:sz w:val="32"/>
          <w:szCs w:val="36"/>
        </w:rPr>
      </w:pPr>
    </w:p>
    <w:p>
      <w:pPr>
        <w:pStyle w:val="2"/>
        <w:rPr>
          <w:rFonts w:hint="eastAsia"/>
        </w:rPr>
      </w:pPr>
    </w:p>
    <w:p>
      <w:pPr>
        <w:numPr>
          <w:ilvl w:val="255"/>
          <w:numId w:val="0"/>
        </w:numPr>
        <w:spacing w:line="600" w:lineRule="exact"/>
        <w:jc w:val="left"/>
        <w:rPr>
          <w:sz w:val="32"/>
          <w:szCs w:val="36"/>
        </w:rPr>
      </w:pPr>
      <w:r>
        <w:rPr>
          <w:rFonts w:hint="eastAsia" w:ascii="黑体" w:hAnsi="黑体" w:eastAsia="黑体" w:cs="黑体"/>
          <w:sz w:val="24"/>
          <w:szCs w:val="28"/>
        </w:rPr>
        <w:t>2-2授权委托书</w:t>
      </w:r>
    </w:p>
    <w:p>
      <w:pPr>
        <w:numPr>
          <w:ilvl w:val="255"/>
          <w:numId w:val="0"/>
        </w:numPr>
        <w:spacing w:line="600" w:lineRule="exact"/>
        <w:jc w:val="center"/>
        <w:rPr>
          <w:rFonts w:ascii="方正小标宋简体" w:hAnsi="方正小标宋简体" w:eastAsia="方正小标宋简体" w:cs="方正小标宋简体"/>
          <w:bCs/>
          <w:sz w:val="28"/>
          <w:szCs w:val="28"/>
        </w:rPr>
      </w:pPr>
      <w:r>
        <w:rPr>
          <w:rFonts w:hint="eastAsia" w:ascii="方正小标宋简体" w:hAnsi="方正小标宋简体" w:eastAsia="方正小标宋简体" w:cs="方正小标宋简体"/>
          <w:bCs/>
          <w:sz w:val="28"/>
          <w:szCs w:val="28"/>
        </w:rPr>
        <w:t>授权委托书</w:t>
      </w:r>
    </w:p>
    <w:p>
      <w:pPr>
        <w:spacing w:line="600" w:lineRule="exact"/>
        <w:jc w:val="center"/>
        <w:rPr>
          <w:b/>
          <w:bCs/>
          <w:sz w:val="24"/>
          <w:szCs w:val="28"/>
        </w:rPr>
      </w:pPr>
    </w:p>
    <w:p>
      <w:pPr>
        <w:spacing w:line="600" w:lineRule="exact"/>
        <w:rPr>
          <w:rFonts w:ascii="仿宋_GB2312" w:hAnsi="仿宋_GB2312" w:eastAsia="仿宋_GB2312" w:cs="仿宋_GB2312"/>
          <w:sz w:val="24"/>
          <w:szCs w:val="28"/>
        </w:rPr>
      </w:pPr>
      <w:r>
        <w:rPr>
          <w:rFonts w:hint="eastAsia" w:ascii="仿宋_GB2312" w:hAnsi="仿宋_GB2312" w:eastAsia="仿宋_GB2312" w:cs="仿宋_GB2312"/>
          <w:sz w:val="24"/>
          <w:szCs w:val="28"/>
        </w:rPr>
        <w:t>致：北京北航天宇长鹰无人机科技有限公司、台州市产权交易所有限公司</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兹委派我单位（全部参与者姓名）</w:t>
      </w:r>
      <w:r>
        <w:rPr>
          <w:rFonts w:hint="eastAsia" w:ascii="仿宋_GB2312" w:hAnsi="仿宋_GB2312" w:eastAsia="仿宋_GB2312" w:cs="仿宋_GB2312"/>
          <w:sz w:val="24"/>
          <w:szCs w:val="28"/>
          <w:u w:val="single"/>
        </w:rPr>
        <w:tab/>
      </w:r>
      <w:r>
        <w:rPr>
          <w:rFonts w:hint="eastAsia" w:ascii="仿宋_GB2312" w:hAnsi="仿宋_GB2312" w:eastAsia="仿宋_GB2312" w:cs="仿宋_GB2312"/>
          <w:sz w:val="24"/>
          <w:szCs w:val="28"/>
          <w:u w:val="single"/>
        </w:rPr>
        <w:t xml:space="preserve">                 </w:t>
      </w:r>
      <w:r>
        <w:rPr>
          <w:rFonts w:hint="eastAsia" w:ascii="仿宋_GB2312" w:hAnsi="仿宋_GB2312" w:eastAsia="仿宋_GB2312" w:cs="仿宋_GB2312"/>
          <w:sz w:val="24"/>
          <w:szCs w:val="28"/>
        </w:rPr>
        <w:t>参加贵方组织的北京北航天宇长鹰无人机科技有限公司增资项目的竞争性谈判活动，其中</w:t>
      </w:r>
      <w:r>
        <w:rPr>
          <w:rFonts w:hint="eastAsia" w:ascii="仿宋_GB2312" w:hAnsi="仿宋_GB2312" w:eastAsia="仿宋_GB2312" w:cs="仿宋_GB2312"/>
          <w:sz w:val="24"/>
          <w:szCs w:val="28"/>
          <w:u w:val="single"/>
        </w:rPr>
        <w:tab/>
      </w:r>
      <w:r>
        <w:rPr>
          <w:rFonts w:hint="eastAsia" w:ascii="仿宋_GB2312" w:hAnsi="仿宋_GB2312" w:eastAsia="仿宋_GB2312" w:cs="仿宋_GB2312"/>
          <w:sz w:val="24"/>
          <w:szCs w:val="28"/>
          <w:u w:val="single"/>
        </w:rPr>
        <w:t xml:space="preserve">          </w:t>
      </w:r>
      <w:r>
        <w:rPr>
          <w:rFonts w:hint="eastAsia" w:ascii="仿宋_GB2312" w:hAnsi="仿宋_GB2312" w:eastAsia="仿宋_GB2312" w:cs="仿宋_GB2312"/>
          <w:sz w:val="24"/>
          <w:szCs w:val="28"/>
        </w:rPr>
        <w:t>全权代表我单位处理本次谈判中的有关事务，其就此所签署的文件或作出的行为对我单位均有约束力。</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本授权书于签字盖章后生效，特此声明。附全权代表人情况：</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姓</w:t>
      </w:r>
      <w:r>
        <w:rPr>
          <w:rFonts w:hint="eastAsia" w:ascii="仿宋_GB2312" w:hAnsi="仿宋_GB2312" w:eastAsia="仿宋_GB2312" w:cs="仿宋_GB2312"/>
          <w:sz w:val="24"/>
          <w:szCs w:val="28"/>
        </w:rPr>
        <w:tab/>
      </w:r>
      <w:r>
        <w:rPr>
          <w:rFonts w:hint="eastAsia" w:ascii="仿宋_GB2312" w:hAnsi="仿宋_GB2312" w:eastAsia="仿宋_GB2312" w:cs="仿宋_GB2312"/>
          <w:sz w:val="24"/>
          <w:szCs w:val="28"/>
        </w:rPr>
        <w:t>名：</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 xml:space="preserve">性 别： </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身份证号：</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部   门：</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职   务：</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 xml:space="preserve">电 话： </w:t>
      </w:r>
    </w:p>
    <w:p>
      <w:pPr>
        <w:spacing w:line="600" w:lineRule="exact"/>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电子邮箱：</w:t>
      </w:r>
    </w:p>
    <w:p>
      <w:pPr>
        <w:spacing w:line="600" w:lineRule="exact"/>
        <w:ind w:firstLine="480" w:firstLineChars="200"/>
        <w:rPr>
          <w:rFonts w:ascii="仿宋_GB2312" w:hAnsi="仿宋_GB2312" w:eastAsia="仿宋_GB2312" w:cs="仿宋_GB2312"/>
          <w:sz w:val="24"/>
          <w:szCs w:val="28"/>
        </w:rPr>
      </w:pPr>
    </w:p>
    <w:p>
      <w:pPr>
        <w:spacing w:line="600" w:lineRule="exact"/>
        <w:ind w:right="720" w:firstLine="480" w:firstLineChars="200"/>
        <w:jc w:val="right"/>
        <w:rPr>
          <w:rFonts w:ascii="仿宋_GB2312" w:hAnsi="仿宋_GB2312" w:eastAsia="仿宋_GB2312" w:cs="仿宋_GB2312"/>
          <w:sz w:val="24"/>
          <w:szCs w:val="28"/>
        </w:rPr>
      </w:pPr>
      <w:r>
        <w:rPr>
          <w:rFonts w:hint="eastAsia" w:ascii="仿宋_GB2312" w:hAnsi="仿宋_GB2312" w:eastAsia="仿宋_GB2312" w:cs="仿宋_GB2312"/>
          <w:sz w:val="24"/>
          <w:szCs w:val="28"/>
        </w:rPr>
        <w:t>意向投资方（盖章）：</w:t>
      </w:r>
    </w:p>
    <w:p>
      <w:pPr>
        <w:spacing w:line="600" w:lineRule="exact"/>
        <w:ind w:right="720" w:firstLine="480" w:firstLineChars="200"/>
        <w:jc w:val="right"/>
        <w:rPr>
          <w:rFonts w:ascii="仿宋_GB2312" w:hAnsi="仿宋_GB2312" w:eastAsia="仿宋_GB2312" w:cs="仿宋_GB2312"/>
          <w:sz w:val="24"/>
          <w:szCs w:val="28"/>
        </w:rPr>
      </w:pPr>
      <w:r>
        <w:rPr>
          <w:rFonts w:hint="eastAsia" w:ascii="仿宋_GB2312" w:hAnsi="仿宋_GB2312" w:eastAsia="仿宋_GB2312" w:cs="仿宋_GB2312"/>
          <w:sz w:val="24"/>
          <w:szCs w:val="28"/>
        </w:rPr>
        <w:t>法定代表人（签字）：</w:t>
      </w:r>
    </w:p>
    <w:p>
      <w:pPr>
        <w:spacing w:line="600" w:lineRule="exact"/>
        <w:ind w:right="960" w:firstLine="480" w:firstLineChars="200"/>
        <w:jc w:val="right"/>
        <w:rPr>
          <w:rFonts w:ascii="仿宋_GB2312" w:hAnsi="仿宋_GB2312" w:eastAsia="仿宋_GB2312" w:cs="仿宋_GB2312"/>
          <w:sz w:val="24"/>
          <w:szCs w:val="28"/>
        </w:rPr>
      </w:pPr>
      <w:r>
        <w:rPr>
          <w:rFonts w:hint="eastAsia" w:ascii="仿宋_GB2312" w:hAnsi="仿宋_GB2312" w:eastAsia="仿宋_GB2312" w:cs="仿宋_GB2312"/>
          <w:sz w:val="24"/>
          <w:szCs w:val="28"/>
        </w:rPr>
        <w:t xml:space="preserve">年  </w:t>
      </w:r>
      <w:r>
        <w:rPr>
          <w:rFonts w:hint="eastAsia" w:ascii="仿宋_GB2312" w:hAnsi="仿宋_GB2312" w:eastAsia="仿宋_GB2312" w:cs="仿宋_GB2312"/>
          <w:sz w:val="24"/>
          <w:szCs w:val="28"/>
        </w:rPr>
        <w:tab/>
      </w:r>
      <w:r>
        <w:rPr>
          <w:rFonts w:hint="eastAsia" w:ascii="仿宋_GB2312" w:hAnsi="仿宋_GB2312" w:eastAsia="仿宋_GB2312" w:cs="仿宋_GB2312"/>
          <w:sz w:val="24"/>
          <w:szCs w:val="28"/>
        </w:rPr>
        <w:t>月</w:t>
      </w:r>
      <w:r>
        <w:rPr>
          <w:rFonts w:hint="eastAsia" w:ascii="仿宋_GB2312" w:hAnsi="仿宋_GB2312" w:eastAsia="仿宋_GB2312" w:cs="仿宋_GB2312"/>
          <w:sz w:val="24"/>
          <w:szCs w:val="28"/>
        </w:rPr>
        <w:tab/>
      </w:r>
      <w:r>
        <w:rPr>
          <w:rFonts w:hint="eastAsia" w:ascii="仿宋_GB2312" w:hAnsi="仿宋_GB2312" w:eastAsia="仿宋_GB2312" w:cs="仿宋_GB2312"/>
          <w:sz w:val="24"/>
          <w:szCs w:val="28"/>
        </w:rPr>
        <w:t xml:space="preserve">  日</w:t>
      </w:r>
    </w:p>
    <w:p>
      <w:pPr>
        <w:pStyle w:val="6"/>
        <w:rPr>
          <w:rFonts w:hint="default"/>
          <w:szCs w:val="28"/>
        </w:rPr>
      </w:pPr>
    </w:p>
    <w:p>
      <w:pPr>
        <w:pStyle w:val="7"/>
        <w:ind w:left="0" w:firstLine="0" w:firstLineChars="0"/>
        <w:rPr>
          <w:rFonts w:hint="default" w:asciiTheme="minorHAnsi" w:hAnsiTheme="minorHAnsi" w:eastAsiaTheme="minorEastAsia"/>
          <w:sz w:val="24"/>
          <w:szCs w:val="28"/>
        </w:rPr>
      </w:pPr>
    </w:p>
    <w:p>
      <w:pPr>
        <w:pStyle w:val="7"/>
        <w:ind w:left="0" w:firstLine="0" w:firstLineChars="0"/>
        <w:rPr>
          <w:rFonts w:hint="default" w:asciiTheme="minorHAnsi" w:hAnsiTheme="minorHAnsi" w:eastAsiaTheme="minorEastAsia"/>
          <w:sz w:val="24"/>
          <w:szCs w:val="28"/>
        </w:rPr>
      </w:pPr>
    </w:p>
    <w:p>
      <w:pPr>
        <w:pStyle w:val="7"/>
        <w:spacing w:line="600" w:lineRule="exact"/>
        <w:ind w:left="0" w:firstLine="0" w:firstLineChars="0"/>
        <w:rPr>
          <w:rFonts w:hint="default" w:ascii="黑体" w:hAnsi="黑体" w:eastAsia="黑体" w:cs="黑体"/>
          <w:sz w:val="24"/>
          <w:szCs w:val="28"/>
        </w:rPr>
      </w:pPr>
      <w:r>
        <w:rPr>
          <w:rFonts w:ascii="黑体" w:hAnsi="黑体" w:eastAsia="黑体" w:cs="黑体"/>
          <w:sz w:val="24"/>
          <w:szCs w:val="28"/>
        </w:rPr>
        <w:t>2-3诚信承诺书</w:t>
      </w:r>
    </w:p>
    <w:p>
      <w:pPr>
        <w:spacing w:line="600" w:lineRule="exact"/>
        <w:ind w:firstLine="210"/>
        <w:jc w:val="center"/>
        <w:rPr>
          <w:rFonts w:ascii="方正小标宋简体" w:hAnsi="方正小标宋简体" w:eastAsia="方正小标宋简体" w:cs="方正小标宋简体"/>
          <w:bCs/>
          <w:sz w:val="28"/>
          <w:szCs w:val="28"/>
        </w:rPr>
      </w:pPr>
      <w:r>
        <w:rPr>
          <w:rFonts w:hint="eastAsia" w:ascii="方正小标宋简体" w:hAnsi="方正小标宋简体" w:eastAsia="方正小标宋简体" w:cs="方正小标宋简体"/>
          <w:bCs/>
          <w:sz w:val="28"/>
          <w:szCs w:val="28"/>
        </w:rPr>
        <w:t>诚信承诺书</w:t>
      </w:r>
    </w:p>
    <w:p>
      <w:pPr>
        <w:pStyle w:val="2"/>
        <w:spacing w:line="600" w:lineRule="exact"/>
        <w:ind w:firstLine="640"/>
      </w:pPr>
    </w:p>
    <w:p>
      <w:pPr>
        <w:pStyle w:val="7"/>
        <w:spacing w:line="500" w:lineRule="exact"/>
        <w:ind w:left="0" w:firstLine="0" w:firstLineChars="0"/>
        <w:rPr>
          <w:rFonts w:hint="default" w:ascii="仿宋_GB2312" w:hAnsi="仿宋_GB2312" w:eastAsia="仿宋_GB2312" w:cs="仿宋_GB2312"/>
          <w:sz w:val="24"/>
          <w:szCs w:val="28"/>
        </w:rPr>
      </w:pPr>
      <w:r>
        <w:rPr>
          <w:rFonts w:hint="default" w:asciiTheme="minorHAnsi" w:hAnsiTheme="minorHAnsi" w:eastAsiaTheme="minorEastAsia"/>
          <w:sz w:val="24"/>
          <w:szCs w:val="28"/>
        </w:rPr>
        <w:t xml:space="preserve">  </w:t>
      </w:r>
      <w:r>
        <w:rPr>
          <w:rFonts w:hint="default" w:asciiTheme="minorHAnsi" w:hAnsiTheme="minorHAnsi" w:eastAsiaTheme="minorEastAsia"/>
          <w:sz w:val="24"/>
          <w:szCs w:val="28"/>
          <w:u w:val="single"/>
        </w:rPr>
        <w:t xml:space="preserve">                       </w:t>
      </w:r>
      <w:r>
        <w:rPr>
          <w:rFonts w:ascii="仿宋_GB2312" w:hAnsi="仿宋_GB2312" w:eastAsia="仿宋_GB2312" w:cs="仿宋_GB2312"/>
          <w:sz w:val="24"/>
          <w:szCs w:val="28"/>
        </w:rPr>
        <w:t>（意向投资方）郑重承诺：</w:t>
      </w:r>
    </w:p>
    <w:p>
      <w:pPr>
        <w:pStyle w:val="7"/>
        <w:spacing w:line="500" w:lineRule="exact"/>
        <w:ind w:left="119" w:firstLine="480" w:firstLineChars="200"/>
        <w:rPr>
          <w:rFonts w:hint="default" w:ascii="仿宋_GB2312" w:hAnsi="仿宋_GB2312" w:eastAsia="仿宋_GB2312" w:cs="仿宋_GB2312"/>
          <w:sz w:val="24"/>
          <w:szCs w:val="28"/>
        </w:rPr>
      </w:pPr>
      <w:r>
        <w:rPr>
          <w:rFonts w:ascii="仿宋_GB2312" w:hAnsi="仿宋_GB2312" w:eastAsia="仿宋_GB2312" w:cs="仿宋_GB2312"/>
          <w:sz w:val="24"/>
          <w:szCs w:val="28"/>
        </w:rPr>
        <w:t>一、将遵循公开、公平、公正和诚实信用的原则参加北京北航天宇长鹰无人机科技有限公司增资项目活动；</w:t>
      </w:r>
    </w:p>
    <w:p>
      <w:pPr>
        <w:pStyle w:val="7"/>
        <w:spacing w:line="500" w:lineRule="exact"/>
        <w:ind w:left="119" w:firstLine="480" w:firstLineChars="200"/>
        <w:rPr>
          <w:rFonts w:hint="default" w:ascii="仿宋_GB2312" w:hAnsi="仿宋_GB2312" w:eastAsia="仿宋_GB2312" w:cs="仿宋_GB2312"/>
          <w:sz w:val="24"/>
          <w:szCs w:val="28"/>
        </w:rPr>
      </w:pPr>
      <w:r>
        <w:rPr>
          <w:rFonts w:ascii="仿宋_GB2312" w:hAnsi="仿宋_GB2312" w:eastAsia="仿宋_GB2312" w:cs="仿宋_GB2312"/>
          <w:sz w:val="24"/>
          <w:szCs w:val="28"/>
        </w:rPr>
        <w:t>二、不向融资方、台州市产权交易所和监管部门及其工作人员和评审人员贿赂，或采取其它不正当手段谋取中标；</w:t>
      </w:r>
    </w:p>
    <w:p>
      <w:pPr>
        <w:pStyle w:val="7"/>
        <w:spacing w:line="500" w:lineRule="exact"/>
        <w:ind w:left="119" w:firstLine="480" w:firstLineChars="200"/>
        <w:rPr>
          <w:rFonts w:hint="default" w:ascii="仿宋_GB2312" w:hAnsi="仿宋_GB2312" w:eastAsia="仿宋_GB2312" w:cs="仿宋_GB2312"/>
          <w:sz w:val="24"/>
          <w:szCs w:val="28"/>
        </w:rPr>
      </w:pPr>
      <w:r>
        <w:rPr>
          <w:rFonts w:ascii="仿宋_GB2312" w:hAnsi="仿宋_GB2312" w:eastAsia="仿宋_GB2312" w:cs="仿宋_GB2312"/>
          <w:sz w:val="24"/>
          <w:szCs w:val="28"/>
        </w:rPr>
        <w:t xml:space="preserve">三、应公平竞争、诚实守信，不得采取不正当手段抵毁、排挤其他参与方，不提供虚假材料谋取中标； </w:t>
      </w:r>
    </w:p>
    <w:p>
      <w:pPr>
        <w:pStyle w:val="7"/>
        <w:spacing w:line="500" w:lineRule="exact"/>
        <w:ind w:left="119" w:firstLine="480" w:firstLineChars="200"/>
        <w:rPr>
          <w:rFonts w:hint="default" w:ascii="仿宋_GB2312" w:hAnsi="仿宋_GB2312" w:eastAsia="仿宋_GB2312" w:cs="仿宋_GB2312"/>
          <w:sz w:val="24"/>
          <w:szCs w:val="28"/>
        </w:rPr>
      </w:pPr>
      <w:r>
        <w:rPr>
          <w:rFonts w:ascii="仿宋_GB2312" w:hAnsi="仿宋_GB2312" w:eastAsia="仿宋_GB2312" w:cs="仿宋_GB2312"/>
          <w:sz w:val="24"/>
          <w:szCs w:val="28"/>
        </w:rPr>
        <w:t>四、不与融资方、其他参与方和台州市产权交易所串通或恶意报价；</w:t>
      </w:r>
    </w:p>
    <w:p>
      <w:pPr>
        <w:pStyle w:val="7"/>
        <w:spacing w:line="500" w:lineRule="exact"/>
        <w:ind w:left="119" w:firstLine="480" w:firstLineChars="200"/>
        <w:rPr>
          <w:rFonts w:hint="default" w:ascii="仿宋_GB2312" w:hAnsi="仿宋_GB2312" w:eastAsia="仿宋_GB2312" w:cs="仿宋_GB2312"/>
          <w:sz w:val="24"/>
          <w:szCs w:val="28"/>
        </w:rPr>
      </w:pPr>
      <w:r>
        <w:rPr>
          <w:rFonts w:ascii="仿宋_GB2312" w:hAnsi="仿宋_GB2312" w:eastAsia="仿宋_GB2312" w:cs="仿宋_GB2312"/>
          <w:sz w:val="24"/>
          <w:szCs w:val="28"/>
        </w:rPr>
        <w:t>五、中标成交后，按规定及时与融资方签订合同；无正当理由不拖延或拒绝与融资方签订合同，不与融资方订立有悖于评判结果的合同或协议；</w:t>
      </w:r>
    </w:p>
    <w:p>
      <w:pPr>
        <w:pStyle w:val="7"/>
        <w:spacing w:line="500" w:lineRule="exact"/>
        <w:ind w:left="119" w:firstLine="480" w:firstLineChars="200"/>
        <w:rPr>
          <w:rFonts w:hint="default" w:ascii="仿宋_GB2312" w:hAnsi="仿宋_GB2312" w:eastAsia="仿宋_GB2312" w:cs="仿宋_GB2312"/>
          <w:sz w:val="24"/>
          <w:szCs w:val="28"/>
        </w:rPr>
      </w:pPr>
      <w:r>
        <w:rPr>
          <w:rFonts w:ascii="仿宋_GB2312" w:hAnsi="仿宋_GB2312" w:eastAsia="仿宋_GB2312" w:cs="仿宋_GB2312"/>
          <w:sz w:val="24"/>
          <w:szCs w:val="28"/>
        </w:rPr>
        <w:t>六、严格履行合同，不擅自变更、中止、终止合同，或拒绝履行合同义务；</w:t>
      </w:r>
    </w:p>
    <w:p>
      <w:pPr>
        <w:pStyle w:val="7"/>
        <w:spacing w:line="500" w:lineRule="exact"/>
        <w:ind w:left="119" w:firstLine="480" w:firstLineChars="200"/>
        <w:rPr>
          <w:rFonts w:hint="default" w:ascii="仿宋_GB2312" w:hAnsi="仿宋_GB2312" w:eastAsia="仿宋_GB2312" w:cs="仿宋_GB2312"/>
          <w:sz w:val="24"/>
          <w:szCs w:val="28"/>
        </w:rPr>
      </w:pPr>
      <w:r>
        <w:rPr>
          <w:rFonts w:ascii="仿宋_GB2312" w:hAnsi="仿宋_GB2312" w:eastAsia="仿宋_GB2312" w:cs="仿宋_GB2312"/>
          <w:sz w:val="24"/>
          <w:szCs w:val="28"/>
        </w:rPr>
        <w:t>七、不捏造事实或者提供虚假材料，进行虚假、恶意质疑、投诉，扰乱谈判工作；</w:t>
      </w:r>
    </w:p>
    <w:p>
      <w:pPr>
        <w:pStyle w:val="7"/>
        <w:spacing w:line="500" w:lineRule="exact"/>
        <w:ind w:left="119" w:firstLine="480" w:firstLineChars="200"/>
        <w:rPr>
          <w:rFonts w:hint="default" w:ascii="仿宋_GB2312" w:hAnsi="仿宋_GB2312" w:eastAsia="仿宋_GB2312" w:cs="仿宋_GB2312"/>
          <w:sz w:val="24"/>
          <w:szCs w:val="28"/>
        </w:rPr>
      </w:pPr>
      <w:r>
        <w:rPr>
          <w:rFonts w:ascii="仿宋_GB2312" w:hAnsi="仿宋_GB2312" w:eastAsia="仿宋_GB2312" w:cs="仿宋_GB2312"/>
          <w:sz w:val="24"/>
          <w:szCs w:val="28"/>
        </w:rPr>
        <w:t>八、自觉接受和配合有关监督部门的监督检查，不拒绝或在检查中提供虚假材料。</w:t>
      </w:r>
    </w:p>
    <w:p>
      <w:pPr>
        <w:pStyle w:val="7"/>
        <w:spacing w:line="500" w:lineRule="exact"/>
        <w:ind w:left="119" w:firstLine="480" w:firstLineChars="200"/>
        <w:rPr>
          <w:rFonts w:hint="default" w:ascii="仿宋_GB2312" w:hAnsi="仿宋_GB2312" w:eastAsia="仿宋_GB2312" w:cs="仿宋_GB2312"/>
          <w:sz w:val="24"/>
          <w:szCs w:val="28"/>
        </w:rPr>
      </w:pPr>
      <w:r>
        <w:rPr>
          <w:rFonts w:ascii="仿宋_GB2312" w:hAnsi="仿宋_GB2312" w:eastAsia="仿宋_GB2312" w:cs="仿宋_GB2312"/>
          <w:sz w:val="24"/>
          <w:szCs w:val="28"/>
        </w:rPr>
        <w:t>本公司若有违反承诺内容的行为，自愿接受记入信用档案等有关处理，愿意承担法律责任。如已中标的，自动放弃中标资格给融资方造成损失的，依法承担赔偿责任。</w:t>
      </w:r>
    </w:p>
    <w:p>
      <w:pPr>
        <w:pStyle w:val="8"/>
      </w:pPr>
    </w:p>
    <w:p>
      <w:pPr>
        <w:pStyle w:val="7"/>
        <w:spacing w:line="500" w:lineRule="exact"/>
        <w:ind w:left="119" w:firstLine="480" w:firstLineChars="200"/>
        <w:jc w:val="center"/>
        <w:rPr>
          <w:rFonts w:hint="default" w:ascii="仿宋_GB2312" w:hAnsi="仿宋_GB2312" w:eastAsia="仿宋_GB2312" w:cs="仿宋_GB2312"/>
          <w:sz w:val="24"/>
          <w:szCs w:val="28"/>
        </w:rPr>
      </w:pPr>
      <w:r>
        <w:rPr>
          <w:rFonts w:ascii="仿宋_GB2312" w:hAnsi="仿宋_GB2312" w:eastAsia="仿宋_GB2312" w:cs="仿宋_GB2312"/>
          <w:sz w:val="24"/>
          <w:szCs w:val="28"/>
        </w:rPr>
        <w:t xml:space="preserve">    意向投资方全称（盖单位公章）：</w:t>
      </w:r>
    </w:p>
    <w:p>
      <w:pPr>
        <w:pStyle w:val="7"/>
        <w:spacing w:line="500" w:lineRule="exact"/>
        <w:ind w:left="119" w:firstLine="480" w:firstLineChars="200"/>
        <w:jc w:val="center"/>
        <w:rPr>
          <w:rFonts w:hint="default" w:ascii="仿宋_GB2312" w:hAnsi="仿宋_GB2312" w:eastAsia="仿宋_GB2312" w:cs="仿宋_GB2312"/>
          <w:sz w:val="24"/>
          <w:szCs w:val="28"/>
        </w:rPr>
      </w:pPr>
      <w:r>
        <w:rPr>
          <w:rFonts w:ascii="仿宋_GB2312" w:hAnsi="仿宋_GB2312" w:eastAsia="仿宋_GB2312" w:cs="仿宋_GB2312"/>
          <w:sz w:val="24"/>
          <w:szCs w:val="28"/>
        </w:rPr>
        <w:t xml:space="preserve">             法定代表人或委托代理人（签字或盖章）：</w:t>
      </w:r>
    </w:p>
    <w:p>
      <w:pPr>
        <w:pStyle w:val="7"/>
        <w:spacing w:line="500" w:lineRule="exact"/>
        <w:ind w:left="119" w:firstLine="480" w:firstLineChars="200"/>
        <w:jc w:val="center"/>
        <w:rPr>
          <w:rFonts w:hint="default" w:ascii="仿宋_GB2312" w:hAnsi="仿宋_GB2312" w:eastAsia="仿宋_GB2312" w:cs="仿宋_GB2312"/>
          <w:sz w:val="24"/>
          <w:szCs w:val="28"/>
        </w:rPr>
      </w:pPr>
      <w:r>
        <w:rPr>
          <w:rFonts w:ascii="仿宋_GB2312" w:hAnsi="仿宋_GB2312" w:eastAsia="仿宋_GB2312" w:cs="仿宋_GB2312"/>
          <w:sz w:val="24"/>
          <w:szCs w:val="28"/>
        </w:rPr>
        <w:t xml:space="preserve">   日    期：      年  月  日</w:t>
      </w:r>
    </w:p>
    <w:p>
      <w:pPr>
        <w:jc w:val="left"/>
        <w:rPr>
          <w:rFonts w:ascii="黑体" w:hAnsi="黑体" w:eastAsia="黑体" w:cs="黑体"/>
          <w:sz w:val="24"/>
          <w:szCs w:val="28"/>
        </w:rPr>
      </w:pPr>
    </w:p>
    <w:p>
      <w:pPr>
        <w:jc w:val="left"/>
        <w:rPr>
          <w:rFonts w:ascii="黑体" w:hAnsi="黑体" w:eastAsia="黑体" w:cs="黑体"/>
          <w:sz w:val="24"/>
          <w:szCs w:val="28"/>
        </w:rPr>
      </w:pPr>
    </w:p>
    <w:p>
      <w:pPr>
        <w:jc w:val="left"/>
        <w:rPr>
          <w:rFonts w:ascii="黑体" w:hAnsi="黑体" w:eastAsia="黑体" w:cs="黑体"/>
          <w:sz w:val="24"/>
          <w:szCs w:val="28"/>
        </w:rPr>
      </w:pPr>
      <w:r>
        <w:rPr>
          <w:rFonts w:hint="eastAsia" w:ascii="黑体" w:hAnsi="黑体" w:eastAsia="黑体" w:cs="黑体"/>
          <w:sz w:val="24"/>
          <w:szCs w:val="28"/>
        </w:rPr>
        <w:t>附件3</w:t>
      </w:r>
    </w:p>
    <w:p>
      <w:pPr>
        <w:jc w:val="left"/>
        <w:rPr>
          <w:b/>
          <w:bCs/>
          <w:sz w:val="32"/>
          <w:szCs w:val="36"/>
        </w:rPr>
      </w:pPr>
    </w:p>
    <w:p>
      <w:pPr>
        <w:jc w:val="center"/>
        <w:rPr>
          <w:rFonts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北京北航天宇长鹰无人机科技有限公司</w:t>
      </w:r>
    </w:p>
    <w:p>
      <w:pPr>
        <w:jc w:val="center"/>
        <w:rPr>
          <w:rFonts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竞争性谈判评分标准</w:t>
      </w:r>
    </w:p>
    <w:tbl>
      <w:tblPr>
        <w:tblStyle w:val="13"/>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1172"/>
        <w:gridCol w:w="1125"/>
        <w:gridCol w:w="900"/>
        <w:gridCol w:w="49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614" w:type="dxa"/>
            <w:shd w:val="clear" w:color="auto" w:fill="auto"/>
            <w:noWrap/>
            <w:vAlign w:val="center"/>
          </w:tcPr>
          <w:p>
            <w:pPr>
              <w:widowControl/>
              <w:jc w:val="center"/>
              <w:rPr>
                <w:rFonts w:ascii="仿宋_GB2312" w:hAnsi="仿宋_GB2312" w:eastAsia="仿宋_GB2312" w:cs="仿宋_GB2312"/>
                <w:b/>
                <w:bCs/>
                <w:color w:val="000000"/>
                <w:kern w:val="0"/>
                <w:sz w:val="22"/>
              </w:rPr>
            </w:pPr>
            <w:r>
              <w:rPr>
                <w:rFonts w:hint="eastAsia" w:ascii="仿宋_GB2312" w:hAnsi="仿宋_GB2312" w:eastAsia="仿宋_GB2312" w:cs="仿宋_GB2312"/>
                <w:b/>
                <w:bCs/>
                <w:color w:val="000000"/>
                <w:kern w:val="0"/>
                <w:sz w:val="22"/>
              </w:rPr>
              <w:t>序号</w:t>
            </w:r>
          </w:p>
        </w:tc>
        <w:tc>
          <w:tcPr>
            <w:tcW w:w="1172" w:type="dxa"/>
            <w:shd w:val="clear" w:color="auto" w:fill="auto"/>
            <w:noWrap/>
            <w:vAlign w:val="center"/>
          </w:tcPr>
          <w:p>
            <w:pPr>
              <w:widowControl/>
              <w:jc w:val="center"/>
              <w:rPr>
                <w:rFonts w:ascii="仿宋_GB2312" w:hAnsi="仿宋_GB2312" w:eastAsia="仿宋_GB2312" w:cs="仿宋_GB2312"/>
                <w:b/>
                <w:bCs/>
                <w:color w:val="000000"/>
                <w:kern w:val="0"/>
                <w:sz w:val="22"/>
              </w:rPr>
            </w:pPr>
            <w:r>
              <w:rPr>
                <w:rFonts w:hint="eastAsia" w:ascii="仿宋_GB2312" w:hAnsi="仿宋_GB2312" w:eastAsia="仿宋_GB2312" w:cs="仿宋_GB2312"/>
                <w:b/>
                <w:bCs/>
                <w:color w:val="000000"/>
                <w:kern w:val="0"/>
                <w:sz w:val="22"/>
              </w:rPr>
              <w:t>评审条款</w:t>
            </w:r>
          </w:p>
        </w:tc>
        <w:tc>
          <w:tcPr>
            <w:tcW w:w="1125" w:type="dxa"/>
            <w:shd w:val="clear" w:color="auto" w:fill="auto"/>
            <w:noWrap/>
            <w:vAlign w:val="center"/>
          </w:tcPr>
          <w:p>
            <w:pPr>
              <w:widowControl/>
              <w:jc w:val="center"/>
              <w:rPr>
                <w:rFonts w:ascii="仿宋_GB2312" w:hAnsi="仿宋_GB2312" w:eastAsia="仿宋_GB2312" w:cs="仿宋_GB2312"/>
                <w:b/>
                <w:bCs/>
                <w:color w:val="000000"/>
                <w:kern w:val="0"/>
                <w:sz w:val="22"/>
              </w:rPr>
            </w:pPr>
            <w:r>
              <w:rPr>
                <w:rFonts w:hint="eastAsia" w:ascii="仿宋_GB2312" w:hAnsi="仿宋_GB2312" w:eastAsia="仿宋_GB2312" w:cs="仿宋_GB2312"/>
                <w:b/>
                <w:bCs/>
                <w:color w:val="000000"/>
                <w:kern w:val="0"/>
                <w:sz w:val="22"/>
              </w:rPr>
              <w:t>评审因素</w:t>
            </w:r>
          </w:p>
        </w:tc>
        <w:tc>
          <w:tcPr>
            <w:tcW w:w="900" w:type="dxa"/>
            <w:shd w:val="clear" w:color="auto" w:fill="auto"/>
            <w:noWrap/>
            <w:vAlign w:val="center"/>
          </w:tcPr>
          <w:p>
            <w:pPr>
              <w:widowControl/>
              <w:jc w:val="center"/>
              <w:rPr>
                <w:rFonts w:ascii="仿宋_GB2312" w:hAnsi="仿宋_GB2312" w:eastAsia="仿宋_GB2312" w:cs="仿宋_GB2312"/>
                <w:b/>
                <w:bCs/>
                <w:color w:val="000000"/>
                <w:kern w:val="0"/>
                <w:sz w:val="22"/>
              </w:rPr>
            </w:pPr>
            <w:r>
              <w:rPr>
                <w:rFonts w:hint="eastAsia" w:ascii="仿宋_GB2312" w:hAnsi="仿宋_GB2312" w:eastAsia="仿宋_GB2312" w:cs="仿宋_GB2312"/>
                <w:b/>
                <w:bCs/>
                <w:color w:val="000000"/>
                <w:kern w:val="0"/>
                <w:sz w:val="22"/>
              </w:rPr>
              <w:t>分值（分）</w:t>
            </w:r>
          </w:p>
        </w:tc>
        <w:tc>
          <w:tcPr>
            <w:tcW w:w="4973" w:type="dxa"/>
            <w:shd w:val="clear" w:color="auto" w:fill="auto"/>
            <w:noWrap/>
            <w:vAlign w:val="center"/>
          </w:tcPr>
          <w:p>
            <w:pPr>
              <w:widowControl/>
              <w:jc w:val="center"/>
              <w:rPr>
                <w:rFonts w:ascii="仿宋_GB2312" w:hAnsi="仿宋_GB2312" w:eastAsia="仿宋_GB2312" w:cs="仿宋_GB2312"/>
                <w:b/>
                <w:bCs/>
                <w:color w:val="000000"/>
                <w:kern w:val="0"/>
                <w:sz w:val="22"/>
              </w:rPr>
            </w:pPr>
            <w:r>
              <w:rPr>
                <w:rFonts w:hint="eastAsia" w:ascii="仿宋_GB2312" w:hAnsi="仿宋_GB2312" w:eastAsia="仿宋_GB2312" w:cs="仿宋_GB2312"/>
                <w:b/>
                <w:bCs/>
                <w:color w:val="000000"/>
                <w:kern w:val="0"/>
                <w:sz w:val="22"/>
              </w:rPr>
              <w:t>具体要求和评分标准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trPr>
        <w:tc>
          <w:tcPr>
            <w:tcW w:w="614" w:type="dxa"/>
            <w:shd w:val="clear" w:color="auto" w:fill="auto"/>
            <w:noWrap/>
            <w:vAlign w:val="center"/>
          </w:tcPr>
          <w:p>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一</w:t>
            </w:r>
          </w:p>
        </w:tc>
        <w:tc>
          <w:tcPr>
            <w:tcW w:w="1172" w:type="dxa"/>
            <w:shd w:val="clear" w:color="auto" w:fill="auto"/>
            <w:noWrap/>
            <w:vAlign w:val="center"/>
          </w:tcPr>
          <w:p>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增资金额</w:t>
            </w:r>
          </w:p>
        </w:tc>
        <w:tc>
          <w:tcPr>
            <w:tcW w:w="1125" w:type="dxa"/>
            <w:shd w:val="clear" w:color="auto" w:fill="auto"/>
            <w:noWrap/>
            <w:vAlign w:val="center"/>
          </w:tcPr>
          <w:p>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投资报价</w:t>
            </w:r>
          </w:p>
        </w:tc>
        <w:tc>
          <w:tcPr>
            <w:tcW w:w="900" w:type="dxa"/>
            <w:shd w:val="clear" w:color="auto" w:fill="auto"/>
            <w:noWrap/>
            <w:vAlign w:val="center"/>
          </w:tcPr>
          <w:p>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20</w:t>
            </w:r>
          </w:p>
        </w:tc>
        <w:tc>
          <w:tcPr>
            <w:tcW w:w="4973" w:type="dxa"/>
            <w:shd w:val="clear" w:color="auto" w:fill="auto"/>
            <w:vAlign w:val="center"/>
          </w:tcPr>
          <w:p>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1、投资者基础报价8亿元，得分为15分；</w:t>
            </w:r>
            <w:r>
              <w:rPr>
                <w:rFonts w:hint="eastAsia" w:ascii="仿宋_GB2312" w:hAnsi="仿宋_GB2312" w:eastAsia="仿宋_GB2312" w:cs="仿宋_GB2312"/>
                <w:color w:val="000000"/>
                <w:kern w:val="0"/>
                <w:sz w:val="22"/>
              </w:rPr>
              <w:br w:type="textWrapping"/>
            </w:r>
            <w:r>
              <w:rPr>
                <w:rFonts w:hint="eastAsia" w:ascii="仿宋_GB2312" w:hAnsi="仿宋_GB2312" w:eastAsia="仿宋_GB2312" w:cs="仿宋_GB2312"/>
                <w:color w:val="000000"/>
                <w:kern w:val="0"/>
                <w:sz w:val="22"/>
              </w:rPr>
              <w:t>2、投资者报价在基础报价8亿元之上，每增加5000万元，加一分（即8.5亿元报价得分16分），累加总分不超过20分；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trPr>
        <w:tc>
          <w:tcPr>
            <w:tcW w:w="614" w:type="dxa"/>
            <w:shd w:val="clear" w:color="auto" w:fill="auto"/>
            <w:noWrap/>
            <w:vAlign w:val="center"/>
          </w:tcPr>
          <w:p>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二</w:t>
            </w:r>
          </w:p>
        </w:tc>
        <w:tc>
          <w:tcPr>
            <w:tcW w:w="1172" w:type="dxa"/>
            <w:shd w:val="clear" w:color="auto" w:fill="auto"/>
            <w:noWrap/>
            <w:vAlign w:val="center"/>
          </w:tcPr>
          <w:p>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资方主业</w:t>
            </w:r>
          </w:p>
        </w:tc>
        <w:tc>
          <w:tcPr>
            <w:tcW w:w="1125" w:type="dxa"/>
            <w:shd w:val="clear" w:color="auto" w:fill="auto"/>
            <w:noWrap/>
            <w:vAlign w:val="center"/>
          </w:tcPr>
          <w:p>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经营情况、行业地位</w:t>
            </w:r>
          </w:p>
        </w:tc>
        <w:tc>
          <w:tcPr>
            <w:tcW w:w="900" w:type="dxa"/>
            <w:shd w:val="clear" w:color="auto" w:fill="auto"/>
            <w:noWrap/>
            <w:vAlign w:val="center"/>
          </w:tcPr>
          <w:p>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20</w:t>
            </w:r>
          </w:p>
        </w:tc>
        <w:tc>
          <w:tcPr>
            <w:tcW w:w="4973" w:type="dxa"/>
            <w:shd w:val="clear" w:color="auto" w:fill="auto"/>
            <w:vAlign w:val="center"/>
          </w:tcPr>
          <w:p>
            <w:pPr>
              <w:widowControl/>
              <w:numPr>
                <w:ilvl w:val="0"/>
                <w:numId w:val="1"/>
              </w:numPr>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意向投资者及其实际控制人2020年末的总资产、实收资本、净资产、负债、营收、净利润、公司治理等;(10分）</w:t>
            </w:r>
            <w:r>
              <w:rPr>
                <w:rFonts w:hint="eastAsia" w:ascii="仿宋_GB2312" w:hAnsi="仿宋_GB2312" w:eastAsia="仿宋_GB2312" w:cs="仿宋_GB2312"/>
                <w:color w:val="000000"/>
                <w:kern w:val="0"/>
                <w:sz w:val="22"/>
              </w:rPr>
              <w:br w:type="textWrapping"/>
            </w:r>
            <w:r>
              <w:rPr>
                <w:rFonts w:hint="eastAsia" w:ascii="仿宋_GB2312" w:hAnsi="仿宋_GB2312" w:eastAsia="仿宋_GB2312" w:cs="仿宋_GB2312"/>
                <w:color w:val="000000"/>
                <w:kern w:val="0"/>
                <w:sz w:val="22"/>
              </w:rPr>
              <w:t>2、意向投资者行业地位、行业资质、行业声誉等；（10分）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trPr>
        <w:tc>
          <w:tcPr>
            <w:tcW w:w="614" w:type="dxa"/>
            <w:shd w:val="clear" w:color="auto" w:fill="auto"/>
            <w:noWrap/>
            <w:vAlign w:val="center"/>
          </w:tcPr>
          <w:p>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三</w:t>
            </w:r>
          </w:p>
        </w:tc>
        <w:tc>
          <w:tcPr>
            <w:tcW w:w="1172" w:type="dxa"/>
            <w:shd w:val="clear" w:color="auto" w:fill="auto"/>
            <w:noWrap/>
            <w:vAlign w:val="center"/>
          </w:tcPr>
          <w:p>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资金实力</w:t>
            </w:r>
          </w:p>
        </w:tc>
        <w:tc>
          <w:tcPr>
            <w:tcW w:w="1125" w:type="dxa"/>
            <w:shd w:val="clear" w:color="auto" w:fill="auto"/>
            <w:noWrap/>
            <w:vAlign w:val="center"/>
          </w:tcPr>
          <w:p>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管理规模和融资能力</w:t>
            </w:r>
          </w:p>
        </w:tc>
        <w:tc>
          <w:tcPr>
            <w:tcW w:w="900" w:type="dxa"/>
            <w:shd w:val="clear" w:color="auto" w:fill="auto"/>
            <w:noWrap/>
            <w:vAlign w:val="center"/>
          </w:tcPr>
          <w:p>
            <w:pPr>
              <w:widowControl/>
              <w:jc w:val="center"/>
              <w:rPr>
                <w:rFonts w:ascii="仿宋_GB2312" w:hAnsi="仿宋_GB2312" w:eastAsia="仿宋_GB2312" w:cs="仿宋_GB2312"/>
                <w:color w:val="000000"/>
                <w:kern w:val="0"/>
                <w:sz w:val="22"/>
              </w:rPr>
            </w:pPr>
            <w:r>
              <w:rPr>
                <w:rFonts w:ascii="仿宋_GB2312" w:hAnsi="仿宋_GB2312" w:eastAsia="仿宋_GB2312" w:cs="仿宋_GB2312"/>
                <w:color w:val="000000"/>
                <w:kern w:val="0"/>
                <w:sz w:val="22"/>
              </w:rPr>
              <w:t>20</w:t>
            </w:r>
          </w:p>
        </w:tc>
        <w:tc>
          <w:tcPr>
            <w:tcW w:w="4973" w:type="dxa"/>
            <w:shd w:val="clear" w:color="auto" w:fill="auto"/>
            <w:vAlign w:val="center"/>
          </w:tcPr>
          <w:p>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1、意向投资者资产管理规模、自有资金管理规模等；（5分）</w:t>
            </w:r>
            <w:r>
              <w:rPr>
                <w:rFonts w:hint="eastAsia" w:ascii="仿宋_GB2312" w:hAnsi="仿宋_GB2312" w:eastAsia="仿宋_GB2312" w:cs="仿宋_GB2312"/>
                <w:color w:val="000000"/>
                <w:kern w:val="0"/>
                <w:sz w:val="22"/>
              </w:rPr>
              <w:br w:type="textWrapping"/>
            </w:r>
            <w:r>
              <w:rPr>
                <w:rFonts w:hint="eastAsia" w:ascii="仿宋_GB2312" w:hAnsi="仿宋_GB2312" w:eastAsia="仿宋_GB2312" w:cs="仿宋_GB2312"/>
                <w:color w:val="000000"/>
                <w:kern w:val="0"/>
                <w:sz w:val="22"/>
              </w:rPr>
              <w:t>2、意向投资者融资能力及相关经验等；（</w:t>
            </w:r>
            <w:r>
              <w:rPr>
                <w:rFonts w:ascii="仿宋_GB2312" w:hAnsi="仿宋_GB2312" w:eastAsia="仿宋_GB2312" w:cs="仿宋_GB2312"/>
                <w:color w:val="000000"/>
                <w:kern w:val="0"/>
                <w:sz w:val="22"/>
              </w:rPr>
              <w:t>5</w:t>
            </w:r>
            <w:r>
              <w:rPr>
                <w:rFonts w:hint="eastAsia" w:ascii="仿宋_GB2312" w:hAnsi="仿宋_GB2312" w:eastAsia="仿宋_GB2312" w:cs="仿宋_GB2312"/>
                <w:color w:val="000000"/>
                <w:kern w:val="0"/>
                <w:sz w:val="22"/>
              </w:rPr>
              <w:t>分）</w:t>
            </w:r>
          </w:p>
          <w:p>
            <w:pPr>
              <w:pStyle w:val="2"/>
              <w:ind w:left="0" w:leftChars="0" w:firstLine="0" w:firstLineChars="0"/>
              <w:rPr>
                <w:rFonts w:hint="eastAsia" w:ascii="仿宋" w:hAnsi="仿宋" w:eastAsia="仿宋"/>
                <w:sz w:val="22"/>
                <w:szCs w:val="22"/>
              </w:rPr>
            </w:pPr>
            <w:r>
              <w:rPr>
                <w:rFonts w:hint="eastAsia" w:ascii="仿宋_GB2312" w:hAnsi="仿宋_GB2312" w:cs="仿宋_GB2312"/>
                <w:color w:val="000000"/>
                <w:kern w:val="0"/>
                <w:sz w:val="22"/>
                <w:szCs w:val="22"/>
              </w:rPr>
              <w:t>3、意向投资者参与本次增资资金来源；（1</w:t>
            </w:r>
            <w:r>
              <w:rPr>
                <w:rFonts w:ascii="仿宋_GB2312" w:hAnsi="仿宋_GB2312" w:cs="仿宋_GB2312"/>
                <w:color w:val="000000"/>
                <w:kern w:val="0"/>
                <w:sz w:val="22"/>
                <w:szCs w:val="22"/>
              </w:rPr>
              <w:t>0</w:t>
            </w:r>
            <w:r>
              <w:rPr>
                <w:rFonts w:hint="eastAsia" w:ascii="仿宋_GB2312" w:hAnsi="仿宋_GB2312" w:cs="仿宋_GB2312"/>
                <w:color w:val="000000"/>
                <w:kern w:val="0"/>
                <w:sz w:val="22"/>
                <w:szCs w:val="22"/>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614" w:type="dxa"/>
            <w:shd w:val="clear" w:color="auto" w:fill="auto"/>
            <w:noWrap/>
            <w:vAlign w:val="center"/>
          </w:tcPr>
          <w:p>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四</w:t>
            </w:r>
          </w:p>
        </w:tc>
        <w:tc>
          <w:tcPr>
            <w:tcW w:w="1172" w:type="dxa"/>
            <w:shd w:val="clear" w:color="auto" w:fill="auto"/>
            <w:noWrap/>
            <w:vAlign w:val="center"/>
          </w:tcPr>
          <w:p>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战略契合</w:t>
            </w:r>
          </w:p>
        </w:tc>
        <w:tc>
          <w:tcPr>
            <w:tcW w:w="1125" w:type="dxa"/>
            <w:shd w:val="clear" w:color="auto" w:fill="auto"/>
            <w:noWrap/>
            <w:vAlign w:val="center"/>
          </w:tcPr>
          <w:p>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战略方向、产业布局和总部战略</w:t>
            </w:r>
          </w:p>
        </w:tc>
        <w:tc>
          <w:tcPr>
            <w:tcW w:w="900" w:type="dxa"/>
            <w:shd w:val="clear" w:color="auto" w:fill="auto"/>
            <w:noWrap/>
            <w:vAlign w:val="center"/>
          </w:tcPr>
          <w:p>
            <w:pPr>
              <w:widowControl/>
              <w:jc w:val="center"/>
              <w:rPr>
                <w:rFonts w:ascii="仿宋_GB2312" w:hAnsi="仿宋_GB2312" w:eastAsia="仿宋_GB2312" w:cs="仿宋_GB2312"/>
                <w:color w:val="000000"/>
                <w:kern w:val="0"/>
                <w:sz w:val="22"/>
              </w:rPr>
            </w:pPr>
            <w:r>
              <w:rPr>
                <w:rFonts w:ascii="仿宋_GB2312" w:hAnsi="仿宋_GB2312" w:eastAsia="仿宋_GB2312" w:cs="仿宋_GB2312"/>
                <w:color w:val="000000"/>
                <w:kern w:val="0"/>
                <w:sz w:val="22"/>
              </w:rPr>
              <w:t>25</w:t>
            </w:r>
          </w:p>
        </w:tc>
        <w:tc>
          <w:tcPr>
            <w:tcW w:w="4973" w:type="dxa"/>
            <w:shd w:val="clear" w:color="auto" w:fill="auto"/>
            <w:vAlign w:val="center"/>
          </w:tcPr>
          <w:p>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1、意向投资者战略布局方向与融资方所处行业契合程度；（5分）</w:t>
            </w:r>
            <w:r>
              <w:rPr>
                <w:rFonts w:hint="eastAsia" w:ascii="仿宋_GB2312" w:hAnsi="仿宋_GB2312" w:eastAsia="仿宋_GB2312" w:cs="仿宋_GB2312"/>
                <w:color w:val="000000"/>
                <w:kern w:val="0"/>
                <w:sz w:val="22"/>
              </w:rPr>
              <w:br w:type="textWrapping"/>
            </w:r>
            <w:r>
              <w:rPr>
                <w:rFonts w:hint="eastAsia" w:ascii="仿宋_GB2312" w:hAnsi="仿宋_GB2312" w:eastAsia="仿宋_GB2312" w:cs="仿宋_GB2312"/>
                <w:color w:val="000000"/>
                <w:kern w:val="0"/>
                <w:sz w:val="22"/>
              </w:rPr>
              <w:t>2、在无人机领域，具有丰富的投资管理经验；（5分）</w:t>
            </w:r>
            <w:r>
              <w:rPr>
                <w:rFonts w:hint="eastAsia" w:ascii="仿宋_GB2312" w:hAnsi="仿宋_GB2312" w:eastAsia="仿宋_GB2312" w:cs="仿宋_GB2312"/>
                <w:color w:val="000000"/>
                <w:kern w:val="0"/>
                <w:sz w:val="22"/>
              </w:rPr>
              <w:br w:type="textWrapping"/>
            </w:r>
            <w:r>
              <w:rPr>
                <w:rFonts w:hint="eastAsia" w:ascii="仿宋_GB2312" w:hAnsi="仿宋_GB2312" w:eastAsia="仿宋_GB2312" w:cs="仿宋_GB2312"/>
                <w:color w:val="000000"/>
                <w:kern w:val="0"/>
                <w:sz w:val="22"/>
              </w:rPr>
              <w:t>3、意向投资者对融资方总部布局战略方向认可和支持程度；（</w:t>
            </w:r>
            <w:r>
              <w:rPr>
                <w:rFonts w:ascii="仿宋_GB2312" w:hAnsi="仿宋_GB2312" w:eastAsia="仿宋_GB2312" w:cs="仿宋_GB2312"/>
                <w:color w:val="000000"/>
                <w:kern w:val="0"/>
                <w:sz w:val="22"/>
              </w:rPr>
              <w:t>15</w:t>
            </w:r>
            <w:r>
              <w:rPr>
                <w:rFonts w:hint="eastAsia" w:ascii="仿宋_GB2312" w:hAnsi="仿宋_GB2312" w:eastAsia="仿宋_GB2312" w:cs="仿宋_GB2312"/>
                <w:color w:val="000000"/>
                <w:kern w:val="0"/>
                <w:sz w:val="22"/>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trPr>
        <w:tc>
          <w:tcPr>
            <w:tcW w:w="614" w:type="dxa"/>
            <w:shd w:val="clear" w:color="auto" w:fill="auto"/>
            <w:noWrap/>
            <w:vAlign w:val="center"/>
          </w:tcPr>
          <w:p>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五</w:t>
            </w:r>
          </w:p>
        </w:tc>
        <w:tc>
          <w:tcPr>
            <w:tcW w:w="1172" w:type="dxa"/>
            <w:shd w:val="clear" w:color="auto" w:fill="auto"/>
            <w:noWrap/>
            <w:vAlign w:val="center"/>
          </w:tcPr>
          <w:p>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市场实力</w:t>
            </w:r>
          </w:p>
        </w:tc>
        <w:tc>
          <w:tcPr>
            <w:tcW w:w="1125" w:type="dxa"/>
            <w:shd w:val="clear" w:color="auto" w:fill="auto"/>
            <w:noWrap/>
            <w:vAlign w:val="center"/>
          </w:tcPr>
          <w:p>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市场渠道、产业整合和产业链布局</w:t>
            </w:r>
          </w:p>
        </w:tc>
        <w:tc>
          <w:tcPr>
            <w:tcW w:w="900" w:type="dxa"/>
            <w:shd w:val="clear" w:color="auto" w:fill="auto"/>
            <w:noWrap/>
            <w:vAlign w:val="center"/>
          </w:tcPr>
          <w:p>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15</w:t>
            </w:r>
          </w:p>
        </w:tc>
        <w:tc>
          <w:tcPr>
            <w:tcW w:w="4973" w:type="dxa"/>
            <w:shd w:val="clear" w:color="auto" w:fill="auto"/>
            <w:vAlign w:val="center"/>
          </w:tcPr>
          <w:p>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1、意向投资者具有带单、促销能力；（5分）</w:t>
            </w:r>
            <w:r>
              <w:rPr>
                <w:rFonts w:hint="eastAsia" w:ascii="仿宋_GB2312" w:hAnsi="仿宋_GB2312" w:eastAsia="仿宋_GB2312" w:cs="仿宋_GB2312"/>
                <w:color w:val="000000"/>
                <w:kern w:val="0"/>
                <w:sz w:val="22"/>
              </w:rPr>
              <w:br w:type="textWrapping"/>
            </w:r>
            <w:r>
              <w:rPr>
                <w:rFonts w:hint="eastAsia" w:ascii="仿宋_GB2312" w:hAnsi="仿宋_GB2312" w:eastAsia="仿宋_GB2312" w:cs="仿宋_GB2312"/>
                <w:color w:val="000000"/>
                <w:kern w:val="0"/>
                <w:sz w:val="22"/>
              </w:rPr>
              <w:t>2、持续为融资方整合相关产业链；（5分）</w:t>
            </w:r>
            <w:r>
              <w:rPr>
                <w:rFonts w:hint="eastAsia" w:ascii="仿宋_GB2312" w:hAnsi="仿宋_GB2312" w:eastAsia="仿宋_GB2312" w:cs="仿宋_GB2312"/>
                <w:color w:val="000000"/>
                <w:kern w:val="0"/>
                <w:sz w:val="22"/>
              </w:rPr>
              <w:br w:type="textWrapping"/>
            </w:r>
            <w:r>
              <w:rPr>
                <w:rFonts w:hint="eastAsia" w:ascii="仿宋_GB2312" w:hAnsi="仿宋_GB2312" w:eastAsia="仿宋_GB2312" w:cs="仿宋_GB2312"/>
                <w:color w:val="000000"/>
                <w:kern w:val="0"/>
                <w:sz w:val="22"/>
              </w:rPr>
              <w:t>3、为融资方带来技术、成本和市场优势；（5分）</w:t>
            </w:r>
          </w:p>
        </w:tc>
      </w:tr>
    </w:tbl>
    <w:p>
      <w:pPr>
        <w:pStyle w:val="2"/>
        <w:spacing w:line="600" w:lineRule="exact"/>
        <w:ind w:left="0" w:leftChars="0" w:firstLine="480"/>
        <w:rPr>
          <w:rFonts w:eastAsiaTheme="minorEastAsia"/>
          <w:sz w:val="24"/>
          <w:szCs w:val="28"/>
        </w:rPr>
      </w:pPr>
      <w:r>
        <w:rPr>
          <w:rFonts w:hint="eastAsia" w:ascii="仿宋_GB2312" w:hAnsi="仿宋_GB2312" w:cs="仿宋_GB2312"/>
          <w:sz w:val="24"/>
          <w:szCs w:val="28"/>
        </w:rPr>
        <w:t>谈判小组成员按评分标准各自打分，意向投资方的得分为评判小组成员评分结果的平均值。（谈判小组评分结果每项保留1位小数，第2位四舍五入；平均值小数点后保留2位，第3位四舍五入）</w:t>
      </w:r>
    </w:p>
    <w:p>
      <w:pPr>
        <w:jc w:val="left"/>
        <w:rPr>
          <w:sz w:val="24"/>
          <w:szCs w:val="28"/>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10"/>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4C14C7"/>
    <w:multiLevelType w:val="singleLevel"/>
    <w:tmpl w:val="0F4C14C7"/>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4679"/>
    <w:rsid w:val="00034679"/>
    <w:rsid w:val="00044994"/>
    <w:rsid w:val="000E4EE2"/>
    <w:rsid w:val="001374CD"/>
    <w:rsid w:val="001534E2"/>
    <w:rsid w:val="001954C1"/>
    <w:rsid w:val="001C4F5A"/>
    <w:rsid w:val="00205E57"/>
    <w:rsid w:val="003F3A83"/>
    <w:rsid w:val="00473906"/>
    <w:rsid w:val="004F76A9"/>
    <w:rsid w:val="00500DE9"/>
    <w:rsid w:val="005B1286"/>
    <w:rsid w:val="00781B71"/>
    <w:rsid w:val="00823083"/>
    <w:rsid w:val="008457C2"/>
    <w:rsid w:val="00926720"/>
    <w:rsid w:val="0099361A"/>
    <w:rsid w:val="00A34562"/>
    <w:rsid w:val="00AC7CD5"/>
    <w:rsid w:val="00B45D82"/>
    <w:rsid w:val="00B51589"/>
    <w:rsid w:val="00B5591E"/>
    <w:rsid w:val="00B659E9"/>
    <w:rsid w:val="00BC79E9"/>
    <w:rsid w:val="00C12804"/>
    <w:rsid w:val="00C77F26"/>
    <w:rsid w:val="00CB1B0F"/>
    <w:rsid w:val="00CE619D"/>
    <w:rsid w:val="00D4590D"/>
    <w:rsid w:val="00E129CA"/>
    <w:rsid w:val="00E14B41"/>
    <w:rsid w:val="00E537AE"/>
    <w:rsid w:val="00E627F9"/>
    <w:rsid w:val="00E82F02"/>
    <w:rsid w:val="00F844F8"/>
    <w:rsid w:val="00FB2C10"/>
    <w:rsid w:val="01053E95"/>
    <w:rsid w:val="03C668C7"/>
    <w:rsid w:val="0405771B"/>
    <w:rsid w:val="07510C64"/>
    <w:rsid w:val="094D3CEB"/>
    <w:rsid w:val="0B5B570D"/>
    <w:rsid w:val="0B905AC7"/>
    <w:rsid w:val="0C4D1B2A"/>
    <w:rsid w:val="0F22379A"/>
    <w:rsid w:val="10DA48AA"/>
    <w:rsid w:val="118104B1"/>
    <w:rsid w:val="124C0BBD"/>
    <w:rsid w:val="12B07583"/>
    <w:rsid w:val="135573A7"/>
    <w:rsid w:val="165779D5"/>
    <w:rsid w:val="16E661C3"/>
    <w:rsid w:val="174F6F43"/>
    <w:rsid w:val="17841E51"/>
    <w:rsid w:val="17C24743"/>
    <w:rsid w:val="193B0CF5"/>
    <w:rsid w:val="1A9E7E47"/>
    <w:rsid w:val="1AC57AC5"/>
    <w:rsid w:val="1B9E1602"/>
    <w:rsid w:val="1C7C2862"/>
    <w:rsid w:val="1DCC309C"/>
    <w:rsid w:val="2033565F"/>
    <w:rsid w:val="217C17DD"/>
    <w:rsid w:val="21A460DB"/>
    <w:rsid w:val="21BD57B9"/>
    <w:rsid w:val="229A4B54"/>
    <w:rsid w:val="24642FAB"/>
    <w:rsid w:val="24A813EF"/>
    <w:rsid w:val="24D24390"/>
    <w:rsid w:val="251351C1"/>
    <w:rsid w:val="29DB1572"/>
    <w:rsid w:val="2AAC6A7E"/>
    <w:rsid w:val="2BCA3611"/>
    <w:rsid w:val="2C342DC4"/>
    <w:rsid w:val="2C876181"/>
    <w:rsid w:val="2D6313E9"/>
    <w:rsid w:val="2D8634AC"/>
    <w:rsid w:val="2DC867AA"/>
    <w:rsid w:val="2F124E51"/>
    <w:rsid w:val="303F3BB7"/>
    <w:rsid w:val="30E03F42"/>
    <w:rsid w:val="31775ADE"/>
    <w:rsid w:val="32612937"/>
    <w:rsid w:val="32BD7E3B"/>
    <w:rsid w:val="32C739AB"/>
    <w:rsid w:val="32E93B15"/>
    <w:rsid w:val="32FB3C3D"/>
    <w:rsid w:val="34BA4463"/>
    <w:rsid w:val="37183FFF"/>
    <w:rsid w:val="377D2730"/>
    <w:rsid w:val="37C919E7"/>
    <w:rsid w:val="3B392F9B"/>
    <w:rsid w:val="3B4A6A9A"/>
    <w:rsid w:val="3DE944CF"/>
    <w:rsid w:val="41065270"/>
    <w:rsid w:val="411E6BCA"/>
    <w:rsid w:val="414B1AB2"/>
    <w:rsid w:val="423B719C"/>
    <w:rsid w:val="43C21550"/>
    <w:rsid w:val="43EA3082"/>
    <w:rsid w:val="46072613"/>
    <w:rsid w:val="470D4E2D"/>
    <w:rsid w:val="47645658"/>
    <w:rsid w:val="48D459A1"/>
    <w:rsid w:val="49EF0119"/>
    <w:rsid w:val="4AB27A19"/>
    <w:rsid w:val="4D84279B"/>
    <w:rsid w:val="4E4307AA"/>
    <w:rsid w:val="4EBB6865"/>
    <w:rsid w:val="4FE25169"/>
    <w:rsid w:val="5115092A"/>
    <w:rsid w:val="569A6B8C"/>
    <w:rsid w:val="570D46AF"/>
    <w:rsid w:val="57352EFC"/>
    <w:rsid w:val="57E25552"/>
    <w:rsid w:val="580F4869"/>
    <w:rsid w:val="58C838B7"/>
    <w:rsid w:val="5A037DBC"/>
    <w:rsid w:val="5AAF422B"/>
    <w:rsid w:val="5B0B3F23"/>
    <w:rsid w:val="5B0E511E"/>
    <w:rsid w:val="5C962035"/>
    <w:rsid w:val="5C99494B"/>
    <w:rsid w:val="5FB979C8"/>
    <w:rsid w:val="60EF5C8F"/>
    <w:rsid w:val="61E01BAA"/>
    <w:rsid w:val="62023A50"/>
    <w:rsid w:val="6279431C"/>
    <w:rsid w:val="63805B9F"/>
    <w:rsid w:val="64A704A5"/>
    <w:rsid w:val="68CA7425"/>
    <w:rsid w:val="69D4421F"/>
    <w:rsid w:val="6A15399A"/>
    <w:rsid w:val="6A9F40A7"/>
    <w:rsid w:val="6B95409A"/>
    <w:rsid w:val="6B9B1861"/>
    <w:rsid w:val="6BCC1AEC"/>
    <w:rsid w:val="6C836629"/>
    <w:rsid w:val="6CBB43C6"/>
    <w:rsid w:val="6DED33BC"/>
    <w:rsid w:val="6E307C60"/>
    <w:rsid w:val="6E8F37DC"/>
    <w:rsid w:val="6F173E63"/>
    <w:rsid w:val="71474155"/>
    <w:rsid w:val="71686A19"/>
    <w:rsid w:val="7206158D"/>
    <w:rsid w:val="72F33421"/>
    <w:rsid w:val="72F5709D"/>
    <w:rsid w:val="742E2C36"/>
    <w:rsid w:val="74CB5E55"/>
    <w:rsid w:val="76974E27"/>
    <w:rsid w:val="78971BC4"/>
    <w:rsid w:val="79C91F18"/>
    <w:rsid w:val="7A5E2936"/>
    <w:rsid w:val="7ABD0F17"/>
    <w:rsid w:val="7B590CCC"/>
    <w:rsid w:val="7D1235FE"/>
    <w:rsid w:val="7D660D8E"/>
    <w:rsid w:val="7DAF0C8C"/>
    <w:rsid w:val="7EA3639E"/>
    <w:rsid w:val="7F127358"/>
    <w:rsid w:val="7FF80F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qFormat="1" w:unhideWhenUsed="0" w:uiPriority="0" w:semiHidden="0"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tabs>
        <w:tab w:val="left" w:pos="720"/>
        <w:tab w:val="left" w:pos="1260"/>
        <w:tab w:val="left" w:pos="2160"/>
        <w:tab w:val="left" w:pos="2880"/>
        <w:tab w:val="left" w:pos="3600"/>
        <w:tab w:val="left" w:pos="4320"/>
        <w:tab w:val="left" w:pos="5040"/>
        <w:tab w:val="left" w:pos="5760"/>
      </w:tabs>
      <w:spacing w:after="120"/>
      <w:ind w:left="420" w:leftChars="200" w:firstLine="420"/>
    </w:pPr>
  </w:style>
  <w:style w:type="paragraph" w:styleId="3">
    <w:name w:val="Body Text Indent"/>
    <w:basedOn w:val="1"/>
    <w:qFormat/>
    <w:uiPriority w:val="0"/>
    <w:pPr>
      <w:ind w:firstLine="640" w:firstLineChars="200"/>
    </w:pPr>
    <w:rPr>
      <w:rFonts w:eastAsia="仿宋_GB2312"/>
      <w:sz w:val="32"/>
      <w:szCs w:val="24"/>
    </w:rPr>
  </w:style>
  <w:style w:type="paragraph" w:styleId="5">
    <w:name w:val="annotation text"/>
    <w:basedOn w:val="1"/>
    <w:link w:val="24"/>
    <w:semiHidden/>
    <w:unhideWhenUsed/>
    <w:qFormat/>
    <w:uiPriority w:val="99"/>
    <w:pPr>
      <w:jc w:val="left"/>
    </w:pPr>
  </w:style>
  <w:style w:type="paragraph" w:styleId="6">
    <w:name w:val="Body Text"/>
    <w:basedOn w:val="1"/>
    <w:next w:val="7"/>
    <w:unhideWhenUsed/>
    <w:qFormat/>
    <w:uiPriority w:val="1"/>
    <w:pPr>
      <w:spacing w:before="57"/>
      <w:ind w:left="118"/>
    </w:pPr>
    <w:rPr>
      <w:rFonts w:hint="eastAsia" w:ascii="华文仿宋" w:hAnsi="华文仿宋" w:eastAsia="华文仿宋"/>
      <w:sz w:val="24"/>
    </w:rPr>
  </w:style>
  <w:style w:type="paragraph" w:styleId="7">
    <w:name w:val="Body Text First Indent"/>
    <w:basedOn w:val="6"/>
    <w:next w:val="8"/>
    <w:qFormat/>
    <w:uiPriority w:val="0"/>
    <w:pPr>
      <w:ind w:firstLine="420" w:firstLineChars="100"/>
    </w:pPr>
    <w:rPr>
      <w:rFonts w:ascii="Calibri" w:hAnsi="Calibri"/>
      <w:sz w:val="21"/>
    </w:rPr>
  </w:style>
  <w:style w:type="paragraph" w:styleId="8">
    <w:name w:val="toc 6"/>
    <w:basedOn w:val="1"/>
    <w:next w:val="1"/>
    <w:qFormat/>
    <w:uiPriority w:val="0"/>
    <w:pPr>
      <w:ind w:left="2100" w:leftChars="1000"/>
    </w:pPr>
    <w:rPr>
      <w:rFonts w:ascii="Calibri" w:hAnsi="Calibri" w:cs="黑体"/>
    </w:rPr>
  </w:style>
  <w:style w:type="paragraph" w:styleId="9">
    <w:name w:val="Body Text Indent 2"/>
    <w:basedOn w:val="1"/>
    <w:qFormat/>
    <w:uiPriority w:val="0"/>
    <w:pPr>
      <w:spacing w:after="120" w:line="480" w:lineRule="auto"/>
      <w:ind w:left="420" w:leftChars="200"/>
    </w:pPr>
    <w:rPr>
      <w:szCs w:val="24"/>
    </w:rPr>
  </w:style>
  <w:style w:type="paragraph" w:styleId="10">
    <w:name w:val="footer"/>
    <w:basedOn w:val="1"/>
    <w:link w:val="19"/>
    <w:unhideWhenUsed/>
    <w:qFormat/>
    <w:uiPriority w:val="99"/>
    <w:pPr>
      <w:tabs>
        <w:tab w:val="center" w:pos="4153"/>
        <w:tab w:val="right" w:pos="8306"/>
      </w:tabs>
      <w:snapToGrid w:val="0"/>
      <w:jc w:val="left"/>
    </w:pPr>
    <w:rPr>
      <w:sz w:val="18"/>
      <w:szCs w:val="18"/>
    </w:rPr>
  </w:style>
  <w:style w:type="paragraph" w:styleId="11">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annotation subject"/>
    <w:basedOn w:val="5"/>
    <w:next w:val="5"/>
    <w:link w:val="25"/>
    <w:semiHidden/>
    <w:unhideWhenUsed/>
    <w:qFormat/>
    <w:uiPriority w:val="99"/>
    <w:rPr>
      <w:b/>
      <w:bCs/>
    </w:rPr>
  </w:style>
  <w:style w:type="table" w:styleId="14">
    <w:name w:val="Table Grid"/>
    <w:basedOn w:val="13"/>
    <w:qFormat/>
    <w:uiPriority w:val="39"/>
    <w:rPr>
      <w:rFonts w:ascii="等线" w:hAnsi="等线" w:eastAsia="等线"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Hyperlink"/>
    <w:basedOn w:val="15"/>
    <w:unhideWhenUsed/>
    <w:qFormat/>
    <w:uiPriority w:val="99"/>
    <w:rPr>
      <w:color w:val="0563C1" w:themeColor="hyperlink"/>
      <w:u w:val="single"/>
      <w14:textFill>
        <w14:solidFill>
          <w14:schemeClr w14:val="hlink"/>
        </w14:solidFill>
      </w14:textFill>
    </w:rPr>
  </w:style>
  <w:style w:type="character" w:styleId="17">
    <w:name w:val="annotation reference"/>
    <w:basedOn w:val="15"/>
    <w:semiHidden/>
    <w:unhideWhenUsed/>
    <w:qFormat/>
    <w:uiPriority w:val="99"/>
    <w:rPr>
      <w:sz w:val="21"/>
      <w:szCs w:val="21"/>
    </w:rPr>
  </w:style>
  <w:style w:type="character" w:customStyle="1" w:styleId="18">
    <w:name w:val="页眉 字符"/>
    <w:basedOn w:val="15"/>
    <w:link w:val="11"/>
    <w:qFormat/>
    <w:uiPriority w:val="99"/>
    <w:rPr>
      <w:sz w:val="18"/>
      <w:szCs w:val="18"/>
    </w:rPr>
  </w:style>
  <w:style w:type="character" w:customStyle="1" w:styleId="19">
    <w:name w:val="页脚 字符"/>
    <w:basedOn w:val="15"/>
    <w:link w:val="10"/>
    <w:qFormat/>
    <w:uiPriority w:val="99"/>
    <w:rPr>
      <w:sz w:val="18"/>
      <w:szCs w:val="18"/>
    </w:rPr>
  </w:style>
  <w:style w:type="character" w:customStyle="1" w:styleId="20">
    <w:name w:val="未处理的提及1"/>
    <w:basedOn w:val="15"/>
    <w:semiHidden/>
    <w:unhideWhenUsed/>
    <w:qFormat/>
    <w:uiPriority w:val="99"/>
    <w:rPr>
      <w:color w:val="605E5C"/>
      <w:shd w:val="clear" w:color="auto" w:fill="E1DFDD"/>
    </w:rPr>
  </w:style>
  <w:style w:type="paragraph" w:customStyle="1" w:styleId="21">
    <w:name w:val="Table Paragraph"/>
    <w:basedOn w:val="1"/>
    <w:qFormat/>
    <w:uiPriority w:val="1"/>
    <w:pPr>
      <w:autoSpaceDE w:val="0"/>
      <w:autoSpaceDN w:val="0"/>
      <w:jc w:val="left"/>
    </w:pPr>
    <w:rPr>
      <w:rFonts w:ascii="宋体" w:hAnsi="宋体" w:cs="宋体"/>
      <w:kern w:val="0"/>
      <w:sz w:val="22"/>
    </w:rPr>
  </w:style>
  <w:style w:type="table" w:customStyle="1" w:styleId="22">
    <w:name w:val="Table Normal"/>
    <w:semiHidden/>
    <w:unhideWhenUsed/>
    <w:qFormat/>
    <w:uiPriority w:val="2"/>
    <w:pPr>
      <w:widowControl w:val="0"/>
    </w:pPr>
    <w:rPr>
      <w:rFonts w:ascii="Calibri" w:hAnsi="Calibri"/>
      <w:sz w:val="22"/>
      <w:szCs w:val="22"/>
      <w:lang w:eastAsia="en-US"/>
    </w:rPr>
    <w:tblPr>
      <w:tblCellMar>
        <w:top w:w="0" w:type="dxa"/>
        <w:left w:w="0" w:type="dxa"/>
        <w:bottom w:w="0" w:type="dxa"/>
        <w:right w:w="0" w:type="dxa"/>
      </w:tblCellMar>
    </w:tblPr>
  </w:style>
  <w:style w:type="paragraph" w:styleId="23">
    <w:name w:val="List Paragraph"/>
    <w:basedOn w:val="1"/>
    <w:qFormat/>
    <w:uiPriority w:val="1"/>
    <w:pPr>
      <w:ind w:firstLine="420" w:firstLineChars="200"/>
    </w:pPr>
  </w:style>
  <w:style w:type="character" w:customStyle="1" w:styleId="24">
    <w:name w:val="批注文字 字符"/>
    <w:basedOn w:val="15"/>
    <w:link w:val="5"/>
    <w:semiHidden/>
    <w:qFormat/>
    <w:uiPriority w:val="99"/>
    <w:rPr>
      <w:kern w:val="2"/>
      <w:sz w:val="21"/>
      <w:szCs w:val="22"/>
    </w:rPr>
  </w:style>
  <w:style w:type="character" w:customStyle="1" w:styleId="25">
    <w:name w:val="批注主题 字符"/>
    <w:basedOn w:val="24"/>
    <w:link w:val="12"/>
    <w:semiHidden/>
    <w:qFormat/>
    <w:uiPriority w:val="99"/>
    <w:rPr>
      <w:b/>
      <w:bCs/>
      <w:kern w:val="2"/>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68267A2-A851-49B8-AE74-CAC0D294FDA4}">
  <ds:schemaRefs/>
</ds:datastoreItem>
</file>

<file path=docProps/app.xml><?xml version="1.0" encoding="utf-8"?>
<Properties xmlns="http://schemas.openxmlformats.org/officeDocument/2006/extended-properties" xmlns:vt="http://schemas.openxmlformats.org/officeDocument/2006/docPropsVTypes">
  <Template>Normal.dotm</Template>
  <Pages>11</Pages>
  <Words>614</Words>
  <Characters>3500</Characters>
  <Lines>29</Lines>
  <Paragraphs>8</Paragraphs>
  <TotalTime>106</TotalTime>
  <ScaleCrop>false</ScaleCrop>
  <LinksUpToDate>false</LinksUpToDate>
  <CharactersWithSpaces>4106</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2021-09-13T06:25:00Z</dcterms:created>
  <dc:creator>秉金 叶</dc:creator>
  <cp:lastModifiedBy>多年以后</cp:lastModifiedBy>
  <cp:lastPrinted>2021-10-25T00:25:20Z</cp:lastPrinted>
  <dcterms:modified xsi:type="dcterms:W3CDTF">2021-10-25T00:25:25Z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