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rPr>
          <w:rFonts w:ascii="宋体" w:hAnsi="宋体"/>
          <w:color w:val="auto"/>
          <w:sz w:val="28"/>
          <w:szCs w:val="28"/>
          <w:highlight w:val="none"/>
        </w:rPr>
      </w:pPr>
      <w:bookmarkStart w:id="0" w:name="_Toc528773690"/>
      <w:bookmarkStart w:id="1" w:name="_Toc13047"/>
      <w:bookmarkStart w:id="2" w:name="_Toc24912"/>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spacing w:line="360" w:lineRule="auto"/>
        <w:ind w:left="8138" w:leftChars="-95" w:right="-395" w:rightChars="-188" w:hanging="8337" w:hangingChars="1654"/>
        <w:jc w:val="center"/>
        <w:rPr>
          <w:rFonts w:hint="eastAsia" w:ascii="黑体" w:hAnsi="宋体" w:eastAsia="黑体"/>
          <w:b/>
          <w:color w:val="auto"/>
          <w:spacing w:val="-9"/>
          <w:sz w:val="52"/>
          <w:szCs w:val="48"/>
          <w:highlight w:val="none"/>
          <w:lang w:eastAsia="zh-CN"/>
        </w:rPr>
      </w:pPr>
      <w:r>
        <w:rPr>
          <w:rFonts w:hint="eastAsia" w:ascii="黑体" w:hAnsi="宋体" w:eastAsia="黑体"/>
          <w:b/>
          <w:color w:val="auto"/>
          <w:spacing w:val="-9"/>
          <w:sz w:val="52"/>
          <w:szCs w:val="48"/>
          <w:highlight w:val="none"/>
          <w:lang w:eastAsia="zh-CN"/>
        </w:rPr>
        <w:t>台州美标水泥有限公司</w:t>
      </w:r>
    </w:p>
    <w:p>
      <w:pPr>
        <w:spacing w:line="360" w:lineRule="auto"/>
        <w:ind w:left="8138" w:leftChars="-95" w:right="-395" w:rightChars="-188" w:hanging="8337" w:hangingChars="1654"/>
        <w:jc w:val="center"/>
        <w:rPr>
          <w:rFonts w:ascii="黑体" w:hAnsi="宋体" w:eastAsia="黑体"/>
          <w:b/>
          <w:color w:val="auto"/>
          <w:spacing w:val="-9"/>
          <w:sz w:val="52"/>
          <w:szCs w:val="48"/>
          <w:highlight w:val="none"/>
        </w:rPr>
      </w:pPr>
      <w:r>
        <w:rPr>
          <w:rFonts w:hint="eastAsia" w:ascii="黑体" w:hAnsi="宋体" w:eastAsia="黑体"/>
          <w:b/>
          <w:color w:val="auto"/>
          <w:spacing w:val="-9"/>
          <w:sz w:val="52"/>
          <w:szCs w:val="48"/>
          <w:highlight w:val="none"/>
          <w:lang w:val="en-US" w:eastAsia="zh-CN"/>
        </w:rPr>
        <w:t>80%</w:t>
      </w:r>
      <w:r>
        <w:rPr>
          <w:rFonts w:hint="eastAsia" w:ascii="黑体" w:hAnsi="宋体" w:eastAsia="黑体"/>
          <w:b/>
          <w:color w:val="auto"/>
          <w:spacing w:val="-9"/>
          <w:sz w:val="52"/>
          <w:szCs w:val="48"/>
          <w:highlight w:val="none"/>
        </w:rPr>
        <w:t>股权</w:t>
      </w:r>
    </w:p>
    <w:p>
      <w:pPr>
        <w:spacing w:line="360" w:lineRule="auto"/>
        <w:ind w:left="8435" w:leftChars="-95" w:right="-395" w:rightChars="-188" w:hanging="8634" w:hangingChars="1654"/>
        <w:jc w:val="center"/>
        <w:rPr>
          <w:rFonts w:ascii="黑体" w:hAnsi="宋体" w:eastAsia="黑体"/>
          <w:b/>
          <w:color w:val="auto"/>
          <w:sz w:val="52"/>
          <w:szCs w:val="48"/>
          <w:highlight w:val="none"/>
        </w:rPr>
      </w:pPr>
    </w:p>
    <w:p>
      <w:pPr>
        <w:spacing w:line="360" w:lineRule="auto"/>
        <w:ind w:firstLine="964"/>
        <w:jc w:val="center"/>
        <w:rPr>
          <w:rFonts w:ascii="黑体" w:hAnsi="宋体" w:eastAsia="黑体"/>
          <w:b/>
          <w:color w:val="auto"/>
          <w:sz w:val="48"/>
          <w:szCs w:val="48"/>
          <w:highlight w:val="none"/>
        </w:rPr>
      </w:pPr>
    </w:p>
    <w:p>
      <w:pPr>
        <w:spacing w:line="360" w:lineRule="auto"/>
        <w:ind w:firstLine="0" w:firstLineChars="0"/>
        <w:jc w:val="center"/>
        <w:rPr>
          <w:rFonts w:ascii="黑体" w:hAnsi="宋体" w:eastAsia="黑体"/>
          <w:b/>
          <w:color w:val="auto"/>
          <w:sz w:val="68"/>
          <w:szCs w:val="68"/>
          <w:highlight w:val="none"/>
        </w:rPr>
      </w:pPr>
      <w:r>
        <w:rPr>
          <w:rFonts w:hint="eastAsia" w:ascii="黑体" w:hAnsi="宋体" w:eastAsia="黑体"/>
          <w:b/>
          <w:color w:val="auto"/>
          <w:sz w:val="68"/>
          <w:szCs w:val="68"/>
          <w:highlight w:val="none"/>
        </w:rPr>
        <w:t>转 让 文 件</w:t>
      </w:r>
    </w:p>
    <w:p>
      <w:pPr>
        <w:spacing w:line="360" w:lineRule="auto"/>
        <w:ind w:firstLine="643"/>
        <w:jc w:val="center"/>
        <w:rPr>
          <w:rFonts w:ascii="黑体" w:hAnsi="宋体" w:eastAsia="黑体"/>
          <w:b/>
          <w:color w:val="auto"/>
          <w:sz w:val="32"/>
          <w:szCs w:val="32"/>
          <w:highlight w:val="none"/>
        </w:rPr>
      </w:pPr>
    </w:p>
    <w:p>
      <w:pPr>
        <w:spacing w:line="360" w:lineRule="auto"/>
        <w:ind w:firstLine="0" w:firstLineChars="0"/>
        <w:jc w:val="center"/>
        <w:rPr>
          <w:rFonts w:ascii="黑体" w:hAnsi="宋体" w:eastAsia="黑体"/>
          <w:b/>
          <w:color w:val="auto"/>
          <w:sz w:val="32"/>
          <w:szCs w:val="32"/>
          <w:highlight w:val="none"/>
        </w:rPr>
      </w:pPr>
      <w:r>
        <w:rPr>
          <w:rFonts w:hint="eastAsia" w:ascii="黑体" w:hAnsi="宋体" w:eastAsia="黑体"/>
          <w:b/>
          <w:color w:val="auto"/>
          <w:sz w:val="32"/>
          <w:szCs w:val="32"/>
          <w:highlight w:val="none"/>
        </w:rPr>
        <w:t>台交所挂〔</w:t>
      </w:r>
      <w:r>
        <w:rPr>
          <w:rFonts w:hint="eastAsia" w:ascii="黑体" w:hAnsi="宋体" w:eastAsia="黑体"/>
          <w:b/>
          <w:color w:val="auto"/>
          <w:sz w:val="32"/>
          <w:szCs w:val="32"/>
          <w:highlight w:val="none"/>
          <w:lang w:val="en-US" w:eastAsia="zh-CN"/>
        </w:rPr>
        <w:t>2021</w:t>
      </w:r>
      <w:r>
        <w:rPr>
          <w:rFonts w:hint="eastAsia" w:ascii="黑体" w:hAnsi="宋体" w:eastAsia="黑体"/>
          <w:b/>
          <w:color w:val="auto"/>
          <w:sz w:val="32"/>
          <w:szCs w:val="32"/>
          <w:highlight w:val="none"/>
        </w:rPr>
        <w:t>〕</w:t>
      </w:r>
      <w:r>
        <w:rPr>
          <w:rFonts w:hint="eastAsia" w:ascii="黑体" w:hAnsi="宋体" w:eastAsia="黑体"/>
          <w:b/>
          <w:color w:val="auto"/>
          <w:sz w:val="32"/>
          <w:szCs w:val="32"/>
          <w:highlight w:val="none"/>
          <w:lang w:val="en-US" w:eastAsia="zh-CN"/>
        </w:rPr>
        <w:t>22</w:t>
      </w:r>
      <w:r>
        <w:rPr>
          <w:rFonts w:hint="eastAsia" w:ascii="黑体" w:hAnsi="宋体" w:eastAsia="黑体"/>
          <w:b/>
          <w:color w:val="auto"/>
          <w:sz w:val="32"/>
          <w:szCs w:val="32"/>
          <w:highlight w:val="none"/>
        </w:rPr>
        <w:t>号</w:t>
      </w:r>
    </w:p>
    <w:p>
      <w:pPr>
        <w:spacing w:line="360" w:lineRule="auto"/>
        <w:ind w:firstLine="1365"/>
        <w:jc w:val="center"/>
        <w:rPr>
          <w:rFonts w:ascii="黑体" w:hAnsi="宋体" w:eastAsia="黑体"/>
          <w:b/>
          <w:color w:val="auto"/>
          <w:sz w:val="68"/>
          <w:szCs w:val="68"/>
          <w:highlight w:val="none"/>
        </w:rPr>
      </w:pPr>
    </w:p>
    <w:p>
      <w:pPr>
        <w:spacing w:line="360" w:lineRule="auto"/>
        <w:ind w:firstLine="560"/>
        <w:rPr>
          <w:rFonts w:ascii="宋体" w:hAnsi="宋体"/>
          <w:color w:val="auto"/>
          <w:sz w:val="28"/>
          <w:szCs w:val="28"/>
          <w:highlight w:val="none"/>
        </w:rPr>
      </w:pPr>
    </w:p>
    <w:p>
      <w:pPr>
        <w:ind w:firstLine="0" w:firstLineChars="0"/>
        <w:rPr>
          <w:rFonts w:ascii="宋体" w:hAnsi="宋体"/>
          <w:color w:val="auto"/>
          <w:sz w:val="28"/>
          <w:szCs w:val="28"/>
          <w:highlight w:val="none"/>
        </w:rPr>
      </w:pPr>
    </w:p>
    <w:p>
      <w:pPr>
        <w:ind w:firstLine="560"/>
        <w:rPr>
          <w:rFonts w:ascii="宋体" w:hAnsi="宋体"/>
          <w:color w:val="auto"/>
          <w:sz w:val="28"/>
          <w:szCs w:val="28"/>
          <w:highlight w:val="none"/>
        </w:rPr>
      </w:pPr>
    </w:p>
    <w:p>
      <w:pPr>
        <w:ind w:left="0" w:leftChars="0" w:right="-693" w:rightChars="-330" w:firstLine="0" w:firstLineChars="0"/>
        <w:rPr>
          <w:rFonts w:ascii="宋体" w:hAnsi="宋体"/>
          <w:color w:val="auto"/>
          <w:sz w:val="28"/>
          <w:szCs w:val="28"/>
          <w:highlight w:val="none"/>
        </w:rPr>
      </w:pPr>
    </w:p>
    <w:p>
      <w:pPr>
        <w:ind w:left="-540" w:leftChars="-257" w:right="-693" w:rightChars="-330" w:firstLine="560"/>
        <w:rPr>
          <w:rFonts w:ascii="宋体" w:hAnsi="宋体"/>
          <w:color w:val="auto"/>
          <w:sz w:val="28"/>
          <w:szCs w:val="28"/>
          <w:highlight w:val="none"/>
        </w:rPr>
      </w:pPr>
    </w:p>
    <w:p>
      <w:pPr>
        <w:ind w:left="-540" w:leftChars="-257" w:right="-693" w:rightChars="-330" w:firstLine="560"/>
        <w:rPr>
          <w:rFonts w:ascii="宋体" w:hAnsi="宋体"/>
          <w:color w:val="auto"/>
          <w:sz w:val="28"/>
          <w:szCs w:val="28"/>
          <w:highlight w:val="none"/>
        </w:rPr>
      </w:pPr>
    </w:p>
    <w:p>
      <w:pPr>
        <w:ind w:firstLine="0" w:firstLineChars="0"/>
        <w:rPr>
          <w:rFonts w:ascii="宋体" w:hAnsi="宋体"/>
          <w:b/>
          <w:color w:val="auto"/>
          <w:sz w:val="18"/>
          <w:szCs w:val="18"/>
          <w:highlight w:val="none"/>
        </w:rPr>
      </w:pPr>
      <w:r>
        <w:rPr>
          <w:rFonts w:hint="eastAsia" w:ascii="宋体" w:hAnsi="宋体"/>
          <w:b/>
          <w:color w:val="auto"/>
          <w:sz w:val="18"/>
          <w:szCs w:val="18"/>
          <w:highlight w:val="none"/>
        </w:rPr>
        <w:t>◎台州市产权交易所有限公司◎地址：台州市市府大道777号民泰银行5楼511室◎电话：88685177 88685180◎网址：www.tzpre.com</w:t>
      </w:r>
    </w:p>
    <w:p>
      <w:pPr>
        <w:spacing w:line="720" w:lineRule="auto"/>
        <w:ind w:firstLine="562"/>
        <w:jc w:val="center"/>
        <w:rPr>
          <w:rFonts w:ascii="宋体" w:hAnsi="宋体"/>
          <w:b/>
          <w:bCs/>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701" w:left="1587" w:header="851" w:footer="992" w:gutter="0"/>
          <w:pgNumType w:fmt="numberInDash"/>
          <w:cols w:space="720" w:num="1"/>
          <w:docGrid w:type="lines" w:linePitch="312" w:charSpace="0"/>
        </w:sectPr>
      </w:pPr>
    </w:p>
    <w:p>
      <w:pPr>
        <w:spacing w:line="720" w:lineRule="auto"/>
        <w:ind w:firstLine="0" w:firstLineChars="0"/>
        <w:jc w:val="center"/>
        <w:rPr>
          <w:rFonts w:ascii="黑体" w:hAnsi="宋体" w:eastAsia="黑体"/>
          <w:b/>
          <w:bCs/>
          <w:color w:val="auto"/>
          <w:sz w:val="84"/>
          <w:highlight w:val="none"/>
        </w:rPr>
      </w:pPr>
      <w:r>
        <w:rPr>
          <w:rFonts w:hint="eastAsia" w:ascii="黑体" w:hAnsi="宋体" w:eastAsia="黑体"/>
          <w:b/>
          <w:bCs/>
          <w:color w:val="auto"/>
          <w:sz w:val="84"/>
          <w:highlight w:val="none"/>
        </w:rPr>
        <w:t>目　</w:t>
      </w:r>
      <w:r>
        <w:rPr>
          <w:rFonts w:ascii="黑体" w:hAnsi="宋体" w:eastAsia="黑体"/>
          <w:b/>
          <w:bCs/>
          <w:color w:val="auto"/>
          <w:sz w:val="84"/>
          <w:highlight w:val="none"/>
        </w:rPr>
        <w:t xml:space="preserve"> 录</w:t>
      </w:r>
    </w:p>
    <w:p>
      <w:pPr>
        <w:spacing w:line="60" w:lineRule="auto"/>
        <w:ind w:firstLine="0" w:firstLineChars="0"/>
        <w:jc w:val="center"/>
        <w:rPr>
          <w:rFonts w:hint="eastAsia" w:ascii="宋体" w:hAnsi="宋体"/>
          <w:b/>
          <w:color w:val="auto"/>
          <w:sz w:val="40"/>
          <w:szCs w:val="32"/>
          <w:highlight w:val="none"/>
        </w:rPr>
      </w:pPr>
      <w:r>
        <w:rPr>
          <w:rFonts w:hint="eastAsia" w:ascii="宋体" w:hAnsi="宋体"/>
          <w:b/>
          <w:color w:val="auto"/>
          <w:sz w:val="40"/>
          <w:szCs w:val="32"/>
          <w:highlight w:val="none"/>
          <w:lang w:val="en-US" w:eastAsia="zh-CN"/>
        </w:rPr>
        <w:t>台州美标水泥有限公司80%</w:t>
      </w:r>
      <w:r>
        <w:rPr>
          <w:rFonts w:hint="eastAsia" w:ascii="宋体" w:hAnsi="宋体"/>
          <w:b/>
          <w:color w:val="auto"/>
          <w:sz w:val="40"/>
          <w:szCs w:val="32"/>
          <w:highlight w:val="none"/>
        </w:rPr>
        <w:t>股权</w:t>
      </w:r>
    </w:p>
    <w:p>
      <w:pPr>
        <w:spacing w:line="60" w:lineRule="auto"/>
        <w:ind w:firstLine="0" w:firstLineChars="0"/>
        <w:jc w:val="center"/>
        <w:rPr>
          <w:rFonts w:hint="eastAsia" w:ascii="宋体" w:hAnsi="宋体" w:eastAsia="宋体"/>
          <w:b/>
          <w:bCs w:val="0"/>
          <w:color w:val="auto"/>
          <w:spacing w:val="0"/>
          <w:sz w:val="40"/>
          <w:szCs w:val="32"/>
          <w:highlight w:val="none"/>
        </w:rPr>
      </w:pPr>
      <w:r>
        <w:rPr>
          <w:rFonts w:hint="eastAsia" w:ascii="宋体" w:hAnsi="宋体" w:eastAsia="宋体"/>
          <w:b/>
          <w:bCs w:val="0"/>
          <w:color w:val="auto"/>
          <w:spacing w:val="0"/>
          <w:sz w:val="40"/>
          <w:szCs w:val="32"/>
          <w:highlight w:val="none"/>
        </w:rPr>
        <w:t>转让文件</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b/>
          <w:bCs/>
          <w:color w:val="auto"/>
          <w:sz w:val="32"/>
          <w:szCs w:val="32"/>
          <w:highlight w:val="none"/>
        </w:rPr>
      </w:pP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color w:val="auto"/>
          <w:sz w:val="32"/>
          <w:szCs w:val="32"/>
          <w:highlight w:val="none"/>
        </w:rPr>
      </w:pPr>
      <w:r>
        <w:rPr>
          <w:b/>
          <w:bCs/>
          <w:color w:val="auto"/>
          <w:sz w:val="32"/>
          <w:szCs w:val="32"/>
          <w:highlight w:val="none"/>
        </w:rPr>
        <w:fldChar w:fldCharType="begin"/>
      </w:r>
      <w:r>
        <w:rPr>
          <w:b/>
          <w:bCs/>
          <w:color w:val="auto"/>
          <w:sz w:val="32"/>
          <w:szCs w:val="32"/>
          <w:highlight w:val="none"/>
        </w:rPr>
        <w:instrText xml:space="preserve"> TOC \o "1-3" \h \z \u </w:instrText>
      </w:r>
      <w:r>
        <w:rPr>
          <w:b/>
          <w:bCs/>
          <w:color w:val="auto"/>
          <w:sz w:val="32"/>
          <w:szCs w:val="32"/>
          <w:highlight w:val="none"/>
        </w:rPr>
        <w:fldChar w:fldCharType="separate"/>
      </w:r>
      <w:r>
        <w:rPr>
          <w:color w:val="auto"/>
          <w:sz w:val="32"/>
          <w:szCs w:val="32"/>
          <w:highlight w:val="none"/>
        </w:rPr>
        <w:fldChar w:fldCharType="begin"/>
      </w:r>
      <w:r>
        <w:rPr>
          <w:color w:val="auto"/>
          <w:sz w:val="32"/>
          <w:szCs w:val="32"/>
          <w:highlight w:val="none"/>
        </w:rPr>
        <w:instrText xml:space="preserve"> HYPERLINK \l "_Toc24912" </w:instrText>
      </w:r>
      <w:r>
        <w:rPr>
          <w:color w:val="auto"/>
          <w:sz w:val="32"/>
          <w:szCs w:val="32"/>
          <w:highlight w:val="none"/>
        </w:rPr>
        <w:fldChar w:fldCharType="separate"/>
      </w:r>
      <w:r>
        <w:rPr>
          <w:rFonts w:hint="eastAsia"/>
          <w:color w:val="auto"/>
          <w:sz w:val="32"/>
          <w:szCs w:val="32"/>
          <w:highlight w:val="none"/>
        </w:rPr>
        <w:t>股权转让公告</w:t>
      </w:r>
      <w:r>
        <w:rPr>
          <w:color w:val="auto"/>
          <w:sz w:val="32"/>
          <w:szCs w:val="32"/>
          <w:highlight w:val="none"/>
        </w:rPr>
        <w:tab/>
      </w:r>
      <w:r>
        <w:rPr>
          <w:rFonts w:hint="eastAsia"/>
          <w:color w:val="auto"/>
          <w:sz w:val="32"/>
          <w:szCs w:val="32"/>
          <w:highlight w:val="none"/>
          <w:lang w:val="en-US" w:eastAsia="zh-CN"/>
        </w:rPr>
        <w:t>3</w:t>
      </w:r>
      <w:r>
        <w:rPr>
          <w:color w:val="auto"/>
          <w:sz w:val="32"/>
          <w:szCs w:val="32"/>
          <w:highlight w:val="none"/>
        </w:rPr>
        <w:fldChar w:fldCharType="end"/>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color w:val="auto"/>
          <w:sz w:val="32"/>
          <w:szCs w:val="32"/>
          <w:highlight w:val="none"/>
        </w:rPr>
      </w:pPr>
      <w:r>
        <w:rPr>
          <w:color w:val="auto"/>
          <w:sz w:val="32"/>
          <w:szCs w:val="32"/>
          <w:highlight w:val="none"/>
        </w:rPr>
        <w:fldChar w:fldCharType="begin"/>
      </w:r>
      <w:r>
        <w:rPr>
          <w:color w:val="auto"/>
          <w:sz w:val="32"/>
          <w:szCs w:val="32"/>
          <w:highlight w:val="none"/>
        </w:rPr>
        <w:instrText xml:space="preserve"> HYPERLINK \l "_Toc14112" </w:instrText>
      </w:r>
      <w:r>
        <w:rPr>
          <w:color w:val="auto"/>
          <w:sz w:val="32"/>
          <w:szCs w:val="32"/>
          <w:highlight w:val="none"/>
        </w:rPr>
        <w:fldChar w:fldCharType="separate"/>
      </w:r>
      <w:r>
        <w:rPr>
          <w:rFonts w:hint="eastAsia"/>
          <w:color w:val="auto"/>
          <w:sz w:val="32"/>
          <w:szCs w:val="32"/>
          <w:highlight w:val="none"/>
        </w:rPr>
        <w:t>转让须知</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_Toc14112 </w:instrText>
      </w:r>
      <w:r>
        <w:rPr>
          <w:color w:val="auto"/>
          <w:sz w:val="32"/>
          <w:szCs w:val="32"/>
          <w:highlight w:val="none"/>
        </w:rPr>
        <w:fldChar w:fldCharType="separate"/>
      </w:r>
      <w:r>
        <w:rPr>
          <w:color w:val="auto"/>
          <w:sz w:val="32"/>
          <w:szCs w:val="32"/>
          <w:highlight w:val="none"/>
        </w:rPr>
        <w:t>- 5 -</w:t>
      </w:r>
      <w:r>
        <w:rPr>
          <w:color w:val="auto"/>
          <w:sz w:val="32"/>
          <w:szCs w:val="32"/>
          <w:highlight w:val="none"/>
        </w:rPr>
        <w:fldChar w:fldCharType="end"/>
      </w:r>
      <w:r>
        <w:rPr>
          <w:color w:val="auto"/>
          <w:sz w:val="32"/>
          <w:szCs w:val="32"/>
          <w:highlight w:val="none"/>
        </w:rPr>
        <w:fldChar w:fldCharType="end"/>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eastAsia" w:eastAsia="宋体"/>
          <w:color w:val="auto"/>
          <w:sz w:val="32"/>
          <w:szCs w:val="32"/>
          <w:highlight w:val="none"/>
          <w:lang w:eastAsia="zh-CN"/>
        </w:rPr>
      </w:pPr>
      <w:r>
        <w:rPr>
          <w:color w:val="auto"/>
          <w:sz w:val="32"/>
          <w:szCs w:val="32"/>
          <w:highlight w:val="none"/>
        </w:rPr>
        <w:fldChar w:fldCharType="begin"/>
      </w:r>
      <w:r>
        <w:rPr>
          <w:color w:val="auto"/>
          <w:sz w:val="32"/>
          <w:szCs w:val="32"/>
          <w:highlight w:val="none"/>
        </w:rPr>
        <w:instrText xml:space="preserve"> HYPERLINK \l "_Toc6233" </w:instrText>
      </w:r>
      <w:r>
        <w:rPr>
          <w:color w:val="auto"/>
          <w:sz w:val="32"/>
          <w:szCs w:val="32"/>
          <w:highlight w:val="none"/>
        </w:rPr>
        <w:fldChar w:fldCharType="separate"/>
      </w:r>
      <w:r>
        <w:rPr>
          <w:rFonts w:hint="eastAsia"/>
          <w:color w:val="auto"/>
          <w:sz w:val="32"/>
          <w:szCs w:val="32"/>
          <w:highlight w:val="none"/>
        </w:rPr>
        <w:t>竞买申请书</w:t>
      </w:r>
      <w:r>
        <w:rPr>
          <w:color w:val="auto"/>
          <w:sz w:val="32"/>
          <w:szCs w:val="32"/>
          <w:highlight w:val="none"/>
        </w:rPr>
        <w:tab/>
      </w:r>
      <w:r>
        <w:rPr>
          <w:rFonts w:hint="eastAsia"/>
          <w:color w:val="auto"/>
          <w:sz w:val="32"/>
          <w:szCs w:val="32"/>
          <w:highlight w:val="none"/>
        </w:rPr>
        <w:t>1</w:t>
      </w:r>
      <w:r>
        <w:rPr>
          <w:rFonts w:hint="eastAsia"/>
          <w:color w:val="auto"/>
          <w:sz w:val="32"/>
          <w:szCs w:val="32"/>
          <w:highlight w:val="none"/>
        </w:rPr>
        <w:fldChar w:fldCharType="end"/>
      </w:r>
      <w:r>
        <w:rPr>
          <w:rFonts w:hint="eastAsia"/>
          <w:bCs/>
          <w:color w:val="auto"/>
          <w:sz w:val="32"/>
          <w:szCs w:val="32"/>
          <w:highlight w:val="none"/>
          <w:lang w:val="en-US" w:eastAsia="zh-CN"/>
        </w:rPr>
        <w:t>2</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"_Toc30560" </w:instrText>
      </w:r>
      <w:r>
        <w:rPr>
          <w:color w:val="auto"/>
          <w:sz w:val="32"/>
          <w:szCs w:val="32"/>
          <w:highlight w:val="none"/>
        </w:rPr>
        <w:fldChar w:fldCharType="separate"/>
      </w:r>
      <w:r>
        <w:rPr>
          <w:rFonts w:hint="eastAsia"/>
          <w:color w:val="auto"/>
          <w:sz w:val="32"/>
          <w:szCs w:val="32"/>
          <w:highlight w:val="none"/>
        </w:rPr>
        <w:t>竞买人承诺函</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13</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"_Toc4653" </w:instrText>
      </w:r>
      <w:r>
        <w:rPr>
          <w:color w:val="auto"/>
          <w:sz w:val="32"/>
          <w:szCs w:val="32"/>
          <w:highlight w:val="none"/>
        </w:rPr>
        <w:fldChar w:fldCharType="separate"/>
      </w:r>
      <w:r>
        <w:rPr>
          <w:rFonts w:hint="eastAsia"/>
          <w:color w:val="auto"/>
          <w:sz w:val="32"/>
          <w:szCs w:val="32"/>
          <w:highlight w:val="none"/>
        </w:rPr>
        <w:t>成交确认书</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15</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"_Toc6735" </w:instrText>
      </w:r>
      <w:r>
        <w:rPr>
          <w:color w:val="auto"/>
          <w:sz w:val="32"/>
          <w:szCs w:val="32"/>
          <w:highlight w:val="none"/>
        </w:rPr>
        <w:fldChar w:fldCharType="separate"/>
      </w:r>
      <w:r>
        <w:rPr>
          <w:rFonts w:hint="eastAsia"/>
          <w:color w:val="auto"/>
          <w:sz w:val="32"/>
          <w:szCs w:val="32"/>
          <w:highlight w:val="none"/>
        </w:rPr>
        <w:t>转让合同</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17</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"_Toc14269" </w:instrText>
      </w:r>
      <w:r>
        <w:rPr>
          <w:color w:val="auto"/>
          <w:sz w:val="32"/>
          <w:szCs w:val="32"/>
          <w:highlight w:val="none"/>
        </w:rPr>
        <w:fldChar w:fldCharType="separate"/>
      </w:r>
      <w:r>
        <w:rPr>
          <w:rFonts w:hint="eastAsia"/>
          <w:color w:val="auto"/>
          <w:sz w:val="32"/>
          <w:szCs w:val="32"/>
          <w:highlight w:val="none"/>
        </w:rPr>
        <w:t>转让股权相关信息</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25</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"_Toc16293" </w:instrText>
      </w:r>
      <w:r>
        <w:rPr>
          <w:color w:val="auto"/>
          <w:sz w:val="32"/>
          <w:szCs w:val="32"/>
          <w:highlight w:val="none"/>
        </w:rPr>
        <w:fldChar w:fldCharType="separate"/>
      </w:r>
      <w:r>
        <w:rPr>
          <w:rFonts w:hint="eastAsia"/>
          <w:color w:val="auto"/>
          <w:sz w:val="32"/>
          <w:szCs w:val="32"/>
          <w:highlight w:val="none"/>
        </w:rPr>
        <w:t>台州市产权交易所有限公司简介</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28</w:t>
      </w:r>
    </w:p>
    <w:p>
      <w:pPr>
        <w:spacing w:before="312" w:beforeLines="100" w:after="312" w:afterLines="100" w:line="480" w:lineRule="auto"/>
        <w:ind w:left="0" w:leftChars="0" w:firstLine="0" w:firstLineChars="0"/>
        <w:rPr>
          <w:rFonts w:hint="default" w:eastAsia="宋体"/>
          <w:color w:val="auto"/>
          <w:sz w:val="32"/>
          <w:szCs w:val="32"/>
          <w:highlight w:val="none"/>
          <w:lang w:val="en-US" w:eastAsia="zh-CN"/>
        </w:rPr>
      </w:pPr>
      <w:r>
        <w:rPr>
          <w:bCs/>
          <w:color w:val="auto"/>
          <w:sz w:val="32"/>
          <w:szCs w:val="32"/>
          <w:highlight w:val="none"/>
          <w:lang w:val="zh-CN"/>
        </w:rPr>
        <w:fldChar w:fldCharType="end"/>
      </w:r>
      <w:r>
        <w:rPr>
          <w:rFonts w:hint="eastAsia"/>
          <w:bCs/>
          <w:color w:val="auto"/>
          <w:sz w:val="32"/>
          <w:szCs w:val="32"/>
          <w:highlight w:val="none"/>
          <w:lang w:val="en-US" w:eastAsia="zh-CN"/>
        </w:rPr>
        <w:t>附件.................................................................................................29</w:t>
      </w:r>
    </w:p>
    <w:p>
      <w:pPr>
        <w:ind w:firstLine="562"/>
        <w:rPr>
          <w:rFonts w:ascii="宋体" w:hAnsi="宋体"/>
          <w:b/>
          <w:bCs/>
          <w:color w:val="auto"/>
          <w:sz w:val="28"/>
          <w:szCs w:val="28"/>
          <w:highlight w:val="none"/>
        </w:rPr>
      </w:pPr>
    </w:p>
    <w:p>
      <w:pPr>
        <w:ind w:firstLine="562"/>
        <w:jc w:val="center"/>
        <w:rPr>
          <w:rFonts w:ascii="宋体" w:hAnsi="宋体"/>
          <w:b/>
          <w:color w:val="auto"/>
          <w:sz w:val="28"/>
          <w:szCs w:val="28"/>
          <w:highlight w:val="none"/>
        </w:rPr>
        <w:sectPr>
          <w:footerReference r:id="rId9" w:type="default"/>
          <w:pgSz w:w="11906" w:h="16838"/>
          <w:pgMar w:top="1440" w:right="1531" w:bottom="1327" w:left="1531" w:header="851" w:footer="992" w:gutter="0"/>
          <w:pgNumType w:fmt="numberInDash"/>
          <w:cols w:space="720" w:num="1"/>
          <w:docGrid w:type="lines" w:linePitch="312" w:charSpace="0"/>
        </w:sectPr>
      </w:pPr>
    </w:p>
    <w:p>
      <w:pPr>
        <w:keepNext/>
        <w:keepLines/>
        <w:widowControl w:val="0"/>
        <w:spacing w:before="100" w:beforeAutospacing="1" w:after="100" w:afterAutospacing="1" w:line="360" w:lineRule="auto"/>
        <w:ind w:firstLine="0" w:firstLineChars="0"/>
        <w:jc w:val="center"/>
        <w:outlineLvl w:val="0"/>
        <w:rPr>
          <w:rFonts w:ascii="Calibri" w:hAnsi="Calibri" w:eastAsia="宋体" w:cs="Times New Roman"/>
          <w:b/>
          <w:bCs/>
          <w:color w:val="auto"/>
          <w:kern w:val="44"/>
          <w:sz w:val="36"/>
          <w:szCs w:val="44"/>
          <w:highlight w:val="none"/>
          <w:lang w:val="en-US" w:eastAsia="zh-CN" w:bidi="ar-SA"/>
        </w:rPr>
      </w:pPr>
      <w:r>
        <w:rPr>
          <w:rFonts w:hint="eastAsia" w:ascii="Calibri" w:hAnsi="Calibri" w:eastAsia="宋体" w:cs="Times New Roman"/>
          <w:b/>
          <w:bCs/>
          <w:color w:val="auto"/>
          <w:kern w:val="44"/>
          <w:sz w:val="36"/>
          <w:szCs w:val="44"/>
          <w:highlight w:val="none"/>
          <w:lang w:val="en-US" w:eastAsia="zh-CN" w:bidi="ar-SA"/>
        </w:rPr>
        <w:t>股权转让公告</w:t>
      </w:r>
      <w:bookmarkEnd w:id="0"/>
      <w:bookmarkEnd w:id="1"/>
      <w:bookmarkEnd w:id="2"/>
    </w:p>
    <w:p>
      <w:pPr>
        <w:spacing w:line="360" w:lineRule="auto"/>
        <w:ind w:firstLine="0" w:firstLineChars="0"/>
        <w:jc w:val="center"/>
        <w:rPr>
          <w:rFonts w:ascii="宋体" w:hAnsi="宋体"/>
          <w:bCs/>
          <w:color w:val="auto"/>
          <w:sz w:val="28"/>
          <w:szCs w:val="28"/>
          <w:highlight w:val="none"/>
        </w:rPr>
      </w:pPr>
      <w:r>
        <w:rPr>
          <w:rFonts w:hint="eastAsia" w:ascii="宋体" w:hAnsi="宋体"/>
          <w:bCs/>
          <w:color w:val="auto"/>
          <w:sz w:val="28"/>
          <w:szCs w:val="28"/>
          <w:highlight w:val="none"/>
        </w:rPr>
        <w:t>台交所挂〔</w:t>
      </w:r>
      <w:r>
        <w:rPr>
          <w:rFonts w:hint="eastAsia" w:ascii="宋体" w:hAnsi="宋体"/>
          <w:bCs/>
          <w:color w:val="auto"/>
          <w:sz w:val="28"/>
          <w:szCs w:val="28"/>
          <w:highlight w:val="none"/>
          <w:lang w:val="en-US" w:eastAsia="zh-CN"/>
        </w:rPr>
        <w:t>2021</w:t>
      </w:r>
      <w:r>
        <w:rPr>
          <w:rFonts w:hint="eastAsia" w:ascii="宋体" w:hAnsi="宋体"/>
          <w:bCs/>
          <w:color w:val="auto"/>
          <w:sz w:val="28"/>
          <w:szCs w:val="28"/>
          <w:highlight w:val="none"/>
        </w:rPr>
        <w:t>〕</w:t>
      </w:r>
      <w:r>
        <w:rPr>
          <w:rFonts w:hint="eastAsia" w:ascii="宋体" w:hAnsi="宋体"/>
          <w:bCs/>
          <w:color w:val="auto"/>
          <w:sz w:val="28"/>
          <w:szCs w:val="28"/>
          <w:highlight w:val="none"/>
          <w:lang w:val="en-US" w:eastAsia="zh-CN"/>
        </w:rPr>
        <w:t>22</w:t>
      </w:r>
      <w:r>
        <w:rPr>
          <w:rFonts w:hint="eastAsia" w:ascii="宋体" w:hAnsi="宋体"/>
          <w:bCs/>
          <w:color w:val="auto"/>
          <w:sz w:val="28"/>
          <w:szCs w:val="28"/>
          <w:highlight w:val="none"/>
        </w:rPr>
        <w:t>号</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受有关单位委托，台州市产权交易所有限公司（以下简称产交所）对</w:t>
      </w:r>
      <w:bookmarkStart w:id="3" w:name="_Hlk527011094"/>
      <w:bookmarkStart w:id="4" w:name="_Hlk526956940"/>
      <w:r>
        <w:rPr>
          <w:rFonts w:hint="eastAsia" w:ascii="宋体" w:hAnsi="宋体"/>
          <w:color w:val="auto"/>
          <w:sz w:val="28"/>
          <w:szCs w:val="28"/>
          <w:highlight w:val="none"/>
        </w:rPr>
        <w:t>玉环市国有资产投资经营集团有限公司持有的</w:t>
      </w:r>
      <w:bookmarkEnd w:id="3"/>
      <w:bookmarkEnd w:id="4"/>
      <w:r>
        <w:rPr>
          <w:rFonts w:hint="eastAsia" w:ascii="宋体" w:hAnsi="宋体"/>
          <w:color w:val="auto"/>
          <w:sz w:val="28"/>
          <w:szCs w:val="28"/>
          <w:highlight w:val="none"/>
          <w:lang w:eastAsia="zh-CN"/>
        </w:rPr>
        <w:t>台州美标水泥有限公司（</w:t>
      </w:r>
      <w:r>
        <w:rPr>
          <w:rFonts w:hint="eastAsia" w:ascii="宋体" w:hAnsi="宋体"/>
          <w:color w:val="auto"/>
          <w:sz w:val="28"/>
          <w:szCs w:val="28"/>
          <w:highlight w:val="none"/>
          <w:lang w:val="en-US" w:eastAsia="zh-CN"/>
        </w:rPr>
        <w:t>以下简称美标公司</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80%</w:t>
      </w:r>
      <w:r>
        <w:rPr>
          <w:rFonts w:hint="eastAsia" w:ascii="宋体" w:hAnsi="宋体"/>
          <w:color w:val="auto"/>
          <w:sz w:val="28"/>
          <w:szCs w:val="28"/>
          <w:highlight w:val="none"/>
        </w:rPr>
        <w:t>股权进行公开转让，具体事宜公告如下：</w:t>
      </w:r>
    </w:p>
    <w:p>
      <w:pPr>
        <w:numPr>
          <w:ilvl w:val="0"/>
          <w:numId w:val="1"/>
        </w:numPr>
        <w:spacing w:line="360" w:lineRule="auto"/>
        <w:ind w:left="0" w:firstLine="562"/>
        <w:jc w:val="left"/>
        <w:rPr>
          <w:rFonts w:ascii="宋体" w:hAnsi="宋体"/>
          <w:b/>
          <w:color w:val="auto"/>
          <w:sz w:val="28"/>
          <w:szCs w:val="28"/>
          <w:highlight w:val="none"/>
        </w:rPr>
      </w:pPr>
      <w:r>
        <w:rPr>
          <w:rFonts w:hint="eastAsia" w:ascii="宋体" w:hAnsi="宋体"/>
          <w:b/>
          <w:color w:val="auto"/>
          <w:sz w:val="28"/>
          <w:szCs w:val="28"/>
          <w:highlight w:val="none"/>
        </w:rPr>
        <w:t>转让标的、底价及保证金</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本次转让标的为</w:t>
      </w:r>
      <w:r>
        <w:rPr>
          <w:rFonts w:hint="eastAsia" w:ascii="宋体" w:hAnsi="宋体"/>
          <w:color w:val="auto"/>
          <w:sz w:val="28"/>
          <w:szCs w:val="28"/>
          <w:highlight w:val="none"/>
          <w:lang w:eastAsia="zh-CN"/>
        </w:rPr>
        <w:t>玉</w:t>
      </w:r>
      <w:r>
        <w:rPr>
          <w:rFonts w:hint="eastAsia" w:ascii="宋体" w:hAnsi="宋体"/>
          <w:color w:val="auto"/>
          <w:sz w:val="28"/>
          <w:szCs w:val="28"/>
          <w:highlight w:val="none"/>
        </w:rPr>
        <w:t>环市国有资产投资经营集团有限公司持有的</w:t>
      </w:r>
      <w:r>
        <w:rPr>
          <w:rFonts w:hint="eastAsia" w:ascii="宋体" w:hAnsi="宋体"/>
          <w:color w:val="auto"/>
          <w:sz w:val="28"/>
          <w:szCs w:val="28"/>
          <w:highlight w:val="none"/>
          <w:lang w:eastAsia="zh-CN"/>
        </w:rPr>
        <w:t>台州美标水泥有限公司</w:t>
      </w:r>
      <w:r>
        <w:rPr>
          <w:rFonts w:hint="eastAsia" w:ascii="宋体" w:hAnsi="宋体"/>
          <w:color w:val="auto"/>
          <w:sz w:val="28"/>
          <w:szCs w:val="28"/>
          <w:highlight w:val="none"/>
          <w:lang w:val="en-US" w:eastAsia="zh-CN"/>
        </w:rPr>
        <w:t>80%</w:t>
      </w:r>
      <w:r>
        <w:rPr>
          <w:rFonts w:hint="eastAsia" w:ascii="宋体" w:hAnsi="宋体"/>
          <w:color w:val="auto"/>
          <w:sz w:val="28"/>
          <w:szCs w:val="28"/>
          <w:highlight w:val="none"/>
        </w:rPr>
        <w:t>股权，转让底价</w:t>
      </w:r>
      <w:r>
        <w:rPr>
          <w:rFonts w:hint="eastAsia" w:ascii="宋体" w:hAnsi="宋体"/>
          <w:color w:val="auto"/>
          <w:sz w:val="28"/>
          <w:szCs w:val="28"/>
          <w:highlight w:val="none"/>
          <w:lang w:val="en-US" w:eastAsia="zh-CN"/>
        </w:rPr>
        <w:t>4508.6374万</w:t>
      </w:r>
      <w:r>
        <w:rPr>
          <w:rFonts w:hint="eastAsia" w:ascii="宋体" w:hAnsi="宋体"/>
          <w:color w:val="auto"/>
          <w:sz w:val="28"/>
          <w:szCs w:val="28"/>
          <w:highlight w:val="none"/>
        </w:rPr>
        <w:t>元人民币，竞买保证金</w:t>
      </w:r>
      <w:r>
        <w:rPr>
          <w:rFonts w:hint="eastAsia" w:ascii="宋体" w:hAnsi="宋体"/>
          <w:color w:val="auto"/>
          <w:sz w:val="28"/>
          <w:szCs w:val="28"/>
          <w:highlight w:val="none"/>
          <w:lang w:val="en-US" w:eastAsia="zh-CN"/>
        </w:rPr>
        <w:t>1350.00万</w:t>
      </w:r>
      <w:r>
        <w:rPr>
          <w:rFonts w:hint="eastAsia" w:ascii="宋体" w:hAnsi="宋体"/>
          <w:color w:val="auto"/>
          <w:sz w:val="28"/>
          <w:szCs w:val="28"/>
          <w:highlight w:val="none"/>
        </w:rPr>
        <w:t>元人民币。</w:t>
      </w:r>
    </w:p>
    <w:p>
      <w:pPr>
        <w:numPr>
          <w:ilvl w:val="0"/>
          <w:numId w:val="1"/>
        </w:numPr>
        <w:spacing w:line="360" w:lineRule="auto"/>
        <w:ind w:left="0" w:firstLine="562"/>
        <w:rPr>
          <w:rFonts w:ascii="宋体" w:hAnsi="宋体"/>
          <w:b/>
          <w:color w:val="auto"/>
          <w:sz w:val="28"/>
          <w:szCs w:val="28"/>
          <w:highlight w:val="none"/>
        </w:rPr>
      </w:pPr>
      <w:r>
        <w:rPr>
          <w:rFonts w:hint="eastAsia" w:ascii="宋体" w:hAnsi="宋体"/>
          <w:b/>
          <w:color w:val="auto"/>
          <w:sz w:val="28"/>
          <w:szCs w:val="28"/>
          <w:highlight w:val="none"/>
        </w:rPr>
        <w:t>转让方式</w:t>
      </w:r>
    </w:p>
    <w:p>
      <w:pPr>
        <w:spacing w:line="360" w:lineRule="auto"/>
        <w:ind w:firstLine="560" w:firstLineChars="0"/>
        <w:rPr>
          <w:rFonts w:ascii="宋体" w:hAnsi="宋体"/>
          <w:color w:val="auto"/>
          <w:sz w:val="28"/>
          <w:szCs w:val="28"/>
          <w:highlight w:val="none"/>
        </w:rPr>
      </w:pPr>
      <w:r>
        <w:rPr>
          <w:rFonts w:hint="eastAsia" w:ascii="宋体" w:hAnsi="宋体"/>
          <w:color w:val="auto"/>
          <w:sz w:val="28"/>
          <w:szCs w:val="28"/>
          <w:highlight w:val="none"/>
        </w:rPr>
        <w:t>采取网络竞价方式确定最终</w:t>
      </w:r>
      <w:r>
        <w:rPr>
          <w:rFonts w:hint="eastAsia" w:ascii="宋体" w:hAnsi="宋体"/>
          <w:color w:val="auto"/>
          <w:sz w:val="28"/>
          <w:szCs w:val="28"/>
          <w:highlight w:val="none"/>
          <w:lang w:val="en-US" w:eastAsia="zh-CN"/>
        </w:rPr>
        <w:t>受让方</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价高者得</w:t>
      </w:r>
      <w:r>
        <w:rPr>
          <w:rFonts w:hint="eastAsia" w:ascii="宋体" w:hAnsi="宋体"/>
          <w:color w:val="auto"/>
          <w:sz w:val="28"/>
          <w:szCs w:val="28"/>
          <w:highlight w:val="none"/>
        </w:rPr>
        <w:t>。</w:t>
      </w:r>
    </w:p>
    <w:p>
      <w:pPr>
        <w:numPr>
          <w:ilvl w:val="0"/>
          <w:numId w:val="1"/>
        </w:numPr>
        <w:spacing w:line="360" w:lineRule="auto"/>
        <w:ind w:left="0" w:firstLine="562"/>
        <w:rPr>
          <w:rFonts w:ascii="宋体" w:hAnsi="宋体"/>
          <w:b/>
          <w:color w:val="auto"/>
          <w:sz w:val="28"/>
          <w:szCs w:val="28"/>
          <w:highlight w:val="none"/>
        </w:rPr>
      </w:pPr>
      <w:r>
        <w:rPr>
          <w:rFonts w:hint="eastAsia" w:ascii="宋体" w:hAnsi="宋体"/>
          <w:b/>
          <w:color w:val="auto"/>
          <w:sz w:val="28"/>
          <w:szCs w:val="28"/>
          <w:highlight w:val="none"/>
        </w:rPr>
        <w:t>付款方式</w:t>
      </w:r>
    </w:p>
    <w:p>
      <w:pPr>
        <w:numPr>
          <w:ilvl w:val="0"/>
          <w:numId w:val="0"/>
        </w:numPr>
        <w:tabs>
          <w:tab w:val="left" w:pos="6960"/>
        </w:tabs>
        <w:spacing w:line="360" w:lineRule="auto"/>
        <w:ind w:firstLine="560"/>
        <w:jc w:val="left"/>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受让方</w:t>
      </w:r>
      <w:r>
        <w:rPr>
          <w:rFonts w:hint="eastAsia" w:ascii="宋体" w:hAnsi="宋体"/>
          <w:color w:val="auto"/>
          <w:sz w:val="28"/>
          <w:szCs w:val="28"/>
          <w:highlight w:val="none"/>
          <w:lang w:eastAsia="zh-CN"/>
        </w:rPr>
        <w:t>应在</w:t>
      </w:r>
      <w:r>
        <w:rPr>
          <w:rFonts w:hint="eastAsia" w:ascii="宋体" w:hAnsi="宋体"/>
          <w:color w:val="auto"/>
          <w:sz w:val="28"/>
          <w:szCs w:val="28"/>
          <w:highlight w:val="none"/>
        </w:rPr>
        <w:t>《股权转让合同》签订</w:t>
      </w:r>
      <w:r>
        <w:rPr>
          <w:rFonts w:hint="eastAsia" w:ascii="宋体" w:hAnsi="宋体"/>
          <w:color w:val="auto"/>
          <w:sz w:val="28"/>
          <w:szCs w:val="28"/>
          <w:highlight w:val="none"/>
          <w:lang w:eastAsia="zh-CN"/>
        </w:rPr>
        <w:t>之日起五</w:t>
      </w:r>
      <w:r>
        <w:rPr>
          <w:rFonts w:hint="eastAsia" w:ascii="宋体" w:hAnsi="宋体"/>
          <w:color w:val="auto"/>
          <w:sz w:val="28"/>
          <w:szCs w:val="28"/>
          <w:highlight w:val="none"/>
        </w:rPr>
        <w:t>个工作日内</w:t>
      </w:r>
      <w:r>
        <w:rPr>
          <w:rFonts w:hint="eastAsia" w:ascii="宋体" w:hAnsi="宋体"/>
          <w:color w:val="auto"/>
          <w:sz w:val="28"/>
          <w:szCs w:val="28"/>
          <w:highlight w:val="none"/>
          <w:lang w:eastAsia="zh-CN"/>
        </w:rPr>
        <w:t>一次性付清</w:t>
      </w:r>
      <w:r>
        <w:rPr>
          <w:rFonts w:hint="eastAsia" w:ascii="宋体" w:hAnsi="宋体"/>
          <w:color w:val="auto"/>
          <w:sz w:val="28"/>
          <w:szCs w:val="28"/>
          <w:highlight w:val="none"/>
        </w:rPr>
        <w:t>本次股权转让款</w:t>
      </w:r>
      <w:r>
        <w:rPr>
          <w:rFonts w:hint="eastAsia" w:ascii="宋体" w:hAnsi="宋体"/>
          <w:color w:val="auto"/>
          <w:sz w:val="28"/>
          <w:szCs w:val="28"/>
          <w:highlight w:val="none"/>
          <w:lang w:eastAsia="zh-CN"/>
        </w:rPr>
        <w:t>。</w:t>
      </w:r>
    </w:p>
    <w:p>
      <w:pPr>
        <w:numPr>
          <w:ilvl w:val="0"/>
          <w:numId w:val="1"/>
        </w:numPr>
        <w:spacing w:line="360" w:lineRule="auto"/>
        <w:ind w:left="0" w:firstLine="562"/>
        <w:rPr>
          <w:rFonts w:ascii="宋体" w:hAnsi="宋体"/>
          <w:b/>
          <w:color w:val="auto"/>
          <w:sz w:val="28"/>
          <w:szCs w:val="28"/>
          <w:highlight w:val="none"/>
        </w:rPr>
      </w:pPr>
      <w:r>
        <w:rPr>
          <w:rFonts w:hint="eastAsia" w:ascii="宋体" w:hAnsi="宋体"/>
          <w:b/>
          <w:color w:val="auto"/>
          <w:sz w:val="28"/>
          <w:szCs w:val="28"/>
          <w:highlight w:val="none"/>
        </w:rPr>
        <w:t>竞买人条件</w:t>
      </w:r>
    </w:p>
    <w:p>
      <w:pPr>
        <w:numPr>
          <w:ilvl w:val="0"/>
          <w:numId w:val="2"/>
        </w:numPr>
        <w:tabs>
          <w:tab w:val="left" w:pos="1050"/>
        </w:tabs>
        <w:spacing w:line="360" w:lineRule="auto"/>
        <w:ind w:left="0" w:firstLine="560"/>
        <w:rPr>
          <w:rFonts w:ascii="宋体" w:hAnsi="宋体"/>
          <w:color w:val="auto"/>
          <w:sz w:val="28"/>
          <w:szCs w:val="28"/>
          <w:highlight w:val="none"/>
        </w:rPr>
      </w:pPr>
      <w:bookmarkStart w:id="5" w:name="_Hlk497643561"/>
      <w:bookmarkStart w:id="6" w:name="_Hlk9510541"/>
      <w:bookmarkStart w:id="7" w:name="_Hlk9530446"/>
      <w:r>
        <w:rPr>
          <w:rFonts w:hint="eastAsia" w:ascii="宋体" w:hAnsi="宋体"/>
          <w:color w:val="auto"/>
          <w:sz w:val="28"/>
          <w:szCs w:val="28"/>
          <w:highlight w:val="none"/>
        </w:rPr>
        <w:t>具有良好的商业信用及支付能力的境内企业</w:t>
      </w:r>
      <w:r>
        <w:rPr>
          <w:rFonts w:hint="eastAsia" w:ascii="宋体" w:hAnsi="宋体"/>
          <w:color w:val="auto"/>
          <w:sz w:val="28"/>
          <w:szCs w:val="28"/>
          <w:highlight w:val="none"/>
          <w:lang w:eastAsia="zh-CN"/>
        </w:rPr>
        <w:t>、</w:t>
      </w:r>
      <w:r>
        <w:rPr>
          <w:rFonts w:hint="eastAsia" w:ascii="宋体" w:hAnsi="宋体"/>
          <w:color w:val="auto"/>
          <w:sz w:val="28"/>
          <w:szCs w:val="28"/>
          <w:highlight w:val="none"/>
        </w:rPr>
        <w:t>其他组织</w:t>
      </w:r>
      <w:r>
        <w:rPr>
          <w:rFonts w:hint="eastAsia" w:ascii="宋体" w:hAnsi="宋体"/>
          <w:color w:val="auto"/>
          <w:sz w:val="28"/>
          <w:szCs w:val="28"/>
          <w:highlight w:val="none"/>
          <w:lang w:eastAsia="zh-CN"/>
        </w:rPr>
        <w:t>或自然人</w:t>
      </w:r>
      <w:r>
        <w:rPr>
          <w:rFonts w:hint="eastAsia" w:ascii="宋体" w:hAnsi="宋体"/>
          <w:color w:val="auto"/>
          <w:sz w:val="28"/>
          <w:szCs w:val="28"/>
          <w:highlight w:val="none"/>
        </w:rPr>
        <w:t>。</w:t>
      </w:r>
    </w:p>
    <w:bookmarkEnd w:id="5"/>
    <w:bookmarkEnd w:id="6"/>
    <w:bookmarkEnd w:id="7"/>
    <w:p>
      <w:pPr>
        <w:numPr>
          <w:ilvl w:val="0"/>
          <w:numId w:val="2"/>
        </w:numPr>
        <w:tabs>
          <w:tab w:val="left" w:pos="1050"/>
        </w:tabs>
        <w:spacing w:line="360" w:lineRule="auto"/>
        <w:ind w:left="0" w:firstLine="560"/>
        <w:rPr>
          <w:rFonts w:hint="eastAsia" w:ascii="宋体" w:hAnsi="宋体"/>
          <w:color w:val="auto"/>
          <w:sz w:val="28"/>
          <w:szCs w:val="28"/>
          <w:highlight w:val="none"/>
        </w:rPr>
      </w:pPr>
      <w:r>
        <w:rPr>
          <w:rFonts w:hint="eastAsia" w:ascii="宋体" w:hAnsi="宋体"/>
          <w:color w:val="auto"/>
          <w:sz w:val="28"/>
          <w:szCs w:val="28"/>
          <w:highlight w:val="none"/>
        </w:rPr>
        <w:t>意向</w:t>
      </w:r>
      <w:r>
        <w:rPr>
          <w:rFonts w:hint="eastAsia" w:ascii="宋体" w:hAnsi="宋体"/>
          <w:color w:val="auto"/>
          <w:sz w:val="28"/>
          <w:szCs w:val="28"/>
          <w:highlight w:val="none"/>
          <w:lang w:val="en-US" w:eastAsia="zh-CN"/>
        </w:rPr>
        <w:t>竞买人</w:t>
      </w:r>
      <w:r>
        <w:rPr>
          <w:rFonts w:hint="eastAsia" w:ascii="宋体" w:hAnsi="宋体"/>
          <w:color w:val="auto"/>
          <w:sz w:val="28"/>
          <w:szCs w:val="28"/>
          <w:highlight w:val="none"/>
        </w:rPr>
        <w:t>承诺</w:t>
      </w:r>
      <w:r>
        <w:rPr>
          <w:rFonts w:hint="eastAsia" w:ascii="宋体" w:hAnsi="宋体"/>
          <w:color w:val="auto"/>
          <w:sz w:val="28"/>
          <w:szCs w:val="28"/>
          <w:highlight w:val="none"/>
          <w:lang w:val="en-US" w:eastAsia="zh-CN"/>
        </w:rPr>
        <w:t>对</w:t>
      </w:r>
      <w:r>
        <w:rPr>
          <w:rFonts w:hint="eastAsia" w:ascii="宋体" w:hAnsi="宋体"/>
          <w:color w:val="auto"/>
          <w:sz w:val="28"/>
          <w:szCs w:val="28"/>
          <w:highlight w:val="none"/>
          <w:lang w:eastAsia="zh-CN"/>
        </w:rPr>
        <w:t>美标公司</w:t>
      </w:r>
      <w:r>
        <w:rPr>
          <w:rFonts w:hint="eastAsia" w:ascii="宋体" w:hAnsi="宋体"/>
          <w:color w:val="auto"/>
          <w:sz w:val="28"/>
          <w:szCs w:val="28"/>
          <w:highlight w:val="none"/>
        </w:rPr>
        <w:t>已订立的所有合同（包括书面及非书面）继续履行。</w:t>
      </w:r>
    </w:p>
    <w:p>
      <w:pPr>
        <w:numPr>
          <w:ilvl w:val="0"/>
          <w:numId w:val="2"/>
        </w:numPr>
        <w:tabs>
          <w:tab w:val="left" w:pos="1050"/>
        </w:tabs>
        <w:spacing w:line="360" w:lineRule="auto"/>
        <w:ind w:left="0" w:firstLine="560"/>
        <w:rPr>
          <w:rFonts w:ascii="宋体" w:hAnsi="宋体"/>
          <w:color w:val="auto"/>
          <w:sz w:val="28"/>
          <w:szCs w:val="28"/>
          <w:highlight w:val="none"/>
        </w:rPr>
      </w:pPr>
      <w:r>
        <w:rPr>
          <w:rFonts w:hint="eastAsia" w:ascii="宋体" w:hAnsi="宋体"/>
          <w:color w:val="auto"/>
          <w:sz w:val="28"/>
          <w:szCs w:val="28"/>
          <w:highlight w:val="none"/>
        </w:rPr>
        <w:t>本项目不接受联合体摘牌。</w:t>
      </w:r>
      <w:bookmarkStart w:id="44" w:name="_GoBack"/>
      <w:bookmarkEnd w:id="44"/>
    </w:p>
    <w:p>
      <w:pPr>
        <w:numPr>
          <w:ilvl w:val="0"/>
          <w:numId w:val="1"/>
        </w:numPr>
        <w:spacing w:line="360" w:lineRule="auto"/>
        <w:ind w:left="0" w:firstLine="562"/>
        <w:rPr>
          <w:rFonts w:ascii="宋体" w:hAnsi="宋体"/>
          <w:b/>
          <w:color w:val="auto"/>
          <w:sz w:val="28"/>
          <w:szCs w:val="28"/>
          <w:highlight w:val="none"/>
        </w:rPr>
      </w:pPr>
      <w:r>
        <w:rPr>
          <w:rFonts w:hint="eastAsia" w:ascii="宋体" w:hAnsi="宋体"/>
          <w:b/>
          <w:color w:val="auto"/>
          <w:sz w:val="28"/>
          <w:szCs w:val="28"/>
          <w:highlight w:val="none"/>
        </w:rPr>
        <w:t>报名须知</w:t>
      </w:r>
    </w:p>
    <w:p>
      <w:pPr>
        <w:numPr>
          <w:ilvl w:val="0"/>
          <w:numId w:val="0"/>
        </w:numPr>
        <w:spacing w:line="360" w:lineRule="auto"/>
        <w:ind w:firstLine="560" w:firstLineChars="200"/>
        <w:rPr>
          <w:rFonts w:hint="eastAsia" w:ascii="宋体" w:hAnsi="宋体"/>
          <w:bCs/>
          <w:color w:val="auto"/>
          <w:sz w:val="28"/>
          <w:szCs w:val="28"/>
          <w:highlight w:val="none"/>
          <w:lang w:val="en-US" w:eastAsia="zh-CN"/>
        </w:rPr>
      </w:pPr>
      <w:r>
        <w:rPr>
          <w:rFonts w:hint="eastAsia" w:ascii="宋体" w:hAnsi="宋体"/>
          <w:bCs/>
          <w:color w:val="auto"/>
          <w:sz w:val="28"/>
          <w:szCs w:val="28"/>
          <w:highlight w:val="none"/>
        </w:rPr>
        <w:t>凡报名的企业须持营业执照复印件(或单位有效证明文件)、单位法定代表人身份证、委托代理人身份证、法定代表人委托书、公司章程与相关决议</w:t>
      </w:r>
      <w:r>
        <w:rPr>
          <w:rFonts w:hint="eastAsia" w:ascii="宋体" w:hAnsi="宋体"/>
          <w:bCs/>
          <w:color w:val="auto"/>
          <w:sz w:val="28"/>
          <w:szCs w:val="28"/>
          <w:highlight w:val="none"/>
          <w:lang w:eastAsia="zh-CN"/>
        </w:rPr>
        <w:t>，</w:t>
      </w:r>
      <w:r>
        <w:rPr>
          <w:rFonts w:hint="eastAsia" w:ascii="宋体" w:hAnsi="宋体"/>
          <w:bCs/>
          <w:color w:val="auto"/>
          <w:sz w:val="28"/>
          <w:szCs w:val="28"/>
          <w:highlight w:val="none"/>
        </w:rPr>
        <w:t>自然人须持本人身份证明及相关资料</w:t>
      </w:r>
      <w:r>
        <w:rPr>
          <w:rFonts w:hint="eastAsia" w:ascii="宋体" w:hAnsi="宋体"/>
          <w:bCs/>
          <w:color w:val="auto"/>
          <w:sz w:val="28"/>
          <w:szCs w:val="28"/>
          <w:highlight w:val="none"/>
          <w:lang w:eastAsia="zh-CN"/>
        </w:rPr>
        <w:t>。</w:t>
      </w:r>
      <w:r>
        <w:rPr>
          <w:rFonts w:hint="eastAsia" w:ascii="宋体" w:hAnsi="宋体"/>
          <w:bCs/>
          <w:color w:val="auto"/>
          <w:sz w:val="28"/>
          <w:szCs w:val="28"/>
          <w:highlight w:val="none"/>
        </w:rPr>
        <w:t>竞买人应在报名时缴付保证金</w:t>
      </w:r>
      <w:r>
        <w:rPr>
          <w:rFonts w:hint="eastAsia" w:ascii="宋体" w:hAnsi="宋体"/>
          <w:color w:val="auto"/>
          <w:sz w:val="28"/>
          <w:szCs w:val="28"/>
          <w:highlight w:val="none"/>
          <w:lang w:val="en-US" w:eastAsia="zh-CN"/>
        </w:rPr>
        <w:t>1350.00万</w:t>
      </w:r>
      <w:r>
        <w:rPr>
          <w:rFonts w:hint="eastAsia" w:ascii="宋体" w:hAnsi="宋体"/>
          <w:bCs/>
          <w:color w:val="auto"/>
          <w:sz w:val="28"/>
          <w:szCs w:val="28"/>
          <w:highlight w:val="none"/>
        </w:rPr>
        <w:t>元人民币</w:t>
      </w:r>
      <w:r>
        <w:rPr>
          <w:rFonts w:hint="eastAsia" w:ascii="宋体" w:hAnsi="宋体"/>
          <w:bCs/>
          <w:color w:val="auto"/>
          <w:sz w:val="28"/>
          <w:szCs w:val="28"/>
          <w:highlight w:val="none"/>
          <w:lang w:val="en-US" w:eastAsia="zh-CN"/>
        </w:rPr>
        <w:t>，原股东在同等条件下享有优先购买权。</w:t>
      </w:r>
    </w:p>
    <w:p>
      <w:pPr>
        <w:numPr>
          <w:ilvl w:val="0"/>
          <w:numId w:val="1"/>
        </w:numPr>
        <w:spacing w:line="360" w:lineRule="auto"/>
        <w:ind w:left="0" w:firstLine="562"/>
        <w:rPr>
          <w:rFonts w:ascii="宋体" w:hAnsi="宋体"/>
          <w:b/>
          <w:bCs/>
          <w:color w:val="auto"/>
          <w:sz w:val="28"/>
          <w:szCs w:val="28"/>
          <w:highlight w:val="none"/>
        </w:rPr>
      </w:pPr>
      <w:r>
        <w:rPr>
          <w:rFonts w:hint="eastAsia" w:ascii="宋体" w:hAnsi="宋体"/>
          <w:b/>
          <w:bCs/>
          <w:color w:val="auto"/>
          <w:sz w:val="28"/>
          <w:szCs w:val="28"/>
          <w:highlight w:val="none"/>
        </w:rPr>
        <w:t>实行网络报名：</w:t>
      </w:r>
      <w:r>
        <w:rPr>
          <w:rFonts w:hint="eastAsia" w:ascii="宋体" w:hAnsi="宋体"/>
          <w:color w:val="auto"/>
          <w:sz w:val="28"/>
          <w:szCs w:val="28"/>
          <w:highlight w:val="none"/>
        </w:rPr>
        <w:t>台州市公共资源交易网（</w:t>
      </w:r>
      <w:r>
        <w:rPr>
          <w:rFonts w:hint="eastAsia" w:asciiTheme="minorEastAsia" w:hAnsiTheme="minorEastAsia" w:eastAsiaTheme="minorEastAsia" w:cstheme="minorEastAsia"/>
          <w:color w:val="auto"/>
          <w:sz w:val="28"/>
          <w:szCs w:val="28"/>
        </w:rPr>
        <w:t>https://tzztb.zjtz.gov.cn/tzcms/</w:t>
      </w:r>
      <w:r>
        <w:rPr>
          <w:rFonts w:hint="eastAsia" w:ascii="宋体" w:hAnsi="宋体"/>
          <w:color w:val="auto"/>
          <w:sz w:val="28"/>
          <w:szCs w:val="28"/>
          <w:highlight w:val="none"/>
        </w:rPr>
        <w:t>），现场资格确认。</w:t>
      </w:r>
    </w:p>
    <w:p>
      <w:pPr>
        <w:widowControl/>
        <w:shd w:val="clear" w:color="auto" w:fill="FFFFFF"/>
        <w:spacing w:line="360" w:lineRule="auto"/>
        <w:ind w:firstLine="562"/>
        <w:rPr>
          <w:rFonts w:ascii="宋体" w:hAnsi="宋体" w:cs="宋体"/>
          <w:color w:val="auto"/>
          <w:kern w:val="0"/>
          <w:sz w:val="28"/>
          <w:szCs w:val="28"/>
          <w:highlight w:val="none"/>
        </w:rPr>
      </w:pPr>
      <w:r>
        <w:rPr>
          <w:rFonts w:hint="eastAsia" w:ascii="宋体" w:hAnsi="宋体" w:cs="宋体"/>
          <w:b/>
          <w:color w:val="auto"/>
          <w:kern w:val="0"/>
          <w:sz w:val="28"/>
          <w:szCs w:val="28"/>
          <w:highlight w:val="none"/>
          <w:lang w:val="en-US" w:eastAsia="zh-CN"/>
        </w:rPr>
        <w:t>报名时间和</w:t>
      </w:r>
      <w:r>
        <w:rPr>
          <w:rFonts w:hint="eastAsia" w:ascii="宋体" w:hAnsi="宋体" w:cs="宋体"/>
          <w:b/>
          <w:color w:val="auto"/>
          <w:kern w:val="0"/>
          <w:sz w:val="28"/>
          <w:szCs w:val="28"/>
          <w:highlight w:val="none"/>
        </w:rPr>
        <w:t>资格确认时间</w:t>
      </w:r>
      <w:r>
        <w:rPr>
          <w:rFonts w:hint="eastAsia" w:ascii="宋体" w:hAnsi="宋体" w:cs="宋体"/>
          <w:color w:val="auto"/>
          <w:kern w:val="0"/>
          <w:sz w:val="28"/>
          <w:szCs w:val="28"/>
          <w:highlight w:val="none"/>
        </w:rPr>
        <w:t>：20</w:t>
      </w:r>
      <w:r>
        <w:rPr>
          <w:rFonts w:hint="eastAsia" w:ascii="宋体" w:hAnsi="宋体" w:cs="宋体"/>
          <w:color w:val="auto"/>
          <w:kern w:val="0"/>
          <w:sz w:val="28"/>
          <w:szCs w:val="28"/>
          <w:highlight w:val="none"/>
          <w:lang w:val="en-US" w:eastAsia="zh-CN"/>
        </w:rPr>
        <w:t>21</w:t>
      </w:r>
      <w:r>
        <w:rPr>
          <w:rFonts w:hint="eastAsia"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9</w:t>
      </w:r>
      <w:r>
        <w:rPr>
          <w:rFonts w:hint="eastAsia"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16</w:t>
      </w:r>
      <w:r>
        <w:rPr>
          <w:rFonts w:hint="eastAsia" w:ascii="宋体" w:hAnsi="宋体" w:cs="宋体"/>
          <w:color w:val="auto"/>
          <w:kern w:val="0"/>
          <w:sz w:val="28"/>
          <w:szCs w:val="28"/>
          <w:highlight w:val="none"/>
        </w:rPr>
        <w:t>日至20</w:t>
      </w:r>
      <w:r>
        <w:rPr>
          <w:rFonts w:hint="eastAsia" w:ascii="宋体" w:hAnsi="宋体" w:cs="宋体"/>
          <w:color w:val="auto"/>
          <w:kern w:val="0"/>
          <w:sz w:val="28"/>
          <w:szCs w:val="28"/>
          <w:highlight w:val="none"/>
          <w:lang w:val="en-US" w:eastAsia="zh-CN"/>
        </w:rPr>
        <w:t>21</w:t>
      </w:r>
      <w:r>
        <w:rPr>
          <w:rFonts w:hint="eastAsia"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10月20</w:t>
      </w:r>
      <w:r>
        <w:rPr>
          <w:rFonts w:hint="eastAsia" w:ascii="宋体" w:hAnsi="宋体" w:cs="宋体"/>
          <w:color w:val="auto"/>
          <w:kern w:val="0"/>
          <w:sz w:val="28"/>
          <w:szCs w:val="28"/>
          <w:highlight w:val="none"/>
        </w:rPr>
        <w:t>日下午4：00前（上午8：30－11：30，下午14：00－16：00，节假日除外）。</w:t>
      </w:r>
    </w:p>
    <w:p>
      <w:pPr>
        <w:widowControl/>
        <w:shd w:val="clear" w:color="auto" w:fill="FFFFFF"/>
        <w:spacing w:line="360" w:lineRule="auto"/>
        <w:ind w:firstLine="562"/>
        <w:rPr>
          <w:rFonts w:ascii="宋体" w:hAnsi="宋体" w:cs="宋体"/>
          <w:color w:val="auto"/>
          <w:kern w:val="0"/>
          <w:sz w:val="28"/>
          <w:szCs w:val="28"/>
          <w:highlight w:val="none"/>
        </w:rPr>
      </w:pPr>
      <w:r>
        <w:rPr>
          <w:rFonts w:hint="eastAsia" w:ascii="宋体" w:hAnsi="宋体" w:cs="宋体"/>
          <w:b/>
          <w:color w:val="auto"/>
          <w:kern w:val="0"/>
          <w:sz w:val="28"/>
          <w:szCs w:val="28"/>
          <w:highlight w:val="none"/>
        </w:rPr>
        <w:t>资格确认地址</w:t>
      </w:r>
      <w:r>
        <w:rPr>
          <w:rFonts w:hint="eastAsia" w:ascii="宋体" w:hAnsi="宋体" w:cs="宋体"/>
          <w:color w:val="auto"/>
          <w:kern w:val="0"/>
          <w:sz w:val="28"/>
          <w:szCs w:val="28"/>
          <w:highlight w:val="none"/>
        </w:rPr>
        <w:t>：台州市产权交易所（台州市市府大道777号浙江民泰商业银行五楼511室）。</w:t>
      </w:r>
    </w:p>
    <w:p>
      <w:pPr>
        <w:pStyle w:val="8"/>
        <w:numPr>
          <w:ilvl w:val="0"/>
          <w:numId w:val="1"/>
        </w:numPr>
        <w:bidi w:val="0"/>
        <w:rPr>
          <w:rFonts w:ascii="宋体" w:hAnsi="宋体"/>
          <w:b/>
          <w:color w:val="auto"/>
          <w:sz w:val="28"/>
          <w:szCs w:val="28"/>
          <w:highlight w:val="none"/>
        </w:rPr>
      </w:pPr>
      <w:bookmarkStart w:id="8" w:name="_Hlk10111476"/>
      <w:r>
        <w:rPr>
          <w:rFonts w:hint="eastAsia" w:ascii="宋体" w:hAnsi="宋体" w:cs="宋体"/>
          <w:b/>
          <w:color w:val="auto"/>
          <w:kern w:val="0"/>
          <w:sz w:val="28"/>
          <w:szCs w:val="28"/>
          <w:highlight w:val="none"/>
        </w:rPr>
        <w:t>网络竞价时间：</w:t>
      </w:r>
      <w:r>
        <w:rPr>
          <w:rFonts w:hint="eastAsia" w:ascii="宋体" w:hAnsi="宋体" w:cs="宋体"/>
          <w:bCs/>
          <w:color w:val="auto"/>
          <w:kern w:val="0"/>
          <w:sz w:val="28"/>
          <w:szCs w:val="28"/>
          <w:highlight w:val="none"/>
        </w:rPr>
        <w:t>20</w:t>
      </w:r>
      <w:r>
        <w:rPr>
          <w:rFonts w:hint="eastAsia" w:ascii="宋体" w:hAnsi="宋体" w:cs="宋体"/>
          <w:bCs/>
          <w:color w:val="auto"/>
          <w:kern w:val="0"/>
          <w:sz w:val="28"/>
          <w:szCs w:val="28"/>
          <w:highlight w:val="none"/>
          <w:lang w:val="en-US" w:eastAsia="zh-CN"/>
        </w:rPr>
        <w:t>21</w:t>
      </w:r>
      <w:r>
        <w:rPr>
          <w:rFonts w:hint="eastAsia" w:ascii="宋体" w:hAnsi="宋体" w:cs="宋体"/>
          <w:bCs/>
          <w:color w:val="auto"/>
          <w:kern w:val="0"/>
          <w:sz w:val="28"/>
          <w:szCs w:val="28"/>
          <w:highlight w:val="none"/>
        </w:rPr>
        <w:t>年</w:t>
      </w:r>
      <w:r>
        <w:rPr>
          <w:rFonts w:hint="eastAsia" w:ascii="宋体" w:hAnsi="宋体" w:cs="宋体"/>
          <w:bCs/>
          <w:color w:val="auto"/>
          <w:kern w:val="0"/>
          <w:sz w:val="28"/>
          <w:szCs w:val="28"/>
          <w:highlight w:val="none"/>
          <w:lang w:val="en-US" w:eastAsia="zh-CN"/>
        </w:rPr>
        <w:t>10</w:t>
      </w:r>
      <w:r>
        <w:rPr>
          <w:rFonts w:hint="eastAsia" w:ascii="宋体" w:hAnsi="宋体" w:cs="宋体"/>
          <w:bCs/>
          <w:color w:val="auto"/>
          <w:kern w:val="0"/>
          <w:sz w:val="28"/>
          <w:szCs w:val="28"/>
          <w:highlight w:val="none"/>
        </w:rPr>
        <w:t>月</w:t>
      </w:r>
      <w:r>
        <w:rPr>
          <w:rFonts w:hint="eastAsia" w:ascii="宋体" w:hAnsi="宋体" w:cs="宋体"/>
          <w:bCs/>
          <w:color w:val="auto"/>
          <w:kern w:val="0"/>
          <w:sz w:val="28"/>
          <w:szCs w:val="28"/>
          <w:highlight w:val="none"/>
          <w:lang w:val="en-US" w:eastAsia="zh-CN"/>
        </w:rPr>
        <w:t>21</w:t>
      </w:r>
      <w:r>
        <w:rPr>
          <w:rFonts w:hint="eastAsia" w:ascii="宋体" w:hAnsi="宋体" w:cs="宋体"/>
          <w:bCs/>
          <w:color w:val="auto"/>
          <w:kern w:val="0"/>
          <w:sz w:val="28"/>
          <w:szCs w:val="28"/>
          <w:highlight w:val="none"/>
        </w:rPr>
        <w:t>日（星期</w:t>
      </w:r>
      <w:r>
        <w:rPr>
          <w:rFonts w:hint="eastAsia" w:ascii="宋体" w:hAnsi="宋体" w:cs="宋体"/>
          <w:bCs/>
          <w:color w:val="auto"/>
          <w:kern w:val="0"/>
          <w:sz w:val="28"/>
          <w:szCs w:val="28"/>
          <w:highlight w:val="none"/>
          <w:lang w:val="en-US" w:eastAsia="zh-CN"/>
        </w:rPr>
        <w:t>四</w:t>
      </w:r>
      <w:r>
        <w:rPr>
          <w:rFonts w:hint="eastAsia" w:ascii="宋体" w:hAnsi="宋体" w:cs="宋体"/>
          <w:bCs/>
          <w:color w:val="auto"/>
          <w:kern w:val="0"/>
          <w:sz w:val="28"/>
          <w:szCs w:val="28"/>
          <w:highlight w:val="none"/>
        </w:rPr>
        <w:t>）上午</w:t>
      </w:r>
      <w:r>
        <w:rPr>
          <w:rFonts w:ascii="宋体" w:hAnsi="宋体" w:cs="宋体"/>
          <w:bCs/>
          <w:color w:val="auto"/>
          <w:kern w:val="0"/>
          <w:sz w:val="28"/>
          <w:szCs w:val="28"/>
          <w:highlight w:val="none"/>
        </w:rPr>
        <w:t>9：30</w:t>
      </w:r>
      <w:r>
        <w:rPr>
          <w:rFonts w:hint="eastAsia" w:ascii="宋体" w:hAnsi="宋体" w:cs="宋体"/>
          <w:bCs/>
          <w:color w:val="auto"/>
          <w:kern w:val="0"/>
          <w:sz w:val="28"/>
          <w:szCs w:val="28"/>
          <w:highlight w:val="none"/>
        </w:rPr>
        <w:t>。</w:t>
      </w:r>
      <w:bookmarkEnd w:id="8"/>
    </w:p>
    <w:p>
      <w:pPr>
        <w:numPr>
          <w:ilvl w:val="0"/>
          <w:numId w:val="1"/>
        </w:numPr>
        <w:wordWrap w:val="0"/>
        <w:spacing w:line="360" w:lineRule="auto"/>
        <w:ind w:left="0" w:firstLine="560"/>
        <w:rPr>
          <w:rFonts w:ascii="宋体" w:hAnsi="宋体"/>
          <w:b/>
          <w:bCs/>
          <w:color w:val="auto"/>
          <w:sz w:val="28"/>
          <w:szCs w:val="28"/>
          <w:highlight w:val="none"/>
        </w:rPr>
      </w:pPr>
      <w:r>
        <w:rPr>
          <w:rFonts w:hint="eastAsia" w:ascii="宋体" w:hAnsi="宋体"/>
          <w:color w:val="auto"/>
          <w:sz w:val="28"/>
          <w:szCs w:val="28"/>
          <w:highlight w:val="none"/>
        </w:rPr>
        <w:t>联系人：</w:t>
      </w:r>
      <w:r>
        <w:rPr>
          <w:rFonts w:hint="eastAsia" w:ascii="宋体" w:hAnsi="宋体"/>
          <w:color w:val="auto"/>
          <w:sz w:val="28"/>
          <w:szCs w:val="28"/>
          <w:highlight w:val="none"/>
          <w:lang w:val="en-US" w:eastAsia="zh-CN"/>
        </w:rPr>
        <w:t xml:space="preserve">潘女士       </w:t>
      </w:r>
      <w:r>
        <w:rPr>
          <w:rFonts w:hint="eastAsia" w:ascii="宋体" w:hAnsi="宋体"/>
          <w:color w:val="auto"/>
          <w:sz w:val="28"/>
          <w:szCs w:val="28"/>
          <w:highlight w:val="none"/>
        </w:rPr>
        <w:t>电话：</w:t>
      </w:r>
      <w:r>
        <w:rPr>
          <w:rFonts w:hint="eastAsia" w:ascii="宋体" w:hAnsi="宋体"/>
          <w:color w:val="auto"/>
          <w:sz w:val="28"/>
          <w:szCs w:val="28"/>
          <w:highlight w:val="none"/>
          <w:lang w:val="en-US" w:eastAsia="zh-CN"/>
        </w:rPr>
        <w:t>0576-88685180</w:t>
      </w:r>
    </w:p>
    <w:p>
      <w:pPr>
        <w:numPr>
          <w:ilvl w:val="0"/>
          <w:numId w:val="1"/>
        </w:numPr>
        <w:wordWrap w:val="0"/>
        <w:spacing w:line="360" w:lineRule="auto"/>
        <w:ind w:left="0" w:firstLine="560"/>
        <w:rPr>
          <w:rFonts w:ascii="宋体" w:hAnsi="宋体"/>
          <w:b/>
          <w:bCs/>
          <w:color w:val="auto"/>
          <w:sz w:val="28"/>
          <w:szCs w:val="28"/>
          <w:highlight w:val="none"/>
        </w:rPr>
      </w:pPr>
      <w:r>
        <w:rPr>
          <w:rFonts w:hint="eastAsia" w:ascii="宋体" w:hAnsi="宋体"/>
          <w:color w:val="auto"/>
          <w:sz w:val="28"/>
          <w:szCs w:val="28"/>
          <w:highlight w:val="none"/>
        </w:rPr>
        <w:t>具体情况详见转让须知。</w:t>
      </w:r>
    </w:p>
    <w:p>
      <w:pPr>
        <w:spacing w:line="360" w:lineRule="auto"/>
        <w:ind w:firstLine="560"/>
        <w:rPr>
          <w:rFonts w:hint="eastAsia" w:ascii="宋体" w:hAnsi="宋体" w:cs="宋体"/>
          <w:bCs/>
          <w:color w:val="auto"/>
          <w:kern w:val="0"/>
          <w:sz w:val="28"/>
          <w:szCs w:val="28"/>
          <w:highlight w:val="none"/>
        </w:rPr>
      </w:pPr>
      <w:r>
        <w:rPr>
          <w:rFonts w:hint="eastAsia" w:ascii="宋体" w:hAnsi="宋体"/>
          <w:color w:val="auto"/>
          <w:sz w:val="28"/>
          <w:szCs w:val="28"/>
          <w:highlight w:val="none"/>
        </w:rPr>
        <w:t>详</w:t>
      </w:r>
      <w:r>
        <w:rPr>
          <w:rFonts w:hint="eastAsia" w:ascii="宋体" w:hAnsi="宋体" w:cs="宋体"/>
          <w:bCs/>
          <w:color w:val="auto"/>
          <w:kern w:val="0"/>
          <w:sz w:val="28"/>
          <w:szCs w:val="28"/>
          <w:highlight w:val="none"/>
        </w:rPr>
        <w:t>情登</w:t>
      </w:r>
      <w:r>
        <w:rPr>
          <w:rFonts w:hint="eastAsia" w:ascii="宋体" w:hAnsi="宋体" w:cs="宋体"/>
          <w:bCs/>
          <w:color w:val="auto"/>
          <w:kern w:val="0"/>
          <w:sz w:val="28"/>
          <w:szCs w:val="28"/>
          <w:highlight w:val="none"/>
          <w:lang w:val="en-US" w:eastAsia="zh-CN"/>
        </w:rPr>
        <w:t>录</w:t>
      </w:r>
      <w:r>
        <w:rPr>
          <w:rFonts w:hint="eastAsia" w:ascii="宋体" w:hAnsi="宋体" w:cs="宋体"/>
          <w:bCs/>
          <w:color w:val="auto"/>
          <w:kern w:val="0"/>
          <w:sz w:val="28"/>
          <w:szCs w:val="28"/>
          <w:highlight w:val="none"/>
        </w:rPr>
        <w:t xml:space="preserve">www.tzpre.com </w:t>
      </w:r>
    </w:p>
    <w:p>
      <w:pPr>
        <w:spacing w:line="360" w:lineRule="auto"/>
        <w:ind w:firstLine="1680" w:firstLineChars="600"/>
        <w:rPr>
          <w:rFonts w:ascii="宋体" w:hAnsi="宋体"/>
          <w:color w:val="auto"/>
          <w:sz w:val="28"/>
          <w:szCs w:val="28"/>
          <w:highlight w:val="none"/>
        </w:rPr>
      </w:pPr>
      <w:r>
        <w:rPr>
          <w:rFonts w:hint="eastAsia" w:asciiTheme="minorEastAsia" w:hAnsiTheme="minorEastAsia" w:eastAsiaTheme="minorEastAsia" w:cstheme="minorEastAsia"/>
          <w:color w:val="auto"/>
          <w:sz w:val="28"/>
          <w:szCs w:val="28"/>
        </w:rPr>
        <w:t>https://tzztb.zjtz.gov.cn/tzcms/</w:t>
      </w:r>
    </w:p>
    <w:p>
      <w:pPr>
        <w:ind w:firstLine="0" w:firstLineChars="0"/>
        <w:rPr>
          <w:rFonts w:ascii="宋体" w:hAnsi="宋体"/>
          <w:color w:val="auto"/>
          <w:sz w:val="28"/>
          <w:szCs w:val="28"/>
          <w:highlight w:val="none"/>
        </w:rPr>
      </w:pPr>
    </w:p>
    <w:p>
      <w:pPr>
        <w:spacing w:line="360" w:lineRule="auto"/>
        <w:ind w:firstLineChars="0"/>
        <w:jc w:val="right"/>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spacing w:line="360" w:lineRule="auto"/>
        <w:jc w:val="right"/>
        <w:rPr>
          <w:rFonts w:hint="eastAsia" w:ascii="宋体" w:hAnsi="宋体"/>
          <w:color w:val="auto"/>
          <w:sz w:val="28"/>
          <w:szCs w:val="28"/>
          <w:highlight w:val="none"/>
        </w:rPr>
        <w:sectPr>
          <w:pgSz w:w="11906" w:h="16838"/>
          <w:pgMar w:top="1440" w:right="1800" w:bottom="1440" w:left="1800" w:header="851" w:footer="992" w:gutter="0"/>
          <w:pgNumType w:fmt="numberInDash"/>
          <w:cols w:space="425" w:num="1"/>
          <w:docGrid w:type="lines" w:linePitch="312" w:charSpace="0"/>
        </w:sectPr>
      </w:pPr>
      <w:r>
        <w:rPr>
          <w:rFonts w:hint="eastAsia" w:ascii="宋体" w:hAnsi="宋体"/>
          <w:color w:val="auto"/>
          <w:sz w:val="28"/>
          <w:szCs w:val="28"/>
          <w:highlight w:val="none"/>
        </w:rPr>
        <w:t>二○</w:t>
      </w:r>
      <w:r>
        <w:rPr>
          <w:rFonts w:hint="eastAsia" w:ascii="宋体" w:hAnsi="宋体"/>
          <w:color w:val="auto"/>
          <w:sz w:val="28"/>
          <w:szCs w:val="28"/>
          <w:highlight w:val="none"/>
          <w:lang w:eastAsia="zh-CN"/>
        </w:rPr>
        <w:t>二一</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九</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一十六</w:t>
      </w:r>
      <w:r>
        <w:rPr>
          <w:rFonts w:hint="eastAsia" w:ascii="宋体" w:hAnsi="宋体"/>
          <w:color w:val="auto"/>
          <w:sz w:val="28"/>
          <w:szCs w:val="28"/>
          <w:highlight w:val="none"/>
        </w:rPr>
        <w:t>日</w:t>
      </w:r>
    </w:p>
    <w:p>
      <w:pPr>
        <w:spacing w:line="360" w:lineRule="auto"/>
        <w:ind w:firstLine="0" w:firstLineChars="0"/>
        <w:jc w:val="center"/>
        <w:rPr>
          <w:rFonts w:ascii="宋体" w:hAnsi="宋体"/>
          <w:b/>
          <w:color w:val="auto"/>
          <w:sz w:val="36"/>
          <w:szCs w:val="36"/>
          <w:highlight w:val="none"/>
        </w:rPr>
      </w:pPr>
      <w:bookmarkStart w:id="9" w:name="_Hlk527013137"/>
      <w:r>
        <w:rPr>
          <w:rFonts w:hint="eastAsia" w:ascii="宋体" w:hAnsi="宋体"/>
          <w:b/>
          <w:color w:val="auto"/>
          <w:sz w:val="36"/>
          <w:szCs w:val="36"/>
          <w:highlight w:val="none"/>
          <w:lang w:eastAsia="zh-CN"/>
        </w:rPr>
        <w:t>台州美标水泥有限公司</w:t>
      </w:r>
      <w:r>
        <w:rPr>
          <w:rFonts w:hint="eastAsia" w:ascii="宋体" w:hAnsi="宋体"/>
          <w:b/>
          <w:color w:val="auto"/>
          <w:sz w:val="36"/>
          <w:szCs w:val="36"/>
          <w:highlight w:val="none"/>
          <w:lang w:val="en-US" w:eastAsia="zh-CN"/>
        </w:rPr>
        <w:t>80%</w:t>
      </w:r>
      <w:r>
        <w:rPr>
          <w:rFonts w:hint="eastAsia" w:ascii="宋体" w:hAnsi="宋体"/>
          <w:b/>
          <w:color w:val="auto"/>
          <w:sz w:val="36"/>
          <w:szCs w:val="36"/>
          <w:highlight w:val="none"/>
          <w:lang w:val="ms-MY"/>
        </w:rPr>
        <w:t>股权</w:t>
      </w:r>
      <w:bookmarkEnd w:id="9"/>
    </w:p>
    <w:p>
      <w:pPr>
        <w:keepNext/>
        <w:keepLines/>
        <w:widowControl w:val="0"/>
        <w:spacing w:before="100" w:beforeAutospacing="1" w:after="100" w:afterAutospacing="1" w:line="360" w:lineRule="auto"/>
        <w:ind w:firstLine="0" w:firstLineChars="0"/>
        <w:jc w:val="center"/>
        <w:outlineLvl w:val="0"/>
        <w:rPr>
          <w:rFonts w:ascii="Calibri" w:hAnsi="Calibri" w:eastAsia="宋体" w:cs="Times New Roman"/>
          <w:b/>
          <w:bCs/>
          <w:color w:val="auto"/>
          <w:kern w:val="44"/>
          <w:sz w:val="36"/>
          <w:szCs w:val="36"/>
          <w:highlight w:val="none"/>
          <w:lang w:val="en-US" w:eastAsia="zh-CN" w:bidi="ar-SA"/>
        </w:rPr>
      </w:pPr>
      <w:bookmarkStart w:id="10" w:name="_Toc5069"/>
      <w:bookmarkStart w:id="11" w:name="_Toc528773691"/>
      <w:bookmarkStart w:id="12" w:name="_Toc14112"/>
      <w:r>
        <w:rPr>
          <w:rFonts w:hint="eastAsia" w:ascii="Calibri" w:hAnsi="Calibri" w:eastAsia="宋体" w:cs="Times New Roman"/>
          <w:b/>
          <w:bCs/>
          <w:color w:val="auto"/>
          <w:kern w:val="44"/>
          <w:sz w:val="36"/>
          <w:szCs w:val="36"/>
          <w:highlight w:val="none"/>
          <w:lang w:val="en-US" w:eastAsia="zh-CN" w:bidi="ar-SA"/>
        </w:rPr>
        <w:t>转让须知</w:t>
      </w:r>
      <w:bookmarkEnd w:id="10"/>
      <w:bookmarkEnd w:id="11"/>
      <w:bookmarkEnd w:id="12"/>
    </w:p>
    <w:p>
      <w:pPr>
        <w:adjustRightInd w:val="0"/>
        <w:snapToGrid w:val="0"/>
        <w:spacing w:beforeLines="0" w:line="360" w:lineRule="auto"/>
        <w:ind w:firstLine="560"/>
        <w:rPr>
          <w:rFonts w:ascii="宋体" w:hAnsi="宋体"/>
          <w:color w:val="auto"/>
          <w:sz w:val="28"/>
          <w:szCs w:val="28"/>
          <w:highlight w:val="none"/>
        </w:rPr>
      </w:pPr>
      <w:r>
        <w:rPr>
          <w:rFonts w:hint="eastAsia" w:ascii="宋体" w:hAnsi="宋体"/>
          <w:color w:val="auto"/>
          <w:sz w:val="28"/>
          <w:szCs w:val="28"/>
          <w:highlight w:val="none"/>
        </w:rPr>
        <w:t>受玉环市国有资产投资经营集团有限公司委托，公开转让其所持有的</w:t>
      </w:r>
      <w:r>
        <w:rPr>
          <w:rFonts w:hint="eastAsia" w:ascii="宋体" w:hAnsi="宋体"/>
          <w:color w:val="auto"/>
          <w:sz w:val="28"/>
          <w:szCs w:val="28"/>
          <w:highlight w:val="none"/>
          <w:lang w:eastAsia="zh-CN"/>
        </w:rPr>
        <w:t>台州美标水泥有限公司80%</w:t>
      </w:r>
      <w:r>
        <w:rPr>
          <w:rFonts w:hint="eastAsia" w:ascii="宋体" w:hAnsi="宋体"/>
          <w:color w:val="auto"/>
          <w:sz w:val="28"/>
          <w:szCs w:val="28"/>
          <w:highlight w:val="none"/>
        </w:rPr>
        <w:t>股权。现将有关事项告知意向受让人，请认真阅读与遵守。</w:t>
      </w:r>
    </w:p>
    <w:p>
      <w:pPr>
        <w:adjustRightInd w:val="0"/>
        <w:snapToGrid w:val="0"/>
        <w:spacing w:beforeLines="0"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一、转让标的底价及保证金</w:t>
      </w:r>
    </w:p>
    <w:p>
      <w:pPr>
        <w:adjustRightInd w:val="0"/>
        <w:snapToGrid w:val="0"/>
        <w:spacing w:beforeLines="0" w:line="360" w:lineRule="auto"/>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本次转让标的为玉环市国有资产投资经营集团有限公司所持有的</w:t>
      </w:r>
      <w:r>
        <w:rPr>
          <w:rFonts w:hint="eastAsia" w:ascii="宋体" w:hAnsi="宋体"/>
          <w:color w:val="auto"/>
          <w:sz w:val="28"/>
          <w:szCs w:val="28"/>
          <w:highlight w:val="none"/>
          <w:lang w:eastAsia="zh-CN"/>
        </w:rPr>
        <w:t>台州美标水泥有限公司的80%</w:t>
      </w:r>
      <w:r>
        <w:rPr>
          <w:rFonts w:hint="eastAsia" w:ascii="宋体" w:hAnsi="宋体"/>
          <w:color w:val="auto"/>
          <w:sz w:val="28"/>
          <w:szCs w:val="28"/>
          <w:highlight w:val="none"/>
        </w:rPr>
        <w:t>股权。转让底价</w:t>
      </w:r>
      <w:r>
        <w:rPr>
          <w:rFonts w:hint="eastAsia" w:ascii="宋体" w:hAnsi="宋体"/>
          <w:color w:val="auto"/>
          <w:sz w:val="28"/>
          <w:szCs w:val="28"/>
          <w:highlight w:val="none"/>
          <w:lang w:val="en-US" w:eastAsia="zh-CN"/>
        </w:rPr>
        <w:t>4508.6374万</w:t>
      </w:r>
      <w:r>
        <w:rPr>
          <w:rFonts w:hint="eastAsia" w:ascii="宋体" w:hAnsi="宋体"/>
          <w:color w:val="auto"/>
          <w:sz w:val="28"/>
          <w:szCs w:val="28"/>
          <w:highlight w:val="none"/>
        </w:rPr>
        <w:t>元人民币，竞买保证金</w:t>
      </w:r>
      <w:r>
        <w:rPr>
          <w:rFonts w:hint="eastAsia" w:ascii="宋体" w:hAnsi="宋体"/>
          <w:color w:val="auto"/>
          <w:sz w:val="28"/>
          <w:szCs w:val="28"/>
          <w:highlight w:val="none"/>
          <w:lang w:val="en-US" w:eastAsia="zh-CN"/>
        </w:rPr>
        <w:t>1350.00万</w:t>
      </w:r>
      <w:r>
        <w:rPr>
          <w:rFonts w:hint="eastAsia" w:ascii="宋体" w:hAnsi="宋体"/>
          <w:color w:val="auto"/>
          <w:sz w:val="28"/>
          <w:szCs w:val="28"/>
          <w:highlight w:val="none"/>
        </w:rPr>
        <w:t>元人民币</w:t>
      </w:r>
      <w:r>
        <w:rPr>
          <w:rFonts w:hint="eastAsia" w:ascii="宋体" w:hAnsi="宋体"/>
          <w:color w:val="auto"/>
          <w:sz w:val="28"/>
          <w:szCs w:val="28"/>
          <w:highlight w:val="none"/>
          <w:lang w:eastAsia="zh-CN"/>
        </w:rPr>
        <w:t>。</w:t>
      </w:r>
    </w:p>
    <w:p>
      <w:pPr>
        <w:adjustRightInd w:val="0"/>
        <w:snapToGrid w:val="0"/>
        <w:spacing w:beforeLines="0"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二、本次股权转让行为已经必要的内部决策和批准程序，资产评估项目已经玉环市</w:t>
      </w:r>
      <w:r>
        <w:rPr>
          <w:rFonts w:hint="eastAsia" w:ascii="宋体" w:hAnsi="宋体"/>
          <w:color w:val="auto"/>
          <w:sz w:val="28"/>
          <w:szCs w:val="28"/>
          <w:highlight w:val="none"/>
          <w:lang w:val="en-US" w:eastAsia="zh-CN"/>
        </w:rPr>
        <w:t>人民政府</w:t>
      </w:r>
      <w:r>
        <w:rPr>
          <w:rFonts w:hint="eastAsia" w:ascii="宋体" w:hAnsi="宋体"/>
          <w:color w:val="auto"/>
          <w:sz w:val="28"/>
          <w:szCs w:val="28"/>
          <w:highlight w:val="none"/>
        </w:rPr>
        <w:t>国有资产</w:t>
      </w:r>
      <w:r>
        <w:rPr>
          <w:rFonts w:hint="eastAsia" w:ascii="宋体" w:hAnsi="宋体"/>
          <w:color w:val="auto"/>
          <w:sz w:val="28"/>
          <w:szCs w:val="28"/>
          <w:highlight w:val="none"/>
          <w:lang w:val="en-US" w:eastAsia="zh-CN"/>
        </w:rPr>
        <w:t>监督管理办公室</w:t>
      </w:r>
      <w:r>
        <w:rPr>
          <w:rFonts w:hint="eastAsia" w:ascii="宋体" w:hAnsi="宋体"/>
          <w:color w:val="auto"/>
          <w:sz w:val="28"/>
          <w:szCs w:val="28"/>
          <w:highlight w:val="none"/>
        </w:rPr>
        <w:t>备案，</w:t>
      </w:r>
      <w:bookmarkStart w:id="13" w:name="待定03"/>
      <w:r>
        <w:rPr>
          <w:rFonts w:hint="eastAsia" w:ascii="宋体" w:hAnsi="宋体"/>
          <w:color w:val="auto"/>
          <w:sz w:val="28"/>
          <w:szCs w:val="28"/>
          <w:highlight w:val="none"/>
        </w:rPr>
        <w:t>转让行为已经</w:t>
      </w:r>
      <w:r>
        <w:rPr>
          <w:rFonts w:hint="eastAsia" w:ascii="宋体" w:hAnsi="宋体"/>
          <w:color w:val="auto"/>
          <w:sz w:val="28"/>
          <w:szCs w:val="28"/>
          <w:highlight w:val="none"/>
          <w:lang w:val="en-US" w:eastAsia="zh-CN"/>
        </w:rPr>
        <w:t>玉环市财政局</w:t>
      </w:r>
      <w:r>
        <w:rPr>
          <w:rFonts w:hint="eastAsia" w:ascii="宋体" w:hAnsi="宋体"/>
          <w:color w:val="auto"/>
          <w:sz w:val="28"/>
          <w:szCs w:val="28"/>
          <w:highlight w:val="none"/>
        </w:rPr>
        <w:t>批准。</w:t>
      </w:r>
      <w:bookmarkEnd w:id="13"/>
    </w:p>
    <w:p>
      <w:pPr>
        <w:adjustRightInd w:val="0"/>
        <w:snapToGrid w:val="0"/>
        <w:spacing w:beforeLines="0" w:line="360" w:lineRule="auto"/>
        <w:ind w:firstLine="560"/>
        <w:rPr>
          <w:rFonts w:ascii="宋体" w:hAnsi="宋体"/>
          <w:color w:val="auto"/>
          <w:sz w:val="28"/>
          <w:szCs w:val="28"/>
          <w:highlight w:val="none"/>
        </w:rPr>
      </w:pPr>
      <w:r>
        <w:rPr>
          <w:rFonts w:hint="eastAsia" w:ascii="宋体" w:hAnsi="宋体"/>
          <w:color w:val="auto"/>
          <w:sz w:val="28"/>
          <w:szCs w:val="28"/>
          <w:highlight w:val="none"/>
        </w:rPr>
        <w:t>三、企业基本情况</w:t>
      </w:r>
    </w:p>
    <w:p>
      <w:pPr>
        <w:adjustRightInd w:val="0"/>
        <w:snapToGrid w:val="0"/>
        <w:spacing w:beforeLines="0" w:line="360" w:lineRule="auto"/>
        <w:ind w:firstLine="560"/>
        <w:rPr>
          <w:rFonts w:ascii="宋体" w:hAnsi="宋体"/>
          <w:color w:val="auto"/>
          <w:sz w:val="28"/>
          <w:szCs w:val="28"/>
          <w:highlight w:val="none"/>
        </w:rPr>
      </w:pPr>
      <w:r>
        <w:rPr>
          <w:rFonts w:hint="eastAsia" w:ascii="宋体" w:hAnsi="宋体"/>
          <w:color w:val="auto"/>
          <w:sz w:val="28"/>
          <w:szCs w:val="28"/>
          <w:highlight w:val="none"/>
        </w:rPr>
        <w:t>1、公司注册情况</w:t>
      </w:r>
    </w:p>
    <w:p>
      <w:pPr>
        <w:adjustRightInd w:val="0"/>
        <w:snapToGrid w:val="0"/>
        <w:spacing w:beforeLines="0" w:line="360" w:lineRule="auto"/>
        <w:ind w:firstLine="638" w:firstLineChars="228"/>
        <w:rPr>
          <w:rFonts w:hint="eastAsia" w:ascii="宋体" w:hAnsi="宋体"/>
          <w:color w:val="auto"/>
          <w:sz w:val="28"/>
          <w:szCs w:val="28"/>
          <w:highlight w:val="none"/>
          <w:lang w:val="en-US" w:eastAsia="zh-CN"/>
        </w:rPr>
      </w:pPr>
      <w:r>
        <w:rPr>
          <w:rFonts w:hint="eastAsia" w:ascii="宋体" w:hAnsi="宋体"/>
          <w:color w:val="auto"/>
          <w:sz w:val="28"/>
          <w:szCs w:val="28"/>
          <w:highlight w:val="none"/>
          <w:lang w:eastAsia="zh-CN"/>
        </w:rPr>
        <w:t>台州美标水泥有限公司（以下简称美标公司）</w:t>
      </w:r>
      <w:r>
        <w:rPr>
          <w:rFonts w:hint="eastAsia" w:ascii="宋体" w:hAnsi="宋体"/>
          <w:color w:val="auto"/>
          <w:sz w:val="28"/>
          <w:szCs w:val="28"/>
          <w:highlight w:val="none"/>
        </w:rPr>
        <w:t>成立于200</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02</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07</w:t>
      </w:r>
      <w:r>
        <w:rPr>
          <w:rFonts w:hint="eastAsia" w:ascii="宋体" w:hAnsi="宋体"/>
          <w:color w:val="auto"/>
          <w:sz w:val="28"/>
          <w:szCs w:val="28"/>
          <w:highlight w:val="none"/>
        </w:rPr>
        <w:t>日，注册资本</w:t>
      </w:r>
      <w:r>
        <w:rPr>
          <w:rFonts w:hint="eastAsia" w:ascii="宋体" w:hAnsi="宋体"/>
          <w:color w:val="auto"/>
          <w:sz w:val="28"/>
          <w:szCs w:val="28"/>
          <w:highlight w:val="none"/>
          <w:lang w:val="en-US" w:eastAsia="zh-CN"/>
        </w:rPr>
        <w:t>5001.8</w:t>
      </w:r>
      <w:r>
        <w:rPr>
          <w:rFonts w:hint="eastAsia" w:ascii="宋体" w:hAnsi="宋体"/>
          <w:color w:val="auto"/>
          <w:sz w:val="28"/>
          <w:szCs w:val="28"/>
          <w:highlight w:val="none"/>
        </w:rPr>
        <w:t>万元，统一社会信用代码为91331002148269567F，法定代表人为王文荣；经营范围：水泥制品销售；非金属矿及制品销售；煤炭及制品销售；普通货物仓储服务（不含危险化学品等需许可审批的项目）；塑料制品销售；金属材料销售；建筑材料销售；化工产品销售（不含许可类化工产品）(除依法须经批准的项目外，凭营业执照依法自主开展经营活动)</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公司持有港口经营许可证，证号（浙台）港经证（0008）号，有效期2019年10月11日至2022年10月14日。</w:t>
      </w:r>
    </w:p>
    <w:p>
      <w:pPr>
        <w:adjustRightInd w:val="0"/>
        <w:snapToGrid w:val="0"/>
        <w:spacing w:beforeLines="0" w:line="360" w:lineRule="auto"/>
        <w:ind w:firstLine="638" w:firstLineChars="228"/>
        <w:rPr>
          <w:rFonts w:ascii="宋体" w:hAnsi="宋体"/>
          <w:color w:val="auto"/>
          <w:sz w:val="28"/>
          <w:szCs w:val="28"/>
          <w:highlight w:val="none"/>
        </w:rPr>
      </w:pPr>
      <w:r>
        <w:rPr>
          <w:rFonts w:hint="eastAsia" w:ascii="宋体" w:hAnsi="宋体"/>
          <w:color w:val="auto"/>
          <w:sz w:val="28"/>
          <w:szCs w:val="28"/>
          <w:highlight w:val="none"/>
        </w:rPr>
        <w:t>2、公司经营情况</w:t>
      </w:r>
    </w:p>
    <w:p>
      <w:pPr>
        <w:pStyle w:val="4"/>
        <w:adjustRightInd w:val="0"/>
        <w:snapToGrid w:val="0"/>
        <w:spacing w:beforeLines="0"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lang w:eastAsia="zh-CN"/>
        </w:rPr>
        <w:t>台州美标水泥有限公司</w:t>
      </w:r>
      <w:r>
        <w:rPr>
          <w:rFonts w:hint="eastAsia" w:ascii="宋体" w:hAnsi="宋体" w:cs="宋体"/>
          <w:color w:val="auto"/>
          <w:sz w:val="28"/>
          <w:szCs w:val="28"/>
          <w:highlight w:val="none"/>
          <w:lang w:val="en-US" w:eastAsia="zh-CN"/>
        </w:rPr>
        <w:t>目前停业状态，厂房已对外出租，租期自2017年7月1日至2037年6月30日，租期20年，</w:t>
      </w:r>
      <w:r>
        <w:rPr>
          <w:rFonts w:hint="eastAsia" w:ascii="宋体" w:hAnsi="宋体" w:cs="宋体"/>
          <w:color w:val="auto"/>
          <w:sz w:val="28"/>
          <w:szCs w:val="28"/>
          <w:highlight w:val="none"/>
        </w:rPr>
        <w:t>租金已收到</w:t>
      </w:r>
      <w:r>
        <w:rPr>
          <w:rFonts w:hint="eastAsia" w:ascii="宋体" w:hAnsi="宋体" w:cs="宋体"/>
          <w:color w:val="auto"/>
          <w:sz w:val="28"/>
          <w:szCs w:val="28"/>
          <w:highlight w:val="none"/>
          <w:lang w:val="en-US" w:eastAsia="zh-CN"/>
        </w:rPr>
        <w:t>2021</w:t>
      </w:r>
      <w:r>
        <w:rPr>
          <w:rFonts w:hint="eastAsia" w:ascii="宋体" w:hAnsi="宋体" w:cs="宋体"/>
          <w:color w:val="auto"/>
          <w:sz w:val="28"/>
          <w:szCs w:val="28"/>
          <w:highlight w:val="none"/>
        </w:rPr>
        <w:t>年</w:t>
      </w:r>
      <w:r>
        <w:rPr>
          <w:rFonts w:hint="eastAsia" w:ascii="宋体" w:hAnsi="宋体" w:cs="宋体"/>
          <w:color w:val="auto"/>
          <w:sz w:val="28"/>
          <w:szCs w:val="28"/>
          <w:highlight w:val="none"/>
          <w:lang w:val="en-US" w:eastAsia="zh-CN"/>
        </w:rPr>
        <w:t>6月30日</w:t>
      </w:r>
      <w:r>
        <w:rPr>
          <w:rFonts w:hint="eastAsia" w:ascii="宋体" w:hAnsi="宋体" w:cs="宋体"/>
          <w:color w:val="auto"/>
          <w:sz w:val="28"/>
          <w:szCs w:val="28"/>
          <w:highlight w:val="none"/>
        </w:rPr>
        <w:t>。</w:t>
      </w:r>
    </w:p>
    <w:p>
      <w:pPr>
        <w:autoSpaceDE w:val="0"/>
        <w:autoSpaceDN w:val="0"/>
        <w:adjustRightInd w:val="0"/>
        <w:snapToGrid w:val="0"/>
        <w:spacing w:before="0" w:beforeLines="0" w:line="360" w:lineRule="auto"/>
        <w:ind w:firstLine="560"/>
        <w:rPr>
          <w:rFonts w:hint="eastAsia" w:ascii="宋体" w:hAnsi="宋体"/>
          <w:color w:val="auto"/>
          <w:sz w:val="28"/>
          <w:szCs w:val="28"/>
          <w:highlight w:val="none"/>
        </w:rPr>
      </w:pPr>
      <w:r>
        <w:rPr>
          <w:rFonts w:ascii="宋体" w:hAnsi="宋体"/>
          <w:color w:val="auto"/>
          <w:sz w:val="28"/>
          <w:szCs w:val="28"/>
          <w:highlight w:val="none"/>
        </w:rPr>
        <w:t>3</w:t>
      </w:r>
      <w:r>
        <w:rPr>
          <w:rFonts w:hint="eastAsia" w:ascii="宋体" w:hAnsi="宋体"/>
          <w:color w:val="auto"/>
          <w:sz w:val="28"/>
          <w:szCs w:val="28"/>
          <w:highlight w:val="none"/>
        </w:rPr>
        <w:t>、公司股权结构</w:t>
      </w:r>
    </w:p>
    <w:p>
      <w:pPr>
        <w:autoSpaceDE w:val="0"/>
        <w:autoSpaceDN w:val="0"/>
        <w:adjustRightInd w:val="0"/>
        <w:snapToGrid w:val="0"/>
        <w:spacing w:before="0" w:beforeLines="0" w:line="360" w:lineRule="auto"/>
        <w:ind w:firstLine="560"/>
        <w:rPr>
          <w:rFonts w:ascii="宋体" w:hAnsi="宋体" w:cs="宋体"/>
          <w:color w:val="auto"/>
          <w:sz w:val="28"/>
          <w:szCs w:val="28"/>
          <w:highlight w:val="none"/>
        </w:rPr>
      </w:pPr>
      <w:r>
        <w:rPr>
          <w:rFonts w:hint="eastAsia" w:ascii="宋体" w:hAnsi="宋体"/>
          <w:color w:val="auto"/>
          <w:sz w:val="28"/>
          <w:szCs w:val="28"/>
          <w:highlight w:val="none"/>
          <w:lang w:val="en-US" w:eastAsia="zh-CN"/>
        </w:rPr>
        <w:t>美标公司</w:t>
      </w:r>
      <w:r>
        <w:rPr>
          <w:rFonts w:hint="eastAsia" w:ascii="宋体" w:hAnsi="宋体" w:cs="宋体"/>
          <w:color w:val="auto"/>
          <w:sz w:val="28"/>
          <w:szCs w:val="28"/>
          <w:highlight w:val="none"/>
        </w:rPr>
        <w:t>现有股权结构如下：</w:t>
      </w:r>
    </w:p>
    <w:tbl>
      <w:tblPr>
        <w:tblStyle w:val="9"/>
        <w:tblpPr w:leftFromText="180" w:rightFromText="180" w:vertAnchor="text" w:horzAnchor="page" w:tblpX="1790" w:tblpY="289"/>
        <w:tblOverlap w:val="never"/>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45"/>
        <w:gridCol w:w="240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4245" w:type="dxa"/>
            <w:noWrap w:val="0"/>
            <w:tcMar>
              <w:left w:w="28" w:type="dxa"/>
              <w:right w:w="28" w:type="dxa"/>
            </w:tcMar>
            <w:vAlign w:val="center"/>
          </w:tcPr>
          <w:p>
            <w:pPr>
              <w:widowControl/>
              <w:autoSpaceDE w:val="0"/>
              <w:autoSpaceDN w:val="0"/>
              <w:adjustRightInd w:val="0"/>
              <w:jc w:val="center"/>
              <w:rPr>
                <w:rFonts w:hint="eastAsia" w:ascii="Times New Roman" w:hAnsi="Times New Roman"/>
                <w:b/>
                <w:snapToGrid w:val="0"/>
                <w:color w:val="auto"/>
                <w:kern w:val="0"/>
                <w:sz w:val="24"/>
              </w:rPr>
            </w:pPr>
            <w:r>
              <w:rPr>
                <w:rFonts w:hint="eastAsia" w:ascii="Times New Roman" w:hAnsi="Times New Roman"/>
                <w:b/>
                <w:snapToGrid w:val="0"/>
                <w:color w:val="auto"/>
                <w:kern w:val="0"/>
                <w:sz w:val="24"/>
              </w:rPr>
              <w:t>股东名称</w:t>
            </w:r>
          </w:p>
        </w:tc>
        <w:tc>
          <w:tcPr>
            <w:tcW w:w="2400" w:type="dxa"/>
            <w:noWrap w:val="0"/>
            <w:tcMar>
              <w:left w:w="28" w:type="dxa"/>
              <w:right w:w="28" w:type="dxa"/>
            </w:tcMar>
            <w:vAlign w:val="center"/>
          </w:tcPr>
          <w:p>
            <w:pPr>
              <w:widowControl/>
              <w:autoSpaceDE w:val="0"/>
              <w:autoSpaceDN w:val="0"/>
              <w:adjustRightInd w:val="0"/>
              <w:jc w:val="center"/>
              <w:rPr>
                <w:rFonts w:hint="eastAsia" w:ascii="Times New Roman" w:hAnsi="Times New Roman"/>
                <w:b/>
                <w:snapToGrid w:val="0"/>
                <w:color w:val="auto"/>
                <w:kern w:val="0"/>
                <w:sz w:val="24"/>
              </w:rPr>
            </w:pPr>
            <w:r>
              <w:rPr>
                <w:rFonts w:hint="eastAsia" w:ascii="宋体" w:hAnsi="宋体" w:cs="宋体"/>
                <w:b/>
                <w:color w:val="auto"/>
                <w:kern w:val="0"/>
                <w:sz w:val="24"/>
                <w:highlight w:val="none"/>
              </w:rPr>
              <w:t>出资额（万元）</w:t>
            </w:r>
          </w:p>
        </w:tc>
        <w:tc>
          <w:tcPr>
            <w:tcW w:w="1860" w:type="dxa"/>
            <w:noWrap w:val="0"/>
            <w:tcMar>
              <w:left w:w="28" w:type="dxa"/>
              <w:right w:w="28" w:type="dxa"/>
            </w:tcMar>
            <w:vAlign w:val="center"/>
          </w:tcPr>
          <w:p>
            <w:pPr>
              <w:widowControl/>
              <w:autoSpaceDE w:val="0"/>
              <w:autoSpaceDN w:val="0"/>
              <w:adjustRightInd w:val="0"/>
              <w:ind w:firstLine="0" w:firstLineChars="0"/>
              <w:jc w:val="center"/>
              <w:rPr>
                <w:rFonts w:hint="eastAsia" w:ascii="Times New Roman" w:hAnsi="Times New Roman"/>
                <w:b/>
                <w:snapToGrid w:val="0"/>
                <w:color w:val="auto"/>
                <w:kern w:val="0"/>
                <w:sz w:val="24"/>
              </w:rPr>
            </w:pPr>
            <w:r>
              <w:rPr>
                <w:rFonts w:hint="eastAsia" w:ascii="宋体" w:hAnsi="宋体" w:cs="宋体"/>
                <w:b/>
                <w:color w:val="auto"/>
                <w:kern w:val="0"/>
                <w:sz w:val="24"/>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4245" w:type="dxa"/>
            <w:noWrap w:val="0"/>
            <w:tcMar>
              <w:left w:w="28" w:type="dxa"/>
              <w:right w:w="28" w:type="dxa"/>
            </w:tcMar>
            <w:vAlign w:val="center"/>
          </w:tcPr>
          <w:p>
            <w:pPr>
              <w:widowControl/>
              <w:autoSpaceDE w:val="0"/>
              <w:autoSpaceDN w:val="0"/>
              <w:adjustRightInd w:val="0"/>
              <w:ind w:left="0" w:leftChars="0" w:firstLine="0" w:firstLineChars="0"/>
              <w:jc w:val="both"/>
              <w:rPr>
                <w:rFonts w:hint="eastAsia" w:ascii="Times New Roman" w:hAnsi="Times New Roman"/>
                <w:b/>
                <w:bCs/>
                <w:snapToGrid w:val="0"/>
                <w:color w:val="auto"/>
                <w:kern w:val="0"/>
                <w:sz w:val="24"/>
                <w:lang w:eastAsia="zh-CN"/>
              </w:rPr>
            </w:pPr>
            <w:r>
              <w:rPr>
                <w:rFonts w:hint="eastAsia" w:ascii="Times New Roman" w:hAnsi="Times New Roman"/>
                <w:b/>
                <w:bCs/>
                <w:snapToGrid w:val="0"/>
                <w:color w:val="auto"/>
                <w:kern w:val="0"/>
                <w:sz w:val="24"/>
                <w:lang w:eastAsia="zh-CN"/>
              </w:rPr>
              <w:t>玉环市国有资产投资经营集团有限公司</w:t>
            </w:r>
          </w:p>
        </w:tc>
        <w:tc>
          <w:tcPr>
            <w:tcW w:w="2400" w:type="dxa"/>
            <w:noWrap w:val="0"/>
            <w:tcMar>
              <w:left w:w="28" w:type="dxa"/>
              <w:right w:w="28" w:type="dxa"/>
            </w:tcMar>
            <w:vAlign w:val="center"/>
          </w:tcPr>
          <w:p>
            <w:pPr>
              <w:widowControl/>
              <w:autoSpaceDE w:val="0"/>
              <w:autoSpaceDN w:val="0"/>
              <w:adjustRightInd w:val="0"/>
              <w:jc w:val="center"/>
              <w:rPr>
                <w:rFonts w:hint="eastAsia" w:ascii="Times New Roman" w:hAnsi="Times New Roman"/>
                <w:b/>
                <w:bCs/>
                <w:snapToGrid w:val="0"/>
                <w:color w:val="auto"/>
                <w:kern w:val="0"/>
                <w:sz w:val="24"/>
              </w:rPr>
            </w:pPr>
            <w:r>
              <w:rPr>
                <w:rFonts w:hint="eastAsia" w:cs="Times New Roman"/>
                <w:b/>
                <w:bCs/>
                <w:color w:val="auto"/>
                <w:sz w:val="24"/>
                <w:szCs w:val="24"/>
                <w:highlight w:val="none"/>
                <w:lang w:val="en-US" w:eastAsia="zh-CN"/>
              </w:rPr>
              <w:t>4001.4387</w:t>
            </w:r>
          </w:p>
        </w:tc>
        <w:tc>
          <w:tcPr>
            <w:tcW w:w="1860" w:type="dxa"/>
            <w:noWrap w:val="0"/>
            <w:tcMar>
              <w:left w:w="28" w:type="dxa"/>
              <w:right w:w="28" w:type="dxa"/>
            </w:tcMar>
            <w:vAlign w:val="center"/>
          </w:tcPr>
          <w:p>
            <w:pPr>
              <w:widowControl/>
              <w:autoSpaceDE w:val="0"/>
              <w:autoSpaceDN w:val="0"/>
              <w:adjustRightInd w:val="0"/>
              <w:ind w:firstLine="0" w:firstLineChars="0"/>
              <w:jc w:val="center"/>
              <w:rPr>
                <w:rFonts w:hint="eastAsia" w:ascii="Times New Roman" w:hAnsi="Times New Roman" w:eastAsia="宋体"/>
                <w:b/>
                <w:bCs/>
                <w:snapToGrid w:val="0"/>
                <w:color w:val="auto"/>
                <w:kern w:val="0"/>
                <w:sz w:val="24"/>
                <w:lang w:val="en-US" w:eastAsia="zh-CN"/>
              </w:rPr>
            </w:pPr>
            <w:r>
              <w:rPr>
                <w:rFonts w:hint="eastAsia"/>
                <w:b/>
                <w:bCs/>
                <w:snapToGrid w:val="0"/>
                <w:color w:val="auto"/>
                <w:kern w:val="0"/>
                <w:sz w:val="24"/>
                <w:lang w:val="en-US" w:eastAsia="zh-CN"/>
              </w:rPr>
              <w:t>80</w:t>
            </w:r>
            <w:r>
              <w:rPr>
                <w:rFonts w:hint="eastAsia" w:ascii="Times New Roman" w:hAnsi="Times New Roman"/>
                <w:b/>
                <w:bCs/>
                <w:snapToGrid w:val="0"/>
                <w:color w:val="auto"/>
                <w:kern w:val="0"/>
                <w:sz w:val="24"/>
              </w:rPr>
              <w:t>.00</w:t>
            </w:r>
            <w:r>
              <w:rPr>
                <w:rFonts w:hint="eastAsia"/>
                <w:b/>
                <w:bCs/>
                <w:snapToGrid w:val="0"/>
                <w:color w:val="auto"/>
                <w:kern w:val="0"/>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4245" w:type="dxa"/>
            <w:noWrap w:val="0"/>
            <w:tcMar>
              <w:left w:w="28" w:type="dxa"/>
              <w:right w:w="28" w:type="dxa"/>
            </w:tcMar>
            <w:vAlign w:val="center"/>
          </w:tcPr>
          <w:p>
            <w:pPr>
              <w:tabs>
                <w:tab w:val="left" w:pos="11988"/>
              </w:tabs>
              <w:jc w:val="center"/>
              <w:rPr>
                <w:rFonts w:hint="default" w:ascii="宋体" w:hAnsi="宋体" w:eastAsia="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徐辰楚</w:t>
            </w:r>
          </w:p>
        </w:tc>
        <w:tc>
          <w:tcPr>
            <w:tcW w:w="2400" w:type="dxa"/>
            <w:noWrap w:val="0"/>
            <w:tcMar>
              <w:left w:w="28" w:type="dxa"/>
              <w:right w:w="28" w:type="dxa"/>
            </w:tcMar>
            <w:vAlign w:val="center"/>
          </w:tcPr>
          <w:p>
            <w:pPr>
              <w:tabs>
                <w:tab w:val="left" w:pos="11988"/>
              </w:tabs>
              <w:jc w:val="center"/>
              <w:rPr>
                <w:rFonts w:hint="default" w:ascii="Times New Roman" w:hAnsi="Times New Roman" w:eastAsia="宋体" w:cs="Times New Roman"/>
                <w:b/>
                <w:bCs/>
                <w:color w:val="auto"/>
                <w:kern w:val="2"/>
                <w:sz w:val="24"/>
                <w:szCs w:val="24"/>
                <w:lang w:val="en-US" w:eastAsia="zh-CN" w:bidi="ar-SA"/>
              </w:rPr>
            </w:pPr>
            <w:r>
              <w:rPr>
                <w:rFonts w:hint="eastAsia" w:cs="Times New Roman"/>
                <w:b/>
                <w:bCs/>
                <w:color w:val="auto"/>
                <w:sz w:val="24"/>
                <w:szCs w:val="24"/>
                <w:lang w:val="en-US" w:eastAsia="zh-CN"/>
              </w:rPr>
              <w:t>1000.3613</w:t>
            </w:r>
          </w:p>
        </w:tc>
        <w:tc>
          <w:tcPr>
            <w:tcW w:w="1860" w:type="dxa"/>
            <w:noWrap w:val="0"/>
            <w:tcMar>
              <w:left w:w="28" w:type="dxa"/>
              <w:right w:w="28" w:type="dxa"/>
            </w:tcMar>
            <w:vAlign w:val="center"/>
          </w:tcPr>
          <w:p>
            <w:pPr>
              <w:widowControl/>
              <w:autoSpaceDE w:val="0"/>
              <w:autoSpaceDN w:val="0"/>
              <w:adjustRightInd w:val="0"/>
              <w:ind w:firstLine="0" w:firstLineChars="0"/>
              <w:jc w:val="center"/>
              <w:rPr>
                <w:rFonts w:hint="eastAsia" w:ascii="Times New Roman" w:hAnsi="Times New Roman" w:eastAsia="宋体" w:cs="Times New Roman"/>
                <w:b/>
                <w:bCs/>
                <w:snapToGrid w:val="0"/>
                <w:color w:val="auto"/>
                <w:kern w:val="0"/>
                <w:sz w:val="24"/>
                <w:lang w:val="en-US" w:eastAsia="zh-CN"/>
              </w:rPr>
            </w:pPr>
            <w:r>
              <w:rPr>
                <w:rFonts w:hint="eastAsia" w:cs="Times New Roman"/>
                <w:b/>
                <w:bCs/>
                <w:color w:val="auto"/>
                <w:sz w:val="24"/>
                <w:szCs w:val="24"/>
                <w:lang w:val="en-US" w:eastAsia="zh-CN"/>
              </w:rPr>
              <w:t>20</w:t>
            </w:r>
            <w:r>
              <w:rPr>
                <w:rFonts w:hint="default" w:ascii="Times New Roman" w:hAnsi="Times New Roman" w:eastAsia="宋体" w:cs="Times New Roman"/>
                <w:b/>
                <w:bCs/>
                <w:color w:val="auto"/>
                <w:sz w:val="24"/>
                <w:szCs w:val="24"/>
              </w:rPr>
              <w:t>.00</w:t>
            </w:r>
            <w:r>
              <w:rPr>
                <w:rFonts w:hint="eastAsia" w:cs="Times New Roman"/>
                <w:b/>
                <w:bCs/>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4245" w:type="dxa"/>
            <w:noWrap w:val="0"/>
            <w:tcMar>
              <w:left w:w="28" w:type="dxa"/>
              <w:right w:w="28" w:type="dxa"/>
            </w:tcMar>
            <w:vAlign w:val="center"/>
          </w:tcPr>
          <w:p>
            <w:pPr>
              <w:tabs>
                <w:tab w:val="left" w:pos="11988"/>
              </w:tabs>
              <w:jc w:val="center"/>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合计</w:t>
            </w:r>
          </w:p>
        </w:tc>
        <w:tc>
          <w:tcPr>
            <w:tcW w:w="2400" w:type="dxa"/>
            <w:noWrap w:val="0"/>
            <w:tcMar>
              <w:left w:w="28" w:type="dxa"/>
              <w:right w:w="28" w:type="dxa"/>
            </w:tcMar>
            <w:vAlign w:val="center"/>
          </w:tcPr>
          <w:p>
            <w:pPr>
              <w:tabs>
                <w:tab w:val="left" w:pos="11988"/>
              </w:tabs>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5001.8</w:t>
            </w:r>
          </w:p>
        </w:tc>
        <w:tc>
          <w:tcPr>
            <w:tcW w:w="1860" w:type="dxa"/>
            <w:noWrap w:val="0"/>
            <w:tcMar>
              <w:left w:w="28" w:type="dxa"/>
              <w:right w:w="28" w:type="dxa"/>
            </w:tcMar>
            <w:vAlign w:val="center"/>
          </w:tcPr>
          <w:p>
            <w:pPr>
              <w:widowControl/>
              <w:autoSpaceDE w:val="0"/>
              <w:autoSpaceDN w:val="0"/>
              <w:adjustRightInd w:val="0"/>
              <w:ind w:firstLine="0" w:firstLineChars="0"/>
              <w:jc w:val="center"/>
              <w:rPr>
                <w:rFonts w:hint="default" w:ascii="Times New Roman" w:hAnsi="Times New Roman" w:eastAsia="宋体" w:cs="Times New Roman"/>
                <w:b/>
                <w:bCs/>
                <w:color w:val="auto"/>
                <w:sz w:val="24"/>
                <w:szCs w:val="24"/>
                <w:lang w:val="en-US" w:eastAsia="zh-CN"/>
              </w:rPr>
            </w:pPr>
            <w:r>
              <w:rPr>
                <w:rFonts w:hint="eastAsia" w:cs="Times New Roman"/>
                <w:b/>
                <w:bCs/>
                <w:color w:val="auto"/>
                <w:sz w:val="24"/>
                <w:szCs w:val="24"/>
                <w:lang w:val="en-US" w:eastAsia="zh-CN"/>
              </w:rPr>
              <w:t>100%</w:t>
            </w:r>
          </w:p>
        </w:tc>
      </w:tr>
    </w:tbl>
    <w:p>
      <w:pPr>
        <w:numPr>
          <w:ilvl w:val="0"/>
          <w:numId w:val="3"/>
        </w:numPr>
        <w:ind w:firstLine="560"/>
        <w:rPr>
          <w:rFonts w:ascii="宋体" w:hAnsi="宋体" w:cs="宋体"/>
          <w:color w:val="auto"/>
          <w:sz w:val="28"/>
          <w:szCs w:val="28"/>
          <w:highlight w:val="none"/>
        </w:rPr>
      </w:pPr>
      <w:r>
        <w:rPr>
          <w:rFonts w:hint="eastAsia" w:ascii="宋体" w:hAnsi="宋体" w:cs="宋体"/>
          <w:color w:val="auto"/>
          <w:sz w:val="28"/>
          <w:szCs w:val="28"/>
          <w:highlight w:val="none"/>
        </w:rPr>
        <w:t>公司资产、负债情况</w:t>
      </w:r>
    </w:p>
    <w:tbl>
      <w:tblPr>
        <w:tblStyle w:val="9"/>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8"/>
        <w:gridCol w:w="1487"/>
        <w:gridCol w:w="1903"/>
        <w:gridCol w:w="1712"/>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restart"/>
            <w:noWrap w:val="0"/>
            <w:vAlign w:val="center"/>
          </w:tcPr>
          <w:p>
            <w:pPr>
              <w:ind w:firstLine="0" w:firstLineChars="0"/>
              <w:jc w:val="both"/>
              <w:rPr>
                <w:rFonts w:ascii="宋体" w:hAnsi="宋体"/>
                <w:b/>
                <w:color w:val="auto"/>
                <w:szCs w:val="21"/>
                <w:highlight w:val="none"/>
              </w:rPr>
            </w:pPr>
            <w:r>
              <w:rPr>
                <w:rFonts w:hint="eastAsia" w:ascii="宋体" w:hAnsi="宋体"/>
                <w:b/>
                <w:color w:val="auto"/>
                <w:szCs w:val="21"/>
                <w:highlight w:val="none"/>
              </w:rPr>
              <w:t>主要财务指标</w:t>
            </w:r>
          </w:p>
          <w:p>
            <w:pPr>
              <w:ind w:firstLine="0" w:firstLineChars="0"/>
              <w:jc w:val="both"/>
              <w:rPr>
                <w:rFonts w:ascii="宋体" w:hAnsi="宋体"/>
                <w:b/>
                <w:color w:val="auto"/>
                <w:szCs w:val="21"/>
                <w:highlight w:val="none"/>
              </w:rPr>
            </w:pPr>
            <w:r>
              <w:rPr>
                <w:rFonts w:hint="eastAsia" w:ascii="宋体" w:hAnsi="宋体"/>
                <w:b/>
                <w:color w:val="auto"/>
                <w:szCs w:val="21"/>
                <w:highlight w:val="none"/>
              </w:rPr>
              <w:t>（单位：人民币元）</w:t>
            </w:r>
          </w:p>
        </w:tc>
        <w:tc>
          <w:tcPr>
            <w:tcW w:w="6852" w:type="dxa"/>
            <w:gridSpan w:val="4"/>
            <w:noWrap w:val="0"/>
            <w:vAlign w:val="center"/>
          </w:tcPr>
          <w:p>
            <w:pPr>
              <w:ind w:firstLine="480"/>
              <w:jc w:val="center"/>
              <w:rPr>
                <w:rFonts w:ascii="宋体" w:hAnsi="宋体"/>
                <w:color w:val="auto"/>
                <w:szCs w:val="21"/>
                <w:highlight w:val="none"/>
              </w:rPr>
            </w:pPr>
            <w:r>
              <w:rPr>
                <w:rFonts w:hint="eastAsia" w:ascii="宋体" w:hAnsi="宋体"/>
                <w:b/>
                <w:bCs/>
                <w:color w:val="auto"/>
                <w:szCs w:val="21"/>
                <w:highlight w:val="none"/>
              </w:rPr>
              <w:t>以下数据出自20</w:t>
            </w:r>
            <w:r>
              <w:rPr>
                <w:rFonts w:hint="eastAsia" w:ascii="宋体" w:hAnsi="宋体"/>
                <w:b/>
                <w:bCs/>
                <w:color w:val="auto"/>
                <w:szCs w:val="21"/>
                <w:highlight w:val="none"/>
                <w:lang w:val="en-US" w:eastAsia="zh-CN"/>
              </w:rPr>
              <w:t>20</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12</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31和</w:t>
            </w:r>
            <w:r>
              <w:rPr>
                <w:rFonts w:hint="eastAsia" w:ascii="宋体" w:hAnsi="宋体"/>
                <w:b/>
                <w:bCs/>
                <w:color w:val="auto"/>
                <w:szCs w:val="21"/>
                <w:highlight w:val="none"/>
              </w:rPr>
              <w:t>20</w:t>
            </w:r>
            <w:r>
              <w:rPr>
                <w:rFonts w:hint="eastAsia" w:ascii="宋体" w:hAnsi="宋体"/>
                <w:b/>
                <w:bCs/>
                <w:color w:val="auto"/>
                <w:szCs w:val="21"/>
                <w:highlight w:val="none"/>
                <w:lang w:val="en-US" w:eastAsia="zh-CN"/>
              </w:rPr>
              <w:t>21</w:t>
            </w:r>
            <w:r>
              <w:rPr>
                <w:rFonts w:hint="eastAsia" w:ascii="宋体" w:hAnsi="宋体"/>
                <w:b/>
                <w:bCs/>
                <w:color w:val="auto"/>
                <w:szCs w:val="21"/>
                <w:highlight w:val="none"/>
              </w:rPr>
              <w:t>年</w:t>
            </w:r>
            <w:r>
              <w:rPr>
                <w:rFonts w:hint="eastAsia" w:ascii="宋体" w:hAnsi="宋体"/>
                <w:b/>
                <w:bCs/>
                <w:color w:val="auto"/>
                <w:szCs w:val="21"/>
                <w:highlight w:val="none"/>
                <w:lang w:val="en-US" w:eastAsia="zh-CN"/>
              </w:rPr>
              <w:t>2</w:t>
            </w:r>
            <w:r>
              <w:rPr>
                <w:rFonts w:hint="eastAsia" w:ascii="宋体" w:hAnsi="宋体"/>
                <w:b/>
                <w:bCs/>
                <w:color w:val="auto"/>
                <w:szCs w:val="21"/>
                <w:highlight w:val="none"/>
              </w:rPr>
              <w:t>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年度日期</w:t>
            </w:r>
          </w:p>
        </w:tc>
        <w:tc>
          <w:tcPr>
            <w:tcW w:w="1903"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资产总计</w:t>
            </w:r>
          </w:p>
        </w:tc>
        <w:tc>
          <w:tcPr>
            <w:tcW w:w="1712"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负债总计</w:t>
            </w:r>
          </w:p>
        </w:tc>
        <w:tc>
          <w:tcPr>
            <w:tcW w:w="1750"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restart"/>
            <w:noWrap w:val="0"/>
            <w:vAlign w:val="center"/>
          </w:tcPr>
          <w:p>
            <w:pPr>
              <w:ind w:firstLine="420" w:firstLineChars="200"/>
              <w:jc w:val="center"/>
              <w:rPr>
                <w:rFonts w:hint="eastAsia" w:ascii="宋体" w:hAnsi="宋体"/>
                <w:b/>
                <w:color w:val="auto"/>
                <w:szCs w:val="21"/>
                <w:highlight w:val="none"/>
              </w:rPr>
            </w:pPr>
            <w:r>
              <w:rPr>
                <w:rFonts w:hint="eastAsia" w:ascii="宋体" w:hAnsi="宋体"/>
                <w:color w:val="auto"/>
                <w:szCs w:val="21"/>
                <w:highlight w:val="none"/>
              </w:rPr>
              <w:t>20</w:t>
            </w:r>
            <w:r>
              <w:rPr>
                <w:rFonts w:hint="eastAsia" w:ascii="宋体" w:hAnsi="宋体"/>
                <w:color w:val="auto"/>
                <w:szCs w:val="21"/>
                <w:highlight w:val="none"/>
                <w:lang w:val="en-US" w:eastAsia="zh-CN"/>
              </w:rPr>
              <w:t>20</w:t>
            </w:r>
            <w:r>
              <w:rPr>
                <w:rFonts w:hint="eastAsia" w:ascii="宋体" w:hAnsi="宋体"/>
                <w:color w:val="auto"/>
                <w:szCs w:val="21"/>
                <w:highlight w:val="none"/>
              </w:rPr>
              <w:t>.</w:t>
            </w:r>
            <w:r>
              <w:rPr>
                <w:rFonts w:hint="eastAsia" w:ascii="宋体" w:hAnsi="宋体"/>
                <w:color w:val="auto"/>
                <w:szCs w:val="21"/>
                <w:highlight w:val="none"/>
                <w:lang w:val="en-US" w:eastAsia="zh-CN"/>
              </w:rPr>
              <w:t>12</w:t>
            </w:r>
            <w:r>
              <w:rPr>
                <w:rFonts w:hint="eastAsia" w:ascii="宋体" w:hAnsi="宋体"/>
                <w:color w:val="auto"/>
                <w:szCs w:val="21"/>
                <w:highlight w:val="none"/>
              </w:rPr>
              <w:t>.</w:t>
            </w:r>
            <w:r>
              <w:rPr>
                <w:rFonts w:hint="eastAsia" w:ascii="宋体" w:hAnsi="宋体"/>
                <w:color w:val="auto"/>
                <w:szCs w:val="21"/>
                <w:highlight w:val="none"/>
                <w:lang w:val="en-US" w:eastAsia="zh-CN"/>
              </w:rPr>
              <w:t>31</w:t>
            </w:r>
          </w:p>
        </w:tc>
        <w:tc>
          <w:tcPr>
            <w:tcW w:w="1903"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78,872,508.29</w:t>
            </w:r>
          </w:p>
        </w:tc>
        <w:tc>
          <w:tcPr>
            <w:tcW w:w="1712"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25,412,573.02</w:t>
            </w:r>
          </w:p>
        </w:tc>
        <w:tc>
          <w:tcPr>
            <w:tcW w:w="1750"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53,459,935.27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continue"/>
            <w:noWrap w:val="0"/>
            <w:vAlign w:val="center"/>
          </w:tcPr>
          <w:p>
            <w:pPr>
              <w:ind w:firstLine="422" w:firstLineChars="200"/>
              <w:jc w:val="center"/>
              <w:rPr>
                <w:rFonts w:hint="eastAsia" w:ascii="宋体" w:hAnsi="宋体"/>
                <w:b/>
                <w:color w:val="auto"/>
                <w:szCs w:val="21"/>
                <w:highlight w:val="none"/>
              </w:rPr>
            </w:pPr>
          </w:p>
        </w:tc>
        <w:tc>
          <w:tcPr>
            <w:tcW w:w="1903"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营业收入</w:t>
            </w:r>
          </w:p>
        </w:tc>
        <w:tc>
          <w:tcPr>
            <w:tcW w:w="1712" w:type="dxa"/>
            <w:noWrap w:val="0"/>
            <w:vAlign w:val="center"/>
          </w:tcPr>
          <w:p>
            <w:pPr>
              <w:ind w:firstLine="422" w:firstLineChars="200"/>
              <w:jc w:val="center"/>
              <w:rPr>
                <w:rFonts w:hint="eastAsia" w:ascii="宋体" w:hAnsi="宋体"/>
                <w:b/>
                <w:color w:val="auto"/>
                <w:szCs w:val="21"/>
                <w:highlight w:val="none"/>
              </w:rPr>
            </w:pPr>
            <w:r>
              <w:rPr>
                <w:rFonts w:hint="eastAsia" w:ascii="宋体" w:hAnsi="宋体"/>
                <w:b/>
                <w:color w:val="auto"/>
                <w:szCs w:val="21"/>
                <w:highlight w:val="none"/>
              </w:rPr>
              <w:t>利润总额</w:t>
            </w:r>
          </w:p>
        </w:tc>
        <w:tc>
          <w:tcPr>
            <w:tcW w:w="1750" w:type="dxa"/>
            <w:noWrap w:val="0"/>
            <w:vAlign w:val="center"/>
          </w:tcPr>
          <w:p>
            <w:pPr>
              <w:ind w:firstLine="422" w:firstLineChars="200"/>
              <w:jc w:val="center"/>
              <w:rPr>
                <w:rFonts w:hint="eastAsia"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continue"/>
            <w:noWrap w:val="0"/>
            <w:vAlign w:val="center"/>
          </w:tcPr>
          <w:p>
            <w:pPr>
              <w:ind w:firstLine="422" w:firstLineChars="200"/>
              <w:jc w:val="center"/>
              <w:rPr>
                <w:rFonts w:hint="eastAsia" w:ascii="宋体" w:hAnsi="宋体"/>
                <w:b/>
                <w:color w:val="auto"/>
                <w:szCs w:val="21"/>
                <w:highlight w:val="none"/>
              </w:rPr>
            </w:pPr>
          </w:p>
        </w:tc>
        <w:tc>
          <w:tcPr>
            <w:tcW w:w="1903"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2,609,178.12</w:t>
            </w:r>
          </w:p>
        </w:tc>
        <w:tc>
          <w:tcPr>
            <w:tcW w:w="1712"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-691,220.49</w:t>
            </w:r>
          </w:p>
        </w:tc>
        <w:tc>
          <w:tcPr>
            <w:tcW w:w="1750" w:type="dxa"/>
            <w:noWrap w:val="0"/>
            <w:vAlign w:val="center"/>
          </w:tcPr>
          <w:p>
            <w:pPr>
              <w:ind w:firstLine="420" w:firstLineChars="20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-691,220.49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年度日期</w:t>
            </w:r>
          </w:p>
        </w:tc>
        <w:tc>
          <w:tcPr>
            <w:tcW w:w="1903"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资产总计</w:t>
            </w:r>
          </w:p>
        </w:tc>
        <w:tc>
          <w:tcPr>
            <w:tcW w:w="1712"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负债总计</w:t>
            </w:r>
          </w:p>
        </w:tc>
        <w:tc>
          <w:tcPr>
            <w:tcW w:w="1750"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restart"/>
            <w:noWrap w:val="0"/>
            <w:vAlign w:val="center"/>
          </w:tcPr>
          <w:p>
            <w:pPr>
              <w:jc w:val="center"/>
              <w:rPr>
                <w:rFonts w:hint="default" w:ascii="宋体" w:hAnsi="宋体" w:eastAsia="宋体"/>
                <w:color w:val="auto"/>
                <w:szCs w:val="21"/>
                <w:highlight w:val="none"/>
                <w:u w:val="single"/>
                <w:lang w:val="en-US" w:eastAsia="zh-CN"/>
              </w:rPr>
            </w:pPr>
            <w:r>
              <w:rPr>
                <w:rFonts w:hint="eastAsia" w:ascii="宋体" w:hAnsi="宋体"/>
                <w:color w:val="auto"/>
                <w:szCs w:val="21"/>
                <w:highlight w:val="none"/>
              </w:rPr>
              <w:t>20</w:t>
            </w:r>
            <w:r>
              <w:rPr>
                <w:rFonts w:hint="eastAsia" w:ascii="宋体" w:hAnsi="宋体"/>
                <w:color w:val="auto"/>
                <w:szCs w:val="21"/>
                <w:highlight w:val="none"/>
                <w:lang w:val="en-US" w:eastAsia="zh-CN"/>
              </w:rPr>
              <w:t>21</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28</w:t>
            </w:r>
          </w:p>
        </w:tc>
        <w:tc>
          <w:tcPr>
            <w:tcW w:w="1903"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78,447,115.38</w:t>
            </w:r>
          </w:p>
        </w:tc>
        <w:tc>
          <w:tcPr>
            <w:tcW w:w="1712"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24,047,038.24</w:t>
            </w:r>
          </w:p>
        </w:tc>
        <w:tc>
          <w:tcPr>
            <w:tcW w:w="1750"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54,400,077.14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1487" w:type="dxa"/>
            <w:vMerge w:val="continue"/>
            <w:shd w:val="clear" w:color="auto" w:fill="auto"/>
            <w:noWrap w:val="0"/>
            <w:vAlign w:val="center"/>
          </w:tcPr>
          <w:p>
            <w:pPr>
              <w:jc w:val="center"/>
              <w:rPr>
                <w:rFonts w:ascii="宋体" w:hAnsi="宋体"/>
                <w:color w:val="auto"/>
                <w:szCs w:val="21"/>
                <w:highlight w:val="none"/>
                <w:u w:val="single"/>
              </w:rPr>
            </w:pPr>
          </w:p>
        </w:tc>
        <w:tc>
          <w:tcPr>
            <w:tcW w:w="1903"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营业收入</w:t>
            </w:r>
          </w:p>
        </w:tc>
        <w:tc>
          <w:tcPr>
            <w:tcW w:w="171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利润总额</w:t>
            </w:r>
          </w:p>
        </w:tc>
        <w:tc>
          <w:tcPr>
            <w:tcW w:w="1750"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1487" w:type="dxa"/>
            <w:vMerge w:val="continue"/>
            <w:shd w:val="clear" w:color="auto" w:fill="auto"/>
            <w:noWrap w:val="0"/>
            <w:vAlign w:val="center"/>
          </w:tcPr>
          <w:p>
            <w:pPr>
              <w:jc w:val="center"/>
              <w:rPr>
                <w:rFonts w:ascii="宋体" w:hAnsi="宋体"/>
                <w:color w:val="auto"/>
                <w:szCs w:val="21"/>
                <w:highlight w:val="none"/>
                <w:u w:val="single"/>
              </w:rPr>
            </w:pPr>
          </w:p>
        </w:tc>
        <w:tc>
          <w:tcPr>
            <w:tcW w:w="1903" w:type="dxa"/>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232,042.51</w:t>
            </w:r>
          </w:p>
        </w:tc>
        <w:tc>
          <w:tcPr>
            <w:tcW w:w="1712"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-332,595.20</w:t>
            </w:r>
          </w:p>
        </w:tc>
        <w:tc>
          <w:tcPr>
            <w:tcW w:w="1750" w:type="dxa"/>
            <w:shd w:val="clear" w:color="auto" w:fill="FFFFFF"/>
            <w:noWrap w:val="0"/>
            <w:vAlign w:val="center"/>
          </w:tcPr>
          <w:p>
            <w:pPr>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-332,595.20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1487"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审计机构</w:t>
            </w:r>
          </w:p>
        </w:tc>
        <w:tc>
          <w:tcPr>
            <w:tcW w:w="5365" w:type="dxa"/>
            <w:gridSpan w:val="3"/>
            <w:shd w:val="clear" w:color="auto" w:fill="FFFFFF"/>
            <w:noWrap w:val="0"/>
            <w:vAlign w:val="center"/>
          </w:tcPr>
          <w:p>
            <w:pPr>
              <w:ind w:firstLine="420" w:firstLineChars="200"/>
              <w:rPr>
                <w:rFonts w:hint="eastAsia" w:ascii="宋体" w:hAnsi="宋体" w:eastAsia="宋体" w:cs="Times New Roman"/>
                <w:color w:val="auto"/>
                <w:szCs w:val="21"/>
                <w:highlight w:val="none"/>
                <w:lang w:eastAsia="zh-CN"/>
              </w:rPr>
            </w:pPr>
            <w:r>
              <w:rPr>
                <w:rFonts w:hint="eastAsia" w:ascii="宋体" w:hAnsi="宋体" w:cs="Times New Roman"/>
                <w:color w:val="auto"/>
                <w:szCs w:val="21"/>
                <w:highlight w:val="none"/>
                <w:lang w:eastAsia="zh-CN"/>
              </w:rPr>
              <w:t>台州宏诚会计师事务所有限公司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6852" w:type="dxa"/>
            <w:gridSpan w:val="4"/>
            <w:shd w:val="clear" w:color="auto" w:fill="FFFFFF"/>
            <w:noWrap w:val="0"/>
            <w:vAlign w:val="center"/>
          </w:tcPr>
          <w:p>
            <w:pPr>
              <w:ind w:firstLine="422" w:firstLineChars="200"/>
              <w:jc w:val="center"/>
              <w:rPr>
                <w:rFonts w:ascii="宋体" w:hAnsi="宋体" w:eastAsia="宋体" w:cs="Times New Roman"/>
                <w:color w:val="auto"/>
                <w:szCs w:val="21"/>
                <w:highlight w:val="none"/>
              </w:rPr>
            </w:pPr>
            <w:r>
              <w:rPr>
                <w:rFonts w:hint="eastAsia" w:ascii="宋体" w:hAnsi="宋体"/>
                <w:b/>
                <w:bCs/>
                <w:color w:val="auto"/>
                <w:szCs w:val="21"/>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jc w:val="center"/>
              <w:rPr>
                <w:rFonts w:ascii="宋体" w:hAnsi="宋体"/>
                <w:color w:val="auto"/>
                <w:szCs w:val="21"/>
                <w:highlight w:val="none"/>
              </w:rPr>
            </w:pPr>
          </w:p>
        </w:tc>
        <w:tc>
          <w:tcPr>
            <w:tcW w:w="1487"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报表日期</w:t>
            </w:r>
          </w:p>
        </w:tc>
        <w:tc>
          <w:tcPr>
            <w:tcW w:w="1903"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资产总计</w:t>
            </w:r>
          </w:p>
        </w:tc>
        <w:tc>
          <w:tcPr>
            <w:tcW w:w="171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负债总计</w:t>
            </w:r>
          </w:p>
        </w:tc>
        <w:tc>
          <w:tcPr>
            <w:tcW w:w="1750"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rPr>
                <w:rFonts w:ascii="宋体" w:hAnsi="宋体"/>
                <w:color w:val="auto"/>
                <w:szCs w:val="21"/>
                <w:highlight w:val="none"/>
              </w:rPr>
            </w:pPr>
          </w:p>
        </w:tc>
        <w:tc>
          <w:tcPr>
            <w:tcW w:w="1487" w:type="dxa"/>
            <w:shd w:val="clear" w:color="auto" w:fill="auto"/>
            <w:noWrap w:val="0"/>
            <w:vAlign w:val="center"/>
          </w:tcPr>
          <w:p>
            <w:pPr>
              <w:jc w:val="center"/>
              <w:rPr>
                <w:rFonts w:hint="default" w:ascii="宋体" w:hAnsi="宋体" w:eastAsia="宋体" w:cs="Times New Roman"/>
                <w:color w:val="auto"/>
                <w:szCs w:val="21"/>
                <w:highlight w:val="none"/>
                <w:lang w:val="en-US"/>
              </w:rPr>
            </w:pPr>
            <w:r>
              <w:rPr>
                <w:rFonts w:hint="eastAsia" w:ascii="宋体" w:hAnsi="宋体"/>
                <w:color w:val="auto"/>
                <w:szCs w:val="21"/>
                <w:highlight w:val="none"/>
              </w:rPr>
              <w:t>20</w:t>
            </w:r>
            <w:r>
              <w:rPr>
                <w:rFonts w:hint="eastAsia" w:ascii="宋体" w:hAnsi="宋体"/>
                <w:color w:val="auto"/>
                <w:szCs w:val="21"/>
                <w:highlight w:val="none"/>
                <w:lang w:val="en-US" w:eastAsia="zh-CN"/>
              </w:rPr>
              <w:t>21.5.31</w:t>
            </w:r>
          </w:p>
        </w:tc>
        <w:tc>
          <w:tcPr>
            <w:tcW w:w="1903" w:type="dxa"/>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68,094,404.17</w:t>
            </w:r>
          </w:p>
        </w:tc>
        <w:tc>
          <w:tcPr>
            <w:tcW w:w="1712"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15,232,065.10</w:t>
            </w:r>
          </w:p>
        </w:tc>
        <w:tc>
          <w:tcPr>
            <w:tcW w:w="1750"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52,862,339.07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rPr>
                <w:rFonts w:ascii="宋体" w:hAnsi="宋体"/>
                <w:color w:val="auto"/>
                <w:szCs w:val="21"/>
                <w:highlight w:val="none"/>
              </w:rPr>
            </w:pPr>
          </w:p>
        </w:tc>
        <w:tc>
          <w:tcPr>
            <w:tcW w:w="1487"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报表类型</w:t>
            </w:r>
          </w:p>
        </w:tc>
        <w:tc>
          <w:tcPr>
            <w:tcW w:w="1903"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营业收入</w:t>
            </w:r>
          </w:p>
        </w:tc>
        <w:tc>
          <w:tcPr>
            <w:tcW w:w="171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利润总额</w:t>
            </w:r>
          </w:p>
        </w:tc>
        <w:tc>
          <w:tcPr>
            <w:tcW w:w="1750"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rPr>
                <w:rFonts w:ascii="宋体" w:hAnsi="宋体"/>
                <w:color w:val="auto"/>
                <w:szCs w:val="21"/>
                <w:highlight w:val="none"/>
              </w:rPr>
            </w:pPr>
          </w:p>
        </w:tc>
        <w:tc>
          <w:tcPr>
            <w:tcW w:w="1487" w:type="dxa"/>
            <w:shd w:val="clear" w:color="auto" w:fill="auto"/>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中期</w:t>
            </w:r>
            <w:r>
              <w:rPr>
                <w:rFonts w:hint="eastAsia" w:ascii="宋体" w:hAnsi="宋体"/>
                <w:color w:val="auto"/>
                <w:szCs w:val="21"/>
                <w:highlight w:val="none"/>
              </w:rPr>
              <w:t>报表</w:t>
            </w:r>
          </w:p>
          <w:p>
            <w:pPr>
              <w:ind w:firstLine="420" w:firstLineChars="200"/>
              <w:jc w:val="center"/>
              <w:rPr>
                <w:rFonts w:ascii="宋体" w:hAnsi="宋体" w:eastAsia="宋体" w:cs="Times New Roman"/>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1-5月）</w:t>
            </w:r>
          </w:p>
        </w:tc>
        <w:tc>
          <w:tcPr>
            <w:tcW w:w="1903" w:type="dxa"/>
            <w:shd w:val="clear" w:color="auto" w:fill="auto"/>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871,160.33</w:t>
            </w:r>
          </w:p>
        </w:tc>
        <w:tc>
          <w:tcPr>
            <w:tcW w:w="1712" w:type="dxa"/>
            <w:shd w:val="clear" w:color="auto" w:fill="FFFFFF"/>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-597,596.20</w:t>
            </w:r>
          </w:p>
        </w:tc>
        <w:tc>
          <w:tcPr>
            <w:tcW w:w="1750" w:type="dxa"/>
            <w:shd w:val="clear" w:color="auto" w:fill="FFFFFF"/>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-597,596.20</w:t>
            </w:r>
          </w:p>
        </w:tc>
      </w:tr>
    </w:tbl>
    <w:p>
      <w:pPr>
        <w:ind w:firstLine="422"/>
        <w:rPr>
          <w:rFonts w:ascii="仿宋_GB2312" w:eastAsia="仿宋_GB2312"/>
          <w:b/>
          <w:color w:val="auto"/>
          <w:szCs w:val="21"/>
          <w:highlight w:val="none"/>
        </w:rPr>
      </w:pPr>
    </w:p>
    <w:tbl>
      <w:tblPr>
        <w:tblStyle w:val="9"/>
        <w:tblW w:w="8682" w:type="dxa"/>
        <w:tblInd w:w="267"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680"/>
        <w:gridCol w:w="2727"/>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680" w:type="dxa"/>
            <w:vMerge w:val="restart"/>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中介机构</w:t>
            </w:r>
          </w:p>
        </w:tc>
        <w:tc>
          <w:tcPr>
            <w:tcW w:w="2727"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会 计 师 事 务 所</w:t>
            </w:r>
          </w:p>
        </w:tc>
        <w:tc>
          <w:tcPr>
            <w:tcW w:w="4275" w:type="dxa"/>
            <w:noWrap w:val="0"/>
            <w:vAlign w:val="center"/>
          </w:tcPr>
          <w:p>
            <w:pPr>
              <w:ind w:firstLine="0" w:firstLineChars="0"/>
              <w:jc w:val="center"/>
              <w:rPr>
                <w:rFonts w:ascii="宋体" w:hAnsi="宋体"/>
                <w:color w:val="auto"/>
                <w:sz w:val="24"/>
                <w:highlight w:val="none"/>
              </w:rPr>
            </w:pPr>
            <w:r>
              <w:rPr>
                <w:rFonts w:hint="eastAsia" w:ascii="宋体" w:hAnsi="宋体"/>
                <w:color w:val="auto"/>
                <w:sz w:val="24"/>
                <w:highlight w:val="none"/>
              </w:rPr>
              <w:t>台州宏诚会计师事务所有限公司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680" w:type="dxa"/>
            <w:vMerge w:val="continue"/>
            <w:noWrap w:val="0"/>
            <w:vAlign w:val="center"/>
          </w:tcPr>
          <w:p>
            <w:pPr>
              <w:ind w:firstLine="0" w:firstLineChars="0"/>
              <w:jc w:val="center"/>
              <w:rPr>
                <w:rFonts w:ascii="仿宋_GB2312" w:eastAsia="仿宋_GB2312"/>
                <w:b/>
                <w:color w:val="auto"/>
                <w:szCs w:val="21"/>
                <w:highlight w:val="none"/>
              </w:rPr>
            </w:pPr>
          </w:p>
        </w:tc>
        <w:tc>
          <w:tcPr>
            <w:tcW w:w="2727"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事 务 所</w:t>
            </w:r>
          </w:p>
        </w:tc>
        <w:tc>
          <w:tcPr>
            <w:tcW w:w="4275" w:type="dxa"/>
            <w:noWrap w:val="0"/>
            <w:vAlign w:val="center"/>
          </w:tcPr>
          <w:p>
            <w:pPr>
              <w:ind w:firstLine="0" w:firstLineChars="0"/>
              <w:jc w:val="center"/>
              <w:rPr>
                <w:rFonts w:ascii="宋体" w:hAnsi="宋体"/>
                <w:color w:val="auto"/>
                <w:sz w:val="24"/>
                <w:highlight w:val="none"/>
              </w:rPr>
            </w:pPr>
            <w:r>
              <w:rPr>
                <w:rFonts w:hint="eastAsia" w:ascii="宋体" w:hAnsi="宋体"/>
                <w:color w:val="auto"/>
                <w:sz w:val="24"/>
                <w:highlight w:val="none"/>
                <w:lang w:val="en-US" w:eastAsia="zh-CN"/>
              </w:rPr>
              <w:t>台州宏诚资产评估事务所（普通合伙）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680" w:type="dxa"/>
            <w:vMerge w:val="restart"/>
            <w:noWrap w:val="0"/>
            <w:vAlign w:val="center"/>
          </w:tcPr>
          <w:p>
            <w:pPr>
              <w:ind w:firstLine="0" w:firstLineChars="0"/>
              <w:jc w:val="center"/>
              <w:rPr>
                <w:rFonts w:ascii="宋体" w:hAnsi="宋体" w:cs="宋体"/>
                <w:b/>
                <w:color w:val="auto"/>
                <w:sz w:val="24"/>
                <w:highlight w:val="none"/>
              </w:rPr>
            </w:pPr>
            <w:r>
              <w:rPr>
                <w:rFonts w:hint="eastAsia" w:ascii="宋体" w:hAnsi="宋体" w:cs="宋体"/>
                <w:b/>
                <w:color w:val="auto"/>
                <w:sz w:val="24"/>
                <w:highlight w:val="none"/>
              </w:rPr>
              <w:t>资产评估核准</w:t>
            </w:r>
          </w:p>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或备案情况</w:t>
            </w:r>
          </w:p>
        </w:tc>
        <w:tc>
          <w:tcPr>
            <w:tcW w:w="2727"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基 准 日</w:t>
            </w:r>
          </w:p>
        </w:tc>
        <w:tc>
          <w:tcPr>
            <w:tcW w:w="4275"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eastAsia="宋体" w:cs="宋体"/>
                <w:b w:val="0"/>
                <w:bCs/>
                <w:color w:val="auto"/>
                <w:sz w:val="24"/>
                <w:szCs w:val="24"/>
                <w:highlight w:val="none"/>
              </w:rPr>
              <w:t>20</w:t>
            </w:r>
            <w:r>
              <w:rPr>
                <w:rFonts w:hint="eastAsia" w:ascii="宋体" w:hAnsi="宋体" w:eastAsia="宋体" w:cs="宋体"/>
                <w:b w:val="0"/>
                <w:bCs/>
                <w:color w:val="auto"/>
                <w:sz w:val="24"/>
                <w:szCs w:val="24"/>
                <w:highlight w:val="none"/>
                <w:lang w:val="en-US" w:eastAsia="zh-CN"/>
              </w:rPr>
              <w:t>2</w:t>
            </w:r>
            <w:r>
              <w:rPr>
                <w:rFonts w:hint="eastAsia" w:ascii="宋体" w:hAnsi="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年</w:t>
            </w:r>
            <w:r>
              <w:rPr>
                <w:rFonts w:hint="eastAsia" w:ascii="宋体" w:hAnsi="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月</w:t>
            </w:r>
            <w:r>
              <w:rPr>
                <w:rFonts w:hint="eastAsia" w:ascii="宋体" w:hAnsi="宋体" w:cs="宋体"/>
                <w:b w:val="0"/>
                <w:bCs/>
                <w:color w:val="auto"/>
                <w:sz w:val="24"/>
                <w:szCs w:val="24"/>
                <w:highlight w:val="none"/>
                <w:lang w:val="en-US" w:eastAsia="zh-CN"/>
              </w:rPr>
              <w:t>28</w:t>
            </w:r>
            <w:r>
              <w:rPr>
                <w:rFonts w:hint="eastAsia" w:ascii="宋体" w:hAnsi="宋体" w:eastAsia="宋体" w:cs="宋体"/>
                <w:b w:val="0"/>
                <w:bCs/>
                <w:color w:val="auto"/>
                <w:sz w:val="24"/>
                <w:szCs w:val="24"/>
                <w:highlight w:val="none"/>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680" w:type="dxa"/>
            <w:vMerge w:val="continue"/>
            <w:noWrap w:val="0"/>
            <w:vAlign w:val="center"/>
          </w:tcPr>
          <w:p>
            <w:pPr>
              <w:ind w:firstLine="0" w:firstLineChars="0"/>
              <w:jc w:val="center"/>
              <w:rPr>
                <w:rFonts w:ascii="仿宋_GB2312" w:eastAsia="仿宋_GB2312"/>
                <w:b/>
                <w:color w:val="auto"/>
                <w:szCs w:val="21"/>
                <w:highlight w:val="none"/>
              </w:rPr>
            </w:pPr>
          </w:p>
        </w:tc>
        <w:tc>
          <w:tcPr>
            <w:tcW w:w="2727"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评估核准（备案）机构</w:t>
            </w:r>
          </w:p>
        </w:tc>
        <w:tc>
          <w:tcPr>
            <w:tcW w:w="4275" w:type="dxa"/>
            <w:noWrap w:val="0"/>
            <w:vAlign w:val="center"/>
          </w:tcPr>
          <w:p>
            <w:pPr>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玉环市人民政府国有资产监督管理办公室</w:t>
            </w:r>
          </w:p>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rPr>
              <w:t>核准□ 备案</w:t>
            </w:r>
            <w:r>
              <w:rPr>
                <w:rFonts w:hint="eastAsia" w:ascii="宋体" w:hAnsi="宋体" w:cs="宋体"/>
                <w:color w:val="auto"/>
                <w:sz w:val="24"/>
                <w:highlight w:val="none"/>
              </w:rPr>
              <w:sym w:font="Wingdings 2" w:char="0052"/>
            </w:r>
          </w:p>
        </w:tc>
      </w:tr>
    </w:tbl>
    <w:p>
      <w:pPr>
        <w:ind w:left="0" w:leftChars="0" w:firstLine="0" w:firstLineChars="0"/>
        <w:rPr>
          <w:rFonts w:ascii="仿宋_GB2312" w:eastAsia="仿宋_GB2312"/>
          <w:b/>
          <w:color w:val="auto"/>
          <w:szCs w:val="21"/>
          <w:highlight w:val="none"/>
        </w:rPr>
      </w:pPr>
    </w:p>
    <w:p>
      <w:pPr>
        <w:numPr>
          <w:ilvl w:val="0"/>
          <w:numId w:val="4"/>
        </w:numPr>
        <w:adjustRightInd w:val="0"/>
        <w:snapToGrid w:val="0"/>
        <w:spacing w:line="360" w:lineRule="auto"/>
        <w:ind w:firstLine="570"/>
        <w:rPr>
          <w:rFonts w:hint="eastAsia"/>
          <w:color w:val="auto"/>
          <w:sz w:val="28"/>
          <w:szCs w:val="28"/>
        </w:rPr>
      </w:pPr>
      <w:r>
        <w:rPr>
          <w:rFonts w:hint="eastAsia"/>
          <w:color w:val="auto"/>
          <w:sz w:val="28"/>
          <w:szCs w:val="28"/>
        </w:rPr>
        <w:t>其他信息披露</w:t>
      </w:r>
    </w:p>
    <w:p>
      <w:pPr>
        <w:adjustRightInd w:val="0"/>
        <w:snapToGrid w:val="0"/>
        <w:spacing w:line="360" w:lineRule="auto"/>
        <w:ind w:firstLine="560"/>
        <w:rPr>
          <w:rFonts w:hint="eastAsia"/>
          <w:color w:val="auto"/>
          <w:sz w:val="28"/>
          <w:szCs w:val="28"/>
        </w:rPr>
      </w:pPr>
      <w:r>
        <w:rPr>
          <w:rFonts w:hint="eastAsia"/>
          <w:color w:val="auto"/>
          <w:sz w:val="28"/>
          <w:szCs w:val="28"/>
        </w:rPr>
        <w:t>具体详见</w:t>
      </w:r>
      <w:r>
        <w:rPr>
          <w:rFonts w:hint="eastAsia"/>
          <w:color w:val="auto"/>
          <w:sz w:val="28"/>
          <w:szCs w:val="28"/>
          <w:lang w:val="en-US" w:eastAsia="zh-CN"/>
        </w:rPr>
        <w:t>宏诚</w:t>
      </w:r>
      <w:r>
        <w:rPr>
          <w:rFonts w:hint="eastAsia"/>
          <w:color w:val="auto"/>
          <w:sz w:val="28"/>
          <w:szCs w:val="28"/>
        </w:rPr>
        <w:t>评报</w:t>
      </w:r>
      <w:r>
        <w:rPr>
          <w:rFonts w:hint="eastAsia"/>
          <w:color w:val="auto"/>
          <w:sz w:val="28"/>
          <w:szCs w:val="28"/>
          <w:lang w:val="en-US" w:eastAsia="zh-CN"/>
        </w:rPr>
        <w:t>字</w:t>
      </w:r>
      <w:r>
        <w:rPr>
          <w:rFonts w:hint="eastAsia" w:ascii="微软雅黑" w:hAnsi="微软雅黑" w:eastAsia="微软雅黑" w:cs="微软雅黑"/>
          <w:color w:val="auto"/>
          <w:sz w:val="28"/>
          <w:szCs w:val="28"/>
        </w:rPr>
        <w:t>[</w:t>
      </w:r>
      <w:r>
        <w:rPr>
          <w:rFonts w:hint="eastAsia"/>
          <w:color w:val="auto"/>
          <w:sz w:val="28"/>
          <w:szCs w:val="28"/>
        </w:rPr>
        <w:t>2021</w:t>
      </w:r>
      <w:r>
        <w:rPr>
          <w:rFonts w:hint="eastAsia" w:ascii="微软雅黑" w:hAnsi="微软雅黑" w:eastAsia="微软雅黑" w:cs="微软雅黑"/>
          <w:color w:val="auto"/>
          <w:sz w:val="28"/>
          <w:szCs w:val="28"/>
        </w:rPr>
        <w:t>]</w:t>
      </w:r>
      <w:r>
        <w:rPr>
          <w:rFonts w:hint="eastAsia"/>
          <w:color w:val="auto"/>
          <w:sz w:val="28"/>
          <w:szCs w:val="28"/>
        </w:rPr>
        <w:t>第0</w:t>
      </w:r>
      <w:r>
        <w:rPr>
          <w:rFonts w:hint="eastAsia"/>
          <w:color w:val="auto"/>
          <w:sz w:val="28"/>
          <w:szCs w:val="28"/>
          <w:lang w:val="en-US" w:eastAsia="zh-CN"/>
        </w:rPr>
        <w:t>38</w:t>
      </w:r>
      <w:r>
        <w:rPr>
          <w:rFonts w:hint="eastAsia"/>
          <w:color w:val="auto"/>
          <w:sz w:val="28"/>
          <w:szCs w:val="28"/>
        </w:rPr>
        <w:t>号评估报告</w:t>
      </w:r>
      <w:r>
        <w:rPr>
          <w:rFonts w:hint="eastAsia"/>
          <w:color w:val="auto"/>
          <w:sz w:val="28"/>
          <w:szCs w:val="28"/>
          <w:lang w:val="en-US" w:eastAsia="zh-CN"/>
        </w:rPr>
        <w:t>中第十一项特别事项说明（见附件）</w:t>
      </w:r>
      <w:r>
        <w:rPr>
          <w:rFonts w:hint="eastAsia"/>
          <w:color w:val="auto"/>
          <w:sz w:val="28"/>
          <w:szCs w:val="28"/>
        </w:rPr>
        <w:t>，</w:t>
      </w:r>
      <w:r>
        <w:rPr>
          <w:rFonts w:hint="eastAsia"/>
          <w:color w:val="auto"/>
          <w:sz w:val="28"/>
          <w:szCs w:val="28"/>
          <w:lang w:val="en-US" w:eastAsia="zh-CN"/>
        </w:rPr>
        <w:t>请</w:t>
      </w:r>
      <w:r>
        <w:rPr>
          <w:rFonts w:hint="eastAsia"/>
          <w:color w:val="auto"/>
          <w:sz w:val="28"/>
          <w:szCs w:val="28"/>
        </w:rPr>
        <w:t>意向受让方认真阅读。</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五、职工安置</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本次股权转让不涉及职工安置问题。</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六</w:t>
      </w:r>
      <w:r>
        <w:rPr>
          <w:rFonts w:hint="eastAsia" w:ascii="宋体" w:hAnsi="宋体"/>
          <w:color w:val="auto"/>
          <w:sz w:val="28"/>
          <w:szCs w:val="28"/>
          <w:highlight w:val="none"/>
        </w:rPr>
        <w:t>、债权债务处置</w:t>
      </w:r>
    </w:p>
    <w:p>
      <w:pPr>
        <w:adjustRightInd w:val="0"/>
        <w:snapToGrid w:val="0"/>
        <w:spacing w:line="360" w:lineRule="auto"/>
        <w:ind w:firstLine="560"/>
        <w:rPr>
          <w:rFonts w:hint="eastAsia" w:ascii="宋体" w:hAnsi="宋体"/>
          <w:color w:val="auto"/>
          <w:sz w:val="28"/>
          <w:szCs w:val="28"/>
          <w:highlight w:val="none"/>
          <w:lang w:val="en-US" w:eastAsia="zh-CN"/>
        </w:rPr>
      </w:pPr>
      <w:r>
        <w:rPr>
          <w:rFonts w:hint="eastAsia" w:ascii="宋体" w:hAnsi="宋体"/>
          <w:color w:val="auto"/>
          <w:sz w:val="28"/>
          <w:szCs w:val="28"/>
          <w:highlight w:val="none"/>
        </w:rPr>
        <w:t>本次股权转让后，</w:t>
      </w:r>
      <w:r>
        <w:rPr>
          <w:rFonts w:hint="eastAsia" w:ascii="宋体" w:hAnsi="宋体"/>
          <w:color w:val="auto"/>
          <w:sz w:val="28"/>
          <w:szCs w:val="28"/>
          <w:highlight w:val="none"/>
          <w:lang w:eastAsia="zh-CN"/>
        </w:rPr>
        <w:t>美标公司</w:t>
      </w:r>
      <w:r>
        <w:rPr>
          <w:rFonts w:hint="eastAsia" w:ascii="宋体" w:hAnsi="宋体"/>
          <w:color w:val="auto"/>
          <w:sz w:val="28"/>
          <w:szCs w:val="28"/>
          <w:highlight w:val="none"/>
        </w:rPr>
        <w:t>法人主体资格并未发生变化，为依法存续的有限责任公司，故此，债权债务依然由</w:t>
      </w:r>
      <w:r>
        <w:rPr>
          <w:rFonts w:hint="eastAsia" w:ascii="宋体" w:hAnsi="宋体"/>
          <w:color w:val="auto"/>
          <w:sz w:val="28"/>
          <w:szCs w:val="28"/>
          <w:highlight w:val="none"/>
          <w:lang w:eastAsia="zh-CN"/>
        </w:rPr>
        <w:t>美标公司</w:t>
      </w:r>
      <w:r>
        <w:rPr>
          <w:rFonts w:hint="eastAsia" w:ascii="宋体" w:hAnsi="宋体"/>
          <w:color w:val="auto"/>
          <w:sz w:val="28"/>
          <w:szCs w:val="28"/>
          <w:highlight w:val="none"/>
        </w:rPr>
        <w:t>继承。</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七</w:t>
      </w:r>
      <w:r>
        <w:rPr>
          <w:rFonts w:hint="eastAsia" w:ascii="宋体" w:hAnsi="宋体"/>
          <w:color w:val="auto"/>
          <w:sz w:val="28"/>
          <w:szCs w:val="28"/>
          <w:highlight w:val="none"/>
        </w:rPr>
        <w:t>、竞买人条件</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具有良好的商业信用及支付能力的境内企业</w:t>
      </w:r>
      <w:r>
        <w:rPr>
          <w:rFonts w:hint="eastAsia" w:ascii="宋体" w:hAnsi="宋体"/>
          <w:color w:val="auto"/>
          <w:sz w:val="28"/>
          <w:szCs w:val="28"/>
          <w:highlight w:val="none"/>
          <w:lang w:eastAsia="zh-CN"/>
        </w:rPr>
        <w:t>、</w:t>
      </w:r>
      <w:r>
        <w:rPr>
          <w:rFonts w:hint="eastAsia" w:ascii="宋体" w:hAnsi="宋体"/>
          <w:color w:val="auto"/>
          <w:sz w:val="28"/>
          <w:szCs w:val="28"/>
          <w:highlight w:val="none"/>
        </w:rPr>
        <w:t>其他组织</w:t>
      </w:r>
      <w:r>
        <w:rPr>
          <w:rFonts w:hint="eastAsia" w:ascii="宋体" w:hAnsi="宋体"/>
          <w:color w:val="auto"/>
          <w:sz w:val="28"/>
          <w:szCs w:val="28"/>
          <w:highlight w:val="none"/>
          <w:lang w:eastAsia="zh-CN"/>
        </w:rPr>
        <w:t>或自然人</w:t>
      </w:r>
      <w:r>
        <w:rPr>
          <w:rFonts w:hint="eastAsia" w:ascii="宋体" w:hAnsi="宋体"/>
          <w:color w:val="auto"/>
          <w:sz w:val="28"/>
          <w:szCs w:val="28"/>
          <w:highlight w:val="none"/>
        </w:rPr>
        <w:t>。</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lang w:val="en-US" w:eastAsia="zh-CN"/>
        </w:rPr>
        <w:t>2.意向竞买人承诺对美标公司已订立的所有合同（包括书面及非书面）继续履行。</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本项目不接受联合体摘牌。</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八</w:t>
      </w:r>
      <w:r>
        <w:rPr>
          <w:rFonts w:hint="eastAsia" w:ascii="宋体" w:hAnsi="宋体"/>
          <w:color w:val="auto"/>
          <w:sz w:val="28"/>
          <w:szCs w:val="28"/>
          <w:highlight w:val="none"/>
        </w:rPr>
        <w:t>、竞买保证金缴纳、使用、退还</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1、竞买保证金缴纳：竞买人缴付的竞买保证金应在报名截止日前以转账方式缴入。</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2、竞买保证金使用：竞买人竞得标的后，竞买保证金可抵作应支付部分转让款项。</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3、出现下列情形竞买人保证金可在五个工作日内退还（不计息）：</w:t>
      </w:r>
    </w:p>
    <w:p>
      <w:pPr>
        <w:adjustRightInd w:val="0"/>
        <w:snapToGrid w:val="0"/>
        <w:spacing w:line="360" w:lineRule="auto"/>
        <w:ind w:firstLine="565" w:firstLineChars="202"/>
        <w:rPr>
          <w:rFonts w:ascii="宋体" w:hAnsi="宋体"/>
          <w:color w:val="auto"/>
          <w:sz w:val="28"/>
          <w:szCs w:val="28"/>
          <w:highlight w:val="none"/>
        </w:rPr>
      </w:pPr>
      <w:r>
        <w:rPr>
          <w:rFonts w:hint="eastAsia" w:ascii="宋体" w:hAnsi="宋体"/>
          <w:color w:val="auto"/>
          <w:sz w:val="28"/>
          <w:szCs w:val="28"/>
          <w:highlight w:val="none"/>
        </w:rPr>
        <w:t>（1）经资格审核，不符合竞买资格的；</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（2）参加竞价并应价但未能竞得标的者；</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（3）竞价转让前，因政策等正当理由取消竞价转让的。</w:t>
      </w:r>
    </w:p>
    <w:p>
      <w:pPr>
        <w:tabs>
          <w:tab w:val="left" w:pos="6360"/>
        </w:tabs>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4、出现下列情形竞买人保证金不予退还：</w:t>
      </w:r>
    </w:p>
    <w:p>
      <w:pPr>
        <w:tabs>
          <w:tab w:val="left" w:pos="6360"/>
        </w:tabs>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（1）竞买人存在不当行为，包括但不限于：竞买人提供的资料和信息存在虚假、不真实、不具有效力等情形。</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）被确定为最终受让方后，未按期支付成交款项的；</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）未按期与出让方签订《成交确定书》和《</w:t>
      </w:r>
      <w:r>
        <w:rPr>
          <w:rFonts w:hint="eastAsia" w:ascii="宋体" w:hAnsi="宋体"/>
          <w:color w:val="auto"/>
          <w:sz w:val="28"/>
          <w:szCs w:val="28"/>
          <w:highlight w:val="none"/>
          <w:lang w:val="en-US" w:eastAsia="zh-CN"/>
        </w:rPr>
        <w:t>股权</w:t>
      </w:r>
      <w:r>
        <w:rPr>
          <w:rFonts w:hint="eastAsia" w:ascii="宋体" w:hAnsi="宋体"/>
          <w:color w:val="auto"/>
          <w:sz w:val="28"/>
          <w:szCs w:val="28"/>
          <w:highlight w:val="none"/>
        </w:rPr>
        <w:t>转让合同》的；</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）竞买人存在在重大</w:t>
      </w:r>
      <w:r>
        <w:rPr>
          <w:rFonts w:ascii="宋体" w:hAnsi="宋体"/>
          <w:color w:val="auto"/>
          <w:sz w:val="28"/>
          <w:szCs w:val="28"/>
          <w:highlight w:val="none"/>
        </w:rPr>
        <w:t>方面</w:t>
      </w:r>
      <w:r>
        <w:rPr>
          <w:rFonts w:hint="eastAsia" w:ascii="宋体" w:hAnsi="宋体"/>
          <w:color w:val="auto"/>
          <w:sz w:val="28"/>
          <w:szCs w:val="28"/>
          <w:highlight w:val="none"/>
        </w:rPr>
        <w:t>影响标的正常转让、竞价公正性或其他竞价程序要求的情形的。</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九</w:t>
      </w:r>
      <w:r>
        <w:rPr>
          <w:rFonts w:hint="eastAsia" w:ascii="宋体" w:hAnsi="宋体"/>
          <w:color w:val="auto"/>
          <w:sz w:val="28"/>
          <w:szCs w:val="28"/>
          <w:highlight w:val="none"/>
        </w:rPr>
        <w:t>、报名受理</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竞买人应提供下列竞买资料后，台州市产权交易所有限公司（下称“产交所”）予以报名受理，并出具受理通知书。</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1、竞买申请书及承诺函；</w:t>
      </w:r>
    </w:p>
    <w:p>
      <w:pPr>
        <w:adjustRightInd w:val="0"/>
        <w:snapToGrid w:val="0"/>
        <w:spacing w:line="360" w:lineRule="auto"/>
        <w:ind w:firstLine="560"/>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2、竞买人的主体资格证明文件：企业法人须提交有效的企业法人营业执照、法定代表人身份证（复印件加盖竞买人公章）；</w:t>
      </w:r>
      <w:r>
        <w:rPr>
          <w:rFonts w:hint="eastAsia" w:ascii="宋体" w:hAnsi="宋体"/>
          <w:color w:val="auto"/>
          <w:sz w:val="28"/>
          <w:szCs w:val="28"/>
          <w:highlight w:val="none"/>
          <w:lang w:val="en-US" w:eastAsia="zh-CN"/>
        </w:rPr>
        <w:t>自然人提供身份证明；</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3、章程（复印件加盖竞买人公章）、参加本次股权竞买的内部决策文件及相应批准文件；</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4、其他有关本次批准挂牌转让报名所需的材料；</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5、竞买保证金缴纳依据。</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十</w:t>
      </w:r>
      <w:r>
        <w:rPr>
          <w:rFonts w:hint="eastAsia" w:ascii="宋体" w:hAnsi="宋体"/>
          <w:color w:val="auto"/>
          <w:sz w:val="28"/>
          <w:szCs w:val="28"/>
          <w:highlight w:val="none"/>
        </w:rPr>
        <w:t>、</w:t>
      </w:r>
      <w:bookmarkStart w:id="14" w:name="_Hlk25272905"/>
      <w:r>
        <w:rPr>
          <w:rFonts w:hint="eastAsia" w:ascii="宋体" w:hAnsi="宋体"/>
          <w:color w:val="auto"/>
          <w:sz w:val="28"/>
          <w:szCs w:val="28"/>
          <w:highlight w:val="none"/>
        </w:rPr>
        <w:t>竞买资格审核</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根据竞买人提供的上述资料，产交所在本次股权转让报名截止时间后当日对竞买资格进行审核，并将审核意见书面告知转让方进行征询、确认。</w:t>
      </w:r>
    </w:p>
    <w:bookmarkEnd w:id="14"/>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一</w:t>
      </w:r>
      <w:r>
        <w:rPr>
          <w:rFonts w:hint="eastAsia" w:ascii="宋体" w:hAnsi="宋体"/>
          <w:color w:val="auto"/>
          <w:sz w:val="28"/>
          <w:szCs w:val="28"/>
          <w:highlight w:val="none"/>
        </w:rPr>
        <w:t>、竞买资格确认</w:t>
      </w:r>
    </w:p>
    <w:p>
      <w:pPr>
        <w:adjustRightInd w:val="0"/>
        <w:snapToGrid w:val="0"/>
        <w:spacing w:line="360" w:lineRule="auto"/>
        <w:ind w:firstLine="560"/>
        <w:rPr>
          <w:rFonts w:hint="eastAsia" w:ascii="宋体" w:hAnsi="宋体" w:eastAsia="宋体"/>
          <w:color w:val="auto"/>
          <w:sz w:val="28"/>
          <w:szCs w:val="28"/>
          <w:highlight w:val="none"/>
          <w:lang w:val="en-US" w:eastAsia="zh-CN"/>
        </w:rPr>
      </w:pPr>
      <w:r>
        <w:rPr>
          <w:rFonts w:hint="eastAsia" w:ascii="宋体" w:hAnsi="宋体"/>
          <w:color w:val="auto"/>
          <w:sz w:val="28"/>
          <w:szCs w:val="28"/>
          <w:highlight w:val="none"/>
        </w:rPr>
        <w:t>竞买人的竞买资格经审核后，产交所将审核确认意见即时通知竞买人</w:t>
      </w:r>
      <w:r>
        <w:rPr>
          <w:rFonts w:hint="eastAsia" w:ascii="宋体" w:hAnsi="宋体"/>
          <w:color w:val="auto"/>
          <w:sz w:val="28"/>
          <w:szCs w:val="28"/>
          <w:highlight w:val="none"/>
          <w:lang w:eastAsia="zh-CN"/>
        </w:rPr>
        <w:t>。</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二</w:t>
      </w:r>
      <w:r>
        <w:rPr>
          <w:rFonts w:hint="eastAsia" w:ascii="宋体" w:hAnsi="宋体"/>
          <w:color w:val="auto"/>
          <w:sz w:val="28"/>
          <w:szCs w:val="28"/>
          <w:highlight w:val="none"/>
        </w:rPr>
        <w:t>、本次股权挂牌转让按照下列情况确定是否成交</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、在挂牌报名截止时，无人报名或竞买人经竞买资格审核不符合条件的，则本次股权挂牌转让不成交。</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、在挂牌报名截止时，有</w:t>
      </w:r>
      <w:r>
        <w:rPr>
          <w:rFonts w:hint="eastAsia" w:ascii="宋体" w:hAnsi="宋体"/>
          <w:color w:val="auto"/>
          <w:sz w:val="28"/>
          <w:szCs w:val="28"/>
          <w:highlight w:val="none"/>
          <w:lang w:val="en-US" w:eastAsia="zh-CN"/>
        </w:rPr>
        <w:t>一</w:t>
      </w:r>
      <w:r>
        <w:rPr>
          <w:rFonts w:hint="eastAsia" w:ascii="宋体" w:hAnsi="宋体"/>
          <w:color w:val="auto"/>
          <w:sz w:val="28"/>
          <w:szCs w:val="28"/>
          <w:highlight w:val="none"/>
        </w:rPr>
        <w:t>个或以上竞买人报名，竞买人的竞买资格经审核合格的，则按照本次股权网络竞价规则实施竞价程序，出价最高者为受让方，其出价为本次项目挂牌转让的成交价。</w:t>
      </w:r>
    </w:p>
    <w:p>
      <w:pPr>
        <w:adjustRightInd w:val="0"/>
        <w:snapToGrid w:val="0"/>
        <w:spacing w:line="360" w:lineRule="auto"/>
        <w:ind w:firstLine="560"/>
        <w:rPr>
          <w:rFonts w:ascii="宋体" w:hAnsi="宋体" w:cs="宋体"/>
          <w:bCs/>
          <w:color w:val="auto"/>
          <w:kern w:val="0"/>
          <w:sz w:val="28"/>
          <w:szCs w:val="28"/>
          <w:highlight w:val="none"/>
        </w:rPr>
      </w:pPr>
      <w:r>
        <w:rPr>
          <w:rFonts w:hint="eastAsia" w:ascii="宋体" w:hAnsi="宋体"/>
          <w:color w:val="auto"/>
          <w:sz w:val="28"/>
          <w:szCs w:val="28"/>
          <w:highlight w:val="none"/>
        </w:rPr>
        <w:t>网络竞价时间：</w:t>
      </w:r>
      <w:bookmarkStart w:id="15" w:name="待定13"/>
      <w:r>
        <w:rPr>
          <w:rFonts w:hint="eastAsia" w:ascii="宋体" w:hAnsi="宋体"/>
          <w:color w:val="auto"/>
          <w:sz w:val="28"/>
          <w:szCs w:val="28"/>
          <w:highlight w:val="none"/>
        </w:rPr>
        <w:t>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日（星期</w:t>
      </w:r>
      <w:r>
        <w:rPr>
          <w:rFonts w:hint="eastAsia" w:ascii="宋体" w:hAnsi="宋体"/>
          <w:color w:val="auto"/>
          <w:sz w:val="28"/>
          <w:szCs w:val="28"/>
          <w:highlight w:val="none"/>
          <w:lang w:val="en-US" w:eastAsia="zh-CN"/>
        </w:rPr>
        <w:t>四</w:t>
      </w:r>
      <w:r>
        <w:rPr>
          <w:rFonts w:hint="eastAsia" w:ascii="宋体" w:hAnsi="宋体"/>
          <w:color w:val="auto"/>
          <w:sz w:val="28"/>
          <w:szCs w:val="28"/>
          <w:highlight w:val="none"/>
        </w:rPr>
        <w:t>）上午9：30</w:t>
      </w:r>
      <w:bookmarkEnd w:id="15"/>
      <w:r>
        <w:rPr>
          <w:rFonts w:hint="eastAsia" w:ascii="宋体" w:hAnsi="宋体"/>
          <w:color w:val="auto"/>
          <w:sz w:val="28"/>
          <w:szCs w:val="28"/>
          <w:highlight w:val="none"/>
        </w:rPr>
        <w:t>。</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实行网络报名：台州市公共资源交易网（</w:t>
      </w:r>
      <w:r>
        <w:rPr>
          <w:rFonts w:hint="eastAsia" w:asciiTheme="minorEastAsia" w:hAnsiTheme="minorEastAsia" w:eastAsiaTheme="minorEastAsia" w:cstheme="minorEastAsia"/>
          <w:color w:val="auto"/>
          <w:sz w:val="28"/>
          <w:szCs w:val="28"/>
        </w:rPr>
        <w:t>https://tzztb.zjtz.gov.cn/tzcms/</w:t>
      </w:r>
      <w:r>
        <w:rPr>
          <w:rFonts w:hint="eastAsia" w:ascii="宋体" w:hAnsi="宋体"/>
          <w:color w:val="auto"/>
          <w:sz w:val="28"/>
          <w:szCs w:val="28"/>
          <w:highlight w:val="none"/>
        </w:rPr>
        <w:t>），现场资格确认。</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资格确认地址：台州市产权交易所（台州市府大道777号民泰商业银行大楼五楼511室）。</w:t>
      </w:r>
    </w:p>
    <w:p>
      <w:pPr>
        <w:adjustRightInd w:val="0"/>
        <w:snapToGrid w:val="0"/>
        <w:spacing w:line="360" w:lineRule="auto"/>
        <w:ind w:firstLine="560"/>
        <w:rPr>
          <w:rFonts w:ascii="宋体" w:hAnsi="宋体"/>
          <w:color w:val="auto"/>
          <w:sz w:val="28"/>
          <w:szCs w:val="28"/>
          <w:highlight w:val="none"/>
        </w:rPr>
      </w:pPr>
      <w:r>
        <w:rPr>
          <w:rFonts w:hint="eastAsia"/>
          <w:color w:val="auto"/>
          <w:sz w:val="28"/>
          <w:szCs w:val="28"/>
          <w:highlight w:val="none"/>
        </w:rPr>
        <w:t>上述成交价不包括买受人在办理相关手续时所发生的税、费等。</w:t>
      </w:r>
    </w:p>
    <w:p>
      <w:pPr>
        <w:adjustRightInd w:val="0"/>
        <w:snapToGrid w:val="0"/>
        <w:spacing w:line="360" w:lineRule="auto"/>
        <w:ind w:firstLine="560"/>
        <w:rPr>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三</w:t>
      </w:r>
      <w:r>
        <w:rPr>
          <w:rFonts w:hint="eastAsia" w:ascii="宋体" w:hAnsi="宋体"/>
          <w:color w:val="auto"/>
          <w:sz w:val="28"/>
          <w:szCs w:val="28"/>
          <w:highlight w:val="none"/>
        </w:rPr>
        <w:t>、挂牌转让成交后，受让方须两个工作日内签署《成交确认书》和《股权转让合同》。</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四</w:t>
      </w:r>
      <w:r>
        <w:rPr>
          <w:rFonts w:hint="eastAsia" w:ascii="宋体" w:hAnsi="宋体"/>
          <w:color w:val="auto"/>
          <w:sz w:val="28"/>
          <w:szCs w:val="28"/>
          <w:highlight w:val="none"/>
        </w:rPr>
        <w:t>、交易佣金</w:t>
      </w:r>
    </w:p>
    <w:p>
      <w:pPr>
        <w:adjustRightInd w:val="0"/>
        <w:snapToGrid w:val="0"/>
        <w:spacing w:line="360" w:lineRule="auto"/>
        <w:ind w:firstLine="560"/>
        <w:rPr>
          <w:rFonts w:hint="eastAsia" w:ascii="宋体" w:hAnsi="宋体" w:eastAsia="宋体" w:cs="Times New Roman"/>
          <w:color w:val="auto"/>
          <w:sz w:val="28"/>
          <w:szCs w:val="28"/>
          <w:highlight w:val="none"/>
        </w:rPr>
      </w:pPr>
      <w:bookmarkStart w:id="16" w:name="待定14"/>
      <w:r>
        <w:rPr>
          <w:rFonts w:hint="eastAsia" w:ascii="宋体" w:hAnsi="宋体" w:eastAsia="宋体" w:cs="Times New Roman"/>
          <w:color w:val="auto"/>
          <w:sz w:val="28"/>
          <w:szCs w:val="28"/>
          <w:highlight w:val="none"/>
        </w:rPr>
        <w:t>交易佣金为</w:t>
      </w:r>
      <w:bookmarkEnd w:id="16"/>
      <w:r>
        <w:rPr>
          <w:rFonts w:hint="eastAsia" w:ascii="宋体" w:hAnsi="宋体" w:eastAsia="宋体" w:cs="Times New Roman"/>
          <w:color w:val="auto"/>
          <w:sz w:val="28"/>
          <w:szCs w:val="28"/>
          <w:highlight w:val="none"/>
          <w:lang w:val="en-US" w:eastAsia="zh-CN"/>
        </w:rPr>
        <w:t>成交价的</w:t>
      </w:r>
      <w:r>
        <w:rPr>
          <w:rFonts w:hint="eastAsia" w:ascii="宋体" w:hAnsi="宋体" w:cs="Times New Roman"/>
          <w:color w:val="auto"/>
          <w:sz w:val="28"/>
          <w:szCs w:val="28"/>
          <w:highlight w:val="none"/>
          <w:lang w:val="en-US" w:eastAsia="zh-CN"/>
        </w:rPr>
        <w:t>1.24</w:t>
      </w:r>
      <w:r>
        <w:rPr>
          <w:rFonts w:hint="eastAsia" w:ascii="宋体" w:hAnsi="宋体" w:eastAsia="宋体" w:cs="Times New Roman"/>
          <w:color w:val="auto"/>
          <w:sz w:val="28"/>
          <w:szCs w:val="28"/>
          <w:highlight w:val="none"/>
          <w:lang w:val="en-US" w:eastAsia="zh-CN"/>
        </w:rPr>
        <w:t>%</w:t>
      </w:r>
      <w:r>
        <w:rPr>
          <w:rFonts w:hint="eastAsia" w:ascii="宋体" w:hAnsi="宋体" w:eastAsia="宋体" w:cs="Times New Roman"/>
          <w:color w:val="auto"/>
          <w:sz w:val="28"/>
          <w:szCs w:val="28"/>
          <w:highlight w:val="none"/>
        </w:rPr>
        <w:t>，由受让方在与转让方签订《股权转让合同》</w:t>
      </w:r>
      <w:r>
        <w:rPr>
          <w:rFonts w:hint="eastAsia" w:ascii="宋体" w:hAnsi="宋体" w:eastAsia="宋体" w:cs="Times New Roman"/>
          <w:color w:val="auto"/>
          <w:sz w:val="28"/>
          <w:szCs w:val="28"/>
          <w:highlight w:val="none"/>
          <w:lang w:eastAsia="zh-CN"/>
        </w:rPr>
        <w:t>之日起</w:t>
      </w:r>
      <w:r>
        <w:rPr>
          <w:rFonts w:hint="eastAsia" w:ascii="宋体" w:hAnsi="宋体" w:eastAsia="宋体" w:cs="Times New Roman"/>
          <w:color w:val="auto"/>
          <w:sz w:val="28"/>
          <w:szCs w:val="28"/>
          <w:highlight w:val="none"/>
        </w:rPr>
        <w:t>五个工作日内一次性付清。</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五</w:t>
      </w:r>
      <w:r>
        <w:rPr>
          <w:rFonts w:hint="eastAsia" w:ascii="宋体" w:hAnsi="宋体"/>
          <w:color w:val="auto"/>
          <w:sz w:val="28"/>
          <w:szCs w:val="28"/>
          <w:highlight w:val="none"/>
        </w:rPr>
        <w:t>、付款方式</w:t>
      </w:r>
    </w:p>
    <w:p>
      <w:pPr>
        <w:numPr>
          <w:ilvl w:val="0"/>
          <w:numId w:val="0"/>
        </w:numPr>
        <w:tabs>
          <w:tab w:val="left" w:pos="6960"/>
        </w:tabs>
        <w:adjustRightInd w:val="0"/>
        <w:snapToGrid w:val="0"/>
        <w:spacing w:line="360" w:lineRule="auto"/>
        <w:ind w:firstLine="560"/>
        <w:jc w:val="left"/>
        <w:rPr>
          <w:rFonts w:ascii="宋体" w:hAnsi="宋体"/>
          <w:color w:val="auto"/>
          <w:sz w:val="28"/>
          <w:szCs w:val="28"/>
          <w:highlight w:val="none"/>
        </w:rPr>
      </w:pPr>
      <w:r>
        <w:rPr>
          <w:rFonts w:hint="eastAsia" w:ascii="宋体" w:hAnsi="宋体"/>
          <w:color w:val="auto"/>
          <w:sz w:val="28"/>
          <w:szCs w:val="28"/>
          <w:highlight w:val="none"/>
        </w:rPr>
        <w:t>受让方</w:t>
      </w:r>
      <w:r>
        <w:rPr>
          <w:rFonts w:hint="eastAsia" w:ascii="宋体" w:hAnsi="宋体"/>
          <w:color w:val="auto"/>
          <w:sz w:val="28"/>
          <w:szCs w:val="28"/>
          <w:highlight w:val="none"/>
          <w:lang w:eastAsia="zh-CN"/>
        </w:rPr>
        <w:t>应在</w:t>
      </w:r>
      <w:r>
        <w:rPr>
          <w:rFonts w:hint="eastAsia" w:ascii="宋体" w:hAnsi="宋体"/>
          <w:color w:val="auto"/>
          <w:sz w:val="28"/>
          <w:szCs w:val="28"/>
          <w:highlight w:val="none"/>
        </w:rPr>
        <w:t>《股权转让合同》签订</w:t>
      </w:r>
      <w:r>
        <w:rPr>
          <w:rFonts w:hint="eastAsia" w:ascii="宋体" w:hAnsi="宋体"/>
          <w:color w:val="auto"/>
          <w:sz w:val="28"/>
          <w:szCs w:val="28"/>
          <w:highlight w:val="none"/>
          <w:lang w:eastAsia="zh-CN"/>
        </w:rPr>
        <w:t>之日起五</w:t>
      </w:r>
      <w:r>
        <w:rPr>
          <w:rFonts w:hint="eastAsia" w:ascii="宋体" w:hAnsi="宋体"/>
          <w:color w:val="auto"/>
          <w:sz w:val="28"/>
          <w:szCs w:val="28"/>
          <w:highlight w:val="none"/>
        </w:rPr>
        <w:t>个工作日内</w:t>
      </w:r>
      <w:r>
        <w:rPr>
          <w:rFonts w:hint="eastAsia" w:ascii="宋体" w:hAnsi="宋体"/>
          <w:color w:val="auto"/>
          <w:sz w:val="28"/>
          <w:szCs w:val="28"/>
          <w:highlight w:val="none"/>
          <w:lang w:eastAsia="zh-CN"/>
        </w:rPr>
        <w:t>一次性付清</w:t>
      </w:r>
      <w:r>
        <w:rPr>
          <w:rFonts w:hint="eastAsia" w:ascii="宋体" w:hAnsi="宋体"/>
          <w:color w:val="auto"/>
          <w:sz w:val="28"/>
          <w:szCs w:val="28"/>
          <w:highlight w:val="none"/>
        </w:rPr>
        <w:t>本次股权转让款。受让方</w:t>
      </w:r>
      <w:r>
        <w:rPr>
          <w:rFonts w:hint="eastAsia" w:ascii="宋体" w:hAnsi="宋体"/>
          <w:color w:val="auto"/>
          <w:sz w:val="28"/>
          <w:szCs w:val="28"/>
          <w:highlight w:val="none"/>
          <w:lang w:eastAsia="zh-CN"/>
        </w:rPr>
        <w:t>前期</w:t>
      </w:r>
      <w:r>
        <w:rPr>
          <w:rFonts w:hint="eastAsia" w:ascii="宋体" w:hAnsi="宋体"/>
          <w:color w:val="auto"/>
          <w:sz w:val="28"/>
          <w:szCs w:val="28"/>
          <w:highlight w:val="none"/>
        </w:rPr>
        <w:t>缴纳的竞买保证金可抵作</w:t>
      </w:r>
      <w:r>
        <w:rPr>
          <w:rFonts w:hint="eastAsia" w:ascii="宋体" w:hAnsi="宋体"/>
          <w:color w:val="auto"/>
          <w:sz w:val="28"/>
          <w:szCs w:val="28"/>
          <w:highlight w:val="none"/>
          <w:lang w:val="en-US" w:eastAsia="zh-CN"/>
        </w:rPr>
        <w:t>部分</w:t>
      </w:r>
      <w:r>
        <w:rPr>
          <w:rFonts w:hint="eastAsia" w:ascii="宋体" w:hAnsi="宋体"/>
          <w:color w:val="auto"/>
          <w:sz w:val="28"/>
          <w:szCs w:val="28"/>
          <w:highlight w:val="none"/>
        </w:rPr>
        <w:t>转让价款。</w:t>
      </w:r>
    </w:p>
    <w:p>
      <w:pPr>
        <w:adjustRightInd w:val="0"/>
        <w:snapToGrid w:val="0"/>
        <w:spacing w:line="360" w:lineRule="auto"/>
        <w:ind w:firstLine="560"/>
        <w:rPr>
          <w:rFonts w:hint="eastAsia" w:ascii="宋体" w:hAnsi="宋体" w:eastAsia="宋体" w:cs="Times New Roman"/>
          <w:color w:val="auto"/>
          <w:sz w:val="28"/>
          <w:szCs w:val="28"/>
          <w:highlight w:val="none"/>
        </w:rPr>
      </w:pPr>
      <w:r>
        <w:rPr>
          <w:rFonts w:hint="eastAsia"/>
          <w:bCs/>
          <w:color w:val="auto"/>
          <w:sz w:val="28"/>
          <w:szCs w:val="28"/>
          <w:highlight w:val="none"/>
        </w:rPr>
        <w:t>受让方</w:t>
      </w:r>
      <w:r>
        <w:rPr>
          <w:rFonts w:hint="eastAsia" w:eastAsia="宋体"/>
          <w:bCs/>
          <w:color w:val="auto"/>
          <w:sz w:val="28"/>
          <w:szCs w:val="28"/>
          <w:highlight w:val="none"/>
          <w:lang w:eastAsia="zh-CN"/>
        </w:rPr>
        <w:t>应将上述股权转让</w:t>
      </w:r>
      <w:r>
        <w:rPr>
          <w:rFonts w:hint="eastAsia"/>
          <w:bCs/>
          <w:color w:val="auto"/>
          <w:sz w:val="28"/>
          <w:szCs w:val="28"/>
          <w:highlight w:val="none"/>
        </w:rPr>
        <w:t>成交款</w:t>
      </w:r>
      <w:r>
        <w:rPr>
          <w:rFonts w:hint="eastAsia" w:eastAsia="宋体"/>
          <w:bCs/>
          <w:color w:val="auto"/>
          <w:sz w:val="28"/>
          <w:szCs w:val="28"/>
          <w:highlight w:val="none"/>
          <w:lang w:eastAsia="zh-CN"/>
        </w:rPr>
        <w:t>转</w:t>
      </w:r>
      <w:r>
        <w:rPr>
          <w:rFonts w:hint="eastAsia"/>
          <w:bCs/>
          <w:color w:val="auto"/>
          <w:sz w:val="28"/>
          <w:szCs w:val="28"/>
          <w:highlight w:val="none"/>
        </w:rPr>
        <w:t>入</w:t>
      </w:r>
      <w:r>
        <w:rPr>
          <w:rFonts w:hint="eastAsia" w:eastAsia="宋体"/>
          <w:bCs/>
          <w:color w:val="auto"/>
          <w:sz w:val="28"/>
          <w:szCs w:val="28"/>
          <w:highlight w:val="none"/>
          <w:lang w:eastAsia="zh-CN"/>
        </w:rPr>
        <w:t>以下</w:t>
      </w:r>
      <w:r>
        <w:rPr>
          <w:rFonts w:hint="eastAsia"/>
          <w:bCs/>
          <w:color w:val="auto"/>
          <w:sz w:val="28"/>
          <w:szCs w:val="28"/>
          <w:highlight w:val="none"/>
        </w:rPr>
        <w:t>账户（</w:t>
      </w:r>
      <w:r>
        <w:rPr>
          <w:rFonts w:hint="eastAsia" w:ascii="宋体" w:hAnsi="宋体"/>
          <w:b/>
          <w:bCs/>
          <w:color w:val="auto"/>
          <w:sz w:val="28"/>
          <w:szCs w:val="28"/>
          <w:highlight w:val="none"/>
        </w:rPr>
        <w:t>开户单位名称：台州市产权交易所有限公司，开户行：</w:t>
      </w:r>
      <w:r>
        <w:rPr>
          <w:rFonts w:hint="eastAsia" w:ascii="宋体" w:hAnsi="宋体"/>
          <w:b/>
          <w:bCs/>
          <w:color w:val="auto"/>
          <w:sz w:val="28"/>
          <w:szCs w:val="28"/>
          <w:highlight w:val="none"/>
          <w:lang w:val="en-GB"/>
        </w:rPr>
        <w:t>浙江民泰商业银行</w:t>
      </w:r>
      <w:r>
        <w:rPr>
          <w:rFonts w:hint="eastAsia" w:ascii="宋体" w:hAnsi="宋体"/>
          <w:b/>
          <w:bCs/>
          <w:color w:val="auto"/>
          <w:sz w:val="28"/>
          <w:szCs w:val="28"/>
          <w:highlight w:val="none"/>
        </w:rPr>
        <w:t>股份有限公司</w:t>
      </w:r>
      <w:r>
        <w:rPr>
          <w:rFonts w:hint="eastAsia" w:ascii="宋体" w:hAnsi="宋体"/>
          <w:b/>
          <w:bCs/>
          <w:color w:val="auto"/>
          <w:sz w:val="28"/>
          <w:szCs w:val="28"/>
          <w:highlight w:val="none"/>
          <w:lang w:val="en-GB"/>
        </w:rPr>
        <w:t>椒江</w:t>
      </w:r>
      <w:r>
        <w:rPr>
          <w:rFonts w:hint="eastAsia" w:ascii="宋体" w:hAnsi="宋体"/>
          <w:b/>
          <w:bCs/>
          <w:color w:val="auto"/>
          <w:sz w:val="28"/>
          <w:szCs w:val="28"/>
          <w:highlight w:val="none"/>
        </w:rPr>
        <w:t>市府大道</w:t>
      </w:r>
      <w:r>
        <w:rPr>
          <w:rFonts w:hint="eastAsia" w:ascii="宋体" w:hAnsi="宋体"/>
          <w:b/>
          <w:bCs/>
          <w:color w:val="auto"/>
          <w:sz w:val="28"/>
          <w:szCs w:val="28"/>
          <w:highlight w:val="none"/>
          <w:lang w:val="en-GB"/>
        </w:rPr>
        <w:t>支行</w:t>
      </w:r>
      <w:r>
        <w:rPr>
          <w:rFonts w:hint="eastAsia" w:ascii="宋体" w:hAnsi="宋体"/>
          <w:b/>
          <w:bCs/>
          <w:color w:val="auto"/>
          <w:sz w:val="28"/>
          <w:szCs w:val="28"/>
          <w:highlight w:val="none"/>
        </w:rPr>
        <w:t>，账号：</w:t>
      </w:r>
      <w:r>
        <w:rPr>
          <w:rFonts w:ascii="宋体" w:hAnsi="宋体"/>
          <w:b/>
          <w:bCs/>
          <w:color w:val="auto"/>
          <w:sz w:val="28"/>
          <w:szCs w:val="28"/>
          <w:highlight w:val="none"/>
        </w:rPr>
        <w:t>583016260</w:t>
      </w:r>
      <w:r>
        <w:rPr>
          <w:rFonts w:hint="eastAsia" w:ascii="宋体" w:hAnsi="宋体"/>
          <w:b/>
          <w:bCs/>
          <w:color w:val="auto"/>
          <w:sz w:val="28"/>
          <w:szCs w:val="28"/>
          <w:highlight w:val="none"/>
        </w:rPr>
        <w:t>8</w:t>
      </w:r>
      <w:r>
        <w:rPr>
          <w:rFonts w:ascii="宋体" w:hAnsi="宋体"/>
          <w:b/>
          <w:bCs/>
          <w:color w:val="auto"/>
          <w:sz w:val="28"/>
          <w:szCs w:val="28"/>
          <w:highlight w:val="none"/>
        </w:rPr>
        <w:t>000</w:t>
      </w:r>
      <w:r>
        <w:rPr>
          <w:rFonts w:hint="eastAsia" w:ascii="宋体" w:hAnsi="宋体"/>
          <w:b/>
          <w:bCs/>
          <w:color w:val="auto"/>
          <w:sz w:val="28"/>
          <w:szCs w:val="28"/>
          <w:highlight w:val="none"/>
        </w:rPr>
        <w:t>28）</w:t>
      </w:r>
      <w:r>
        <w:rPr>
          <w:rFonts w:hint="eastAsia"/>
          <w:bCs/>
          <w:color w:val="auto"/>
          <w:sz w:val="28"/>
          <w:szCs w:val="28"/>
          <w:highlight w:val="none"/>
        </w:rPr>
        <w:t>。</w:t>
      </w:r>
    </w:p>
    <w:p>
      <w:pPr>
        <w:adjustRightInd w:val="0"/>
        <w:snapToGrid w:val="0"/>
        <w:spacing w:line="360" w:lineRule="auto"/>
        <w:ind w:firstLine="560" w:firstLineChars="200"/>
        <w:rPr>
          <w:rFonts w:ascii="宋体" w:hAnsi="宋体"/>
          <w:bCs/>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六</w:t>
      </w:r>
      <w:r>
        <w:rPr>
          <w:rFonts w:hint="eastAsia" w:ascii="宋体" w:hAnsi="宋体"/>
          <w:color w:val="auto"/>
          <w:sz w:val="28"/>
          <w:szCs w:val="28"/>
          <w:highlight w:val="none"/>
        </w:rPr>
        <w:t>、</w:t>
      </w:r>
      <w:r>
        <w:rPr>
          <w:rFonts w:hint="eastAsia" w:ascii="宋体" w:hAnsi="宋体"/>
          <w:bCs/>
          <w:color w:val="auto"/>
          <w:sz w:val="28"/>
          <w:szCs w:val="28"/>
          <w:highlight w:val="none"/>
        </w:rPr>
        <w:t>股权转让的移交、交割与清算</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1、本次股权转让的交接，在出让方与受让方之间进行。受让方负责向产交所指定账户</w:t>
      </w:r>
      <w:r>
        <w:rPr>
          <w:rFonts w:hint="eastAsia" w:ascii="宋体" w:hAnsi="宋体"/>
          <w:bCs/>
          <w:color w:val="auto"/>
          <w:sz w:val="28"/>
          <w:szCs w:val="28"/>
          <w:highlight w:val="none"/>
          <w:lang w:val="en-US" w:eastAsia="zh-CN"/>
        </w:rPr>
        <w:t>一次性</w:t>
      </w:r>
      <w:r>
        <w:rPr>
          <w:rFonts w:hint="eastAsia" w:ascii="宋体" w:hAnsi="宋体"/>
          <w:bCs/>
          <w:color w:val="auto"/>
          <w:sz w:val="28"/>
          <w:szCs w:val="28"/>
          <w:highlight w:val="none"/>
        </w:rPr>
        <w:t>付清本次股权转让</w:t>
      </w:r>
      <w:r>
        <w:rPr>
          <w:rFonts w:hint="eastAsia" w:ascii="宋体" w:hAnsi="宋体"/>
          <w:bCs/>
          <w:color w:val="auto"/>
          <w:sz w:val="28"/>
          <w:szCs w:val="28"/>
          <w:highlight w:val="none"/>
          <w:lang w:val="en-US" w:eastAsia="zh-CN"/>
        </w:rPr>
        <w:t>款</w:t>
      </w:r>
      <w:r>
        <w:rPr>
          <w:rFonts w:hint="eastAsia" w:ascii="宋体" w:hAnsi="宋体"/>
          <w:bCs/>
          <w:color w:val="auto"/>
          <w:sz w:val="28"/>
          <w:szCs w:val="28"/>
          <w:highlight w:val="none"/>
        </w:rPr>
        <w:t>，且受让方付清交易佣金后，产交所审核后向受让方出具本次股权转让的《产权交易凭证》，受让方方能要求与出让方办理股权挂牌转让标的交接手续。</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2、股权转让交割日：工商变更登记之日为股权转让交割日，表示本次股权转让交割完毕。</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3、股权转让评估基准日（20</w:t>
      </w:r>
      <w:r>
        <w:rPr>
          <w:rFonts w:hint="eastAsia" w:ascii="宋体" w:hAnsi="宋体"/>
          <w:bCs/>
          <w:color w:val="auto"/>
          <w:sz w:val="28"/>
          <w:szCs w:val="28"/>
          <w:highlight w:val="none"/>
          <w:lang w:val="en-US" w:eastAsia="zh-CN"/>
        </w:rPr>
        <w:t>21</w:t>
      </w:r>
      <w:r>
        <w:rPr>
          <w:rFonts w:hint="eastAsia" w:ascii="宋体" w:hAnsi="宋体"/>
          <w:bCs/>
          <w:color w:val="auto"/>
          <w:sz w:val="28"/>
          <w:szCs w:val="28"/>
          <w:highlight w:val="none"/>
        </w:rPr>
        <w:t>年</w:t>
      </w:r>
      <w:r>
        <w:rPr>
          <w:rFonts w:hint="eastAsia" w:ascii="宋体" w:hAnsi="宋体"/>
          <w:bCs/>
          <w:color w:val="auto"/>
          <w:sz w:val="28"/>
          <w:szCs w:val="28"/>
          <w:highlight w:val="none"/>
          <w:lang w:val="en-US" w:eastAsia="zh-CN"/>
        </w:rPr>
        <w:t>2</w:t>
      </w:r>
      <w:r>
        <w:rPr>
          <w:rFonts w:hint="eastAsia" w:ascii="宋体" w:hAnsi="宋体"/>
          <w:bCs/>
          <w:color w:val="auto"/>
          <w:sz w:val="28"/>
          <w:szCs w:val="28"/>
          <w:highlight w:val="none"/>
        </w:rPr>
        <w:t>月</w:t>
      </w:r>
      <w:r>
        <w:rPr>
          <w:rFonts w:hint="eastAsia" w:ascii="宋体" w:hAnsi="宋体"/>
          <w:bCs/>
          <w:color w:val="auto"/>
          <w:sz w:val="28"/>
          <w:szCs w:val="28"/>
          <w:highlight w:val="none"/>
          <w:lang w:val="en-US" w:eastAsia="zh-CN"/>
        </w:rPr>
        <w:t>28</w:t>
      </w:r>
      <w:r>
        <w:rPr>
          <w:rFonts w:hint="eastAsia" w:ascii="宋体" w:hAnsi="宋体"/>
          <w:bCs/>
          <w:color w:val="auto"/>
          <w:sz w:val="28"/>
          <w:szCs w:val="28"/>
          <w:highlight w:val="none"/>
        </w:rPr>
        <w:t>日）至股权转让交割日期间，标的企业经营损益不再进行审计清算，相关权利和义务由受让方按照受让</w:t>
      </w:r>
      <w:r>
        <w:rPr>
          <w:rFonts w:ascii="宋体" w:hAnsi="宋体"/>
          <w:bCs/>
          <w:color w:val="auto"/>
          <w:sz w:val="28"/>
          <w:szCs w:val="28"/>
          <w:highlight w:val="none"/>
        </w:rPr>
        <w:t>股权比例</w:t>
      </w:r>
      <w:r>
        <w:rPr>
          <w:rFonts w:hint="eastAsia" w:ascii="宋体" w:hAnsi="宋体"/>
          <w:bCs/>
          <w:color w:val="auto"/>
          <w:sz w:val="28"/>
          <w:szCs w:val="28"/>
          <w:highlight w:val="none"/>
        </w:rPr>
        <w:t>享有或承担。</w:t>
      </w:r>
    </w:p>
    <w:p>
      <w:pPr>
        <w:adjustRightInd w:val="0"/>
        <w:snapToGrid w:val="0"/>
        <w:spacing w:line="360" w:lineRule="auto"/>
        <w:ind w:firstLine="560"/>
        <w:rPr>
          <w:rFonts w:ascii="宋体" w:hAnsi="宋体"/>
          <w:bCs/>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val="en-US" w:eastAsia="zh-CN"/>
        </w:rPr>
        <w:t>七</w:t>
      </w:r>
      <w:r>
        <w:rPr>
          <w:rFonts w:hint="eastAsia" w:ascii="宋体" w:hAnsi="宋体"/>
          <w:bCs/>
          <w:color w:val="auto"/>
          <w:sz w:val="28"/>
          <w:szCs w:val="28"/>
          <w:highlight w:val="none"/>
        </w:rPr>
        <w:t>、股权变更登记</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受让方取得产交所出具的《产权交易凭证》后，应在出让方配合协助下自行办妥股权转让法律程序必备的文件资料，并上报有关部门进行股权变更登记申请手续。股权变更所发生的费用由受让方承担</w:t>
      </w:r>
      <w:r>
        <w:rPr>
          <w:rFonts w:hint="eastAsia" w:ascii="宋体" w:hAnsi="宋体"/>
          <w:bCs/>
          <w:color w:val="auto"/>
          <w:sz w:val="28"/>
          <w:szCs w:val="28"/>
          <w:highlight w:val="none"/>
          <w:lang w:eastAsia="zh-CN"/>
        </w:rPr>
        <w:t>（</w:t>
      </w:r>
      <w:r>
        <w:rPr>
          <w:rFonts w:hint="eastAsia" w:ascii="宋体" w:hAnsi="宋体"/>
          <w:bCs/>
          <w:color w:val="auto"/>
          <w:sz w:val="28"/>
          <w:szCs w:val="28"/>
          <w:highlight w:val="none"/>
          <w:lang w:val="en-US" w:eastAsia="zh-CN"/>
        </w:rPr>
        <w:t>其中税费按国家法律规定各自缴纳）</w:t>
      </w:r>
      <w:r>
        <w:rPr>
          <w:rFonts w:hint="eastAsia" w:ascii="宋体" w:hAnsi="宋体"/>
          <w:bCs/>
          <w:color w:val="auto"/>
          <w:sz w:val="28"/>
          <w:szCs w:val="28"/>
          <w:highlight w:val="none"/>
        </w:rPr>
        <w:t>。如果由于受让方的原因导致无法获准变更登记的，由受让方承担违约责任，出让方与产交所不承担任何责任。</w:t>
      </w:r>
    </w:p>
    <w:p>
      <w:pPr>
        <w:tabs>
          <w:tab w:val="left" w:pos="8222"/>
        </w:tabs>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十</w:t>
      </w:r>
      <w:r>
        <w:rPr>
          <w:rFonts w:hint="eastAsia" w:ascii="宋体" w:hAnsi="宋体"/>
          <w:bCs/>
          <w:color w:val="auto"/>
          <w:sz w:val="28"/>
          <w:szCs w:val="28"/>
          <w:highlight w:val="none"/>
          <w:lang w:val="en-US" w:eastAsia="zh-CN"/>
        </w:rPr>
        <w:t>八</w:t>
      </w:r>
      <w:r>
        <w:rPr>
          <w:rFonts w:hint="eastAsia" w:ascii="宋体" w:hAnsi="宋体"/>
          <w:bCs/>
          <w:color w:val="auto"/>
          <w:sz w:val="28"/>
          <w:szCs w:val="28"/>
          <w:highlight w:val="none"/>
        </w:rPr>
        <w:t>、委托人、产交所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十</w:t>
      </w:r>
      <w:r>
        <w:rPr>
          <w:rFonts w:hint="eastAsia" w:ascii="宋体" w:hAnsi="宋体"/>
          <w:bCs/>
          <w:color w:val="auto"/>
          <w:sz w:val="28"/>
          <w:szCs w:val="28"/>
          <w:highlight w:val="none"/>
          <w:lang w:val="en-US" w:eastAsia="zh-CN"/>
        </w:rPr>
        <w:t>九</w:t>
      </w:r>
      <w:r>
        <w:rPr>
          <w:rFonts w:hint="eastAsia" w:ascii="宋体" w:hAnsi="宋体"/>
          <w:bCs/>
          <w:color w:val="auto"/>
          <w:sz w:val="28"/>
          <w:szCs w:val="28"/>
          <w:highlight w:val="none"/>
        </w:rPr>
        <w:t>、违约责任</w:t>
      </w:r>
    </w:p>
    <w:p>
      <w:pPr>
        <w:adjustRightInd w:val="0"/>
        <w:snapToGrid w:val="0"/>
        <w:spacing w:line="360" w:lineRule="auto"/>
        <w:ind w:firstLine="560"/>
        <w:rPr>
          <w:rFonts w:hint="eastAsia" w:ascii="宋体" w:hAnsi="宋体"/>
          <w:bCs/>
          <w:color w:val="auto"/>
          <w:sz w:val="28"/>
          <w:szCs w:val="28"/>
          <w:highlight w:val="none"/>
          <w:u w:val="single"/>
        </w:rPr>
      </w:pPr>
      <w:r>
        <w:rPr>
          <w:rFonts w:hint="eastAsia" w:ascii="宋体" w:hAnsi="宋体"/>
          <w:bCs/>
          <w:color w:val="auto"/>
          <w:sz w:val="28"/>
          <w:szCs w:val="28"/>
          <w:highlight w:val="none"/>
        </w:rPr>
        <w:t>竞买人撤回报价或成交后拒绝签署《成交确认书》、《股权转让合同》，视为其</w:t>
      </w:r>
      <w:r>
        <w:rPr>
          <w:rFonts w:hint="eastAsia" w:ascii="宋体" w:hAnsi="宋体"/>
          <w:bCs/>
          <w:color w:val="auto"/>
          <w:sz w:val="28"/>
          <w:szCs w:val="28"/>
          <w:highlight w:val="none"/>
          <w:lang w:val="en-US" w:eastAsia="zh-CN"/>
        </w:rPr>
        <w:t>违</w:t>
      </w:r>
      <w:r>
        <w:rPr>
          <w:rFonts w:hint="eastAsia" w:ascii="宋体" w:hAnsi="宋体"/>
          <w:bCs/>
          <w:color w:val="auto"/>
          <w:sz w:val="28"/>
          <w:szCs w:val="28"/>
          <w:highlight w:val="none"/>
        </w:rPr>
        <w:t>约，产交所有权追究其违约责任；受让方逾期支付股权转让成交款项的，视为受让方根本违约；出让方有权解除《股权转让合同》，产权交易所有权解除《成交确认书》，</w:t>
      </w:r>
      <w:r>
        <w:rPr>
          <w:rFonts w:hint="eastAsia" w:ascii="宋体" w:hAnsi="宋体"/>
          <w:bCs/>
          <w:color w:val="auto"/>
          <w:sz w:val="28"/>
          <w:szCs w:val="28"/>
          <w:highlight w:val="none"/>
          <w:lang w:val="en-US" w:eastAsia="zh-CN"/>
        </w:rPr>
        <w:t>保证金不予返还</w:t>
      </w:r>
      <w:r>
        <w:rPr>
          <w:rFonts w:hint="eastAsia" w:ascii="宋体" w:hAnsi="宋体"/>
          <w:bCs/>
          <w:color w:val="auto"/>
          <w:sz w:val="28"/>
          <w:szCs w:val="28"/>
          <w:highlight w:val="none"/>
        </w:rPr>
        <w:t>。</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lang w:val="en-US" w:eastAsia="zh-CN"/>
        </w:rPr>
        <w:t>二十</w:t>
      </w:r>
      <w:r>
        <w:rPr>
          <w:rFonts w:hint="eastAsia" w:ascii="宋体" w:hAnsi="宋体"/>
          <w:bCs/>
          <w:color w:val="auto"/>
          <w:sz w:val="28"/>
          <w:szCs w:val="28"/>
          <w:highlight w:val="none"/>
        </w:rPr>
        <w:t>、竞买人应仔细分析投资风险。请竞买人自行对标的企业的资产、负债、经营以及相关政策等情况进行全面考察和了解。一旦报名，即表明竞买人自愿承担投资风险和责任。</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w:t>
      </w:r>
      <w:r>
        <w:rPr>
          <w:rFonts w:hint="eastAsia" w:ascii="宋体" w:hAnsi="宋体"/>
          <w:bCs/>
          <w:color w:val="auto"/>
          <w:sz w:val="28"/>
          <w:szCs w:val="28"/>
          <w:highlight w:val="none"/>
          <w:lang w:val="en-US" w:eastAsia="zh-CN"/>
        </w:rPr>
        <w:t>一</w:t>
      </w:r>
      <w:r>
        <w:rPr>
          <w:rFonts w:hint="eastAsia" w:ascii="宋体" w:hAnsi="宋体"/>
          <w:bCs/>
          <w:color w:val="auto"/>
          <w:sz w:val="28"/>
          <w:szCs w:val="28"/>
          <w:highlight w:val="none"/>
        </w:rPr>
        <w:t>、本次挂牌转让是经公告后才举行的，挂牌转让标的涉及的相关资产、负债以现状为准。故产交所对本次挂牌转让标的涉及的相关资产、负债的状态及品质不作担保，也不承担瑕疵的担保责任。</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w:t>
      </w:r>
      <w:r>
        <w:rPr>
          <w:rFonts w:hint="eastAsia" w:ascii="宋体" w:hAnsi="宋体"/>
          <w:bCs/>
          <w:color w:val="auto"/>
          <w:sz w:val="28"/>
          <w:szCs w:val="28"/>
          <w:highlight w:val="none"/>
          <w:lang w:val="en-US" w:eastAsia="zh-CN"/>
        </w:rPr>
        <w:t>二</w:t>
      </w:r>
      <w:r>
        <w:rPr>
          <w:rFonts w:hint="eastAsia" w:ascii="宋体" w:hAnsi="宋体"/>
          <w:bCs/>
          <w:color w:val="auto"/>
          <w:sz w:val="28"/>
          <w:szCs w:val="28"/>
          <w:highlight w:val="none"/>
        </w:rPr>
        <w:t>、凡参加本次挂牌转让的竞买人，即表明已全部了解《</w:t>
      </w:r>
      <w:r>
        <w:rPr>
          <w:rFonts w:hint="eastAsia" w:ascii="宋体" w:hAnsi="宋体"/>
          <w:bCs/>
          <w:color w:val="auto"/>
          <w:sz w:val="28"/>
          <w:szCs w:val="28"/>
          <w:highlight w:val="none"/>
          <w:lang w:eastAsia="zh-CN"/>
        </w:rPr>
        <w:t>台州美标水泥有限公司</w:t>
      </w:r>
      <w:r>
        <w:rPr>
          <w:rFonts w:hint="eastAsia" w:ascii="宋体" w:hAnsi="宋体"/>
          <w:bCs/>
          <w:color w:val="auto"/>
          <w:sz w:val="28"/>
          <w:szCs w:val="28"/>
          <w:highlight w:val="none"/>
          <w:lang w:val="en-US" w:eastAsia="zh-CN"/>
        </w:rPr>
        <w:t>80%</w:t>
      </w:r>
      <w:r>
        <w:rPr>
          <w:rFonts w:hint="eastAsia" w:ascii="宋体" w:hAnsi="宋体"/>
          <w:bCs/>
          <w:color w:val="auto"/>
          <w:sz w:val="28"/>
          <w:szCs w:val="28"/>
          <w:highlight w:val="none"/>
        </w:rPr>
        <w:t>股权转让文件》所涉及的相关资料，并愿意履行有关的义务；表明对转让标的已充分了解，并愿意承担投资风险和责任。</w:t>
      </w:r>
    </w:p>
    <w:p>
      <w:pPr>
        <w:adjustRightInd w:val="0"/>
        <w:snapToGrid w:val="0"/>
        <w:spacing w:line="360" w:lineRule="auto"/>
        <w:ind w:firstLine="560"/>
        <w:rPr>
          <w:rFonts w:ascii="宋体" w:hAnsi="宋体"/>
          <w:bCs/>
          <w:color w:val="auto"/>
          <w:sz w:val="28"/>
          <w:szCs w:val="28"/>
          <w:highlight w:val="none"/>
        </w:rPr>
      </w:pPr>
      <w:r>
        <w:rPr>
          <w:rFonts w:hint="eastAsia" w:ascii="宋体" w:hAnsi="宋体"/>
          <w:bCs/>
          <w:color w:val="auto"/>
          <w:sz w:val="28"/>
          <w:szCs w:val="28"/>
          <w:highlight w:val="none"/>
        </w:rPr>
        <w:t>二十</w:t>
      </w:r>
      <w:r>
        <w:rPr>
          <w:rFonts w:hint="eastAsia" w:ascii="宋体" w:hAnsi="宋体"/>
          <w:bCs/>
          <w:color w:val="auto"/>
          <w:sz w:val="28"/>
          <w:szCs w:val="28"/>
          <w:highlight w:val="none"/>
          <w:lang w:val="en-US" w:eastAsia="zh-CN"/>
        </w:rPr>
        <w:t>三</w:t>
      </w:r>
      <w:r>
        <w:rPr>
          <w:rFonts w:hint="eastAsia" w:ascii="宋体" w:hAnsi="宋体"/>
          <w:bCs/>
          <w:color w:val="auto"/>
          <w:sz w:val="28"/>
          <w:szCs w:val="28"/>
          <w:highlight w:val="none"/>
        </w:rPr>
        <w:t>、本次转让文件的最终解释权归委托方和台州市产权交易所。</w:t>
      </w:r>
    </w:p>
    <w:p>
      <w:pPr>
        <w:spacing w:line="360" w:lineRule="auto"/>
        <w:ind w:firstLine="560"/>
        <w:jc w:val="right"/>
        <w:rPr>
          <w:rFonts w:hint="eastAsia" w:ascii="宋体" w:hAnsi="宋体"/>
          <w:bCs/>
          <w:color w:val="auto"/>
          <w:sz w:val="28"/>
          <w:szCs w:val="28"/>
          <w:highlight w:val="none"/>
        </w:rPr>
      </w:pPr>
    </w:p>
    <w:p>
      <w:pPr>
        <w:spacing w:line="360" w:lineRule="auto"/>
        <w:ind w:firstLine="560"/>
        <w:jc w:val="right"/>
        <w:rPr>
          <w:rFonts w:hint="eastAsia" w:ascii="宋体" w:hAnsi="宋体"/>
          <w:bCs/>
          <w:color w:val="auto"/>
          <w:sz w:val="28"/>
          <w:szCs w:val="28"/>
          <w:highlight w:val="none"/>
        </w:rPr>
      </w:pPr>
    </w:p>
    <w:p>
      <w:pPr>
        <w:spacing w:line="360" w:lineRule="auto"/>
        <w:ind w:firstLine="560"/>
        <w:jc w:val="right"/>
        <w:rPr>
          <w:rFonts w:ascii="宋体" w:hAnsi="宋体"/>
          <w:bCs/>
          <w:color w:val="auto"/>
          <w:sz w:val="28"/>
          <w:szCs w:val="28"/>
          <w:highlight w:val="none"/>
        </w:rPr>
      </w:pPr>
      <w:r>
        <w:rPr>
          <w:rFonts w:hint="eastAsia" w:ascii="宋体" w:hAnsi="宋体"/>
          <w:bCs/>
          <w:color w:val="auto"/>
          <w:sz w:val="28"/>
          <w:szCs w:val="28"/>
          <w:highlight w:val="none"/>
        </w:rPr>
        <w:t>台州市产权交易所有限公司</w:t>
      </w:r>
    </w:p>
    <w:p>
      <w:pPr>
        <w:spacing w:line="360" w:lineRule="auto"/>
        <w:ind w:firstLine="560"/>
        <w:jc w:val="center"/>
        <w:rPr>
          <w:rFonts w:hint="eastAsia" w:ascii="宋体" w:hAnsi="宋体"/>
          <w:bCs/>
          <w:color w:val="auto"/>
          <w:sz w:val="28"/>
          <w:szCs w:val="28"/>
          <w:highlight w:val="none"/>
        </w:rPr>
      </w:pPr>
      <w:r>
        <w:rPr>
          <w:rFonts w:hint="eastAsia" w:ascii="宋体" w:hAnsi="宋体"/>
          <w:bCs/>
          <w:color w:val="auto"/>
          <w:sz w:val="28"/>
          <w:szCs w:val="28"/>
          <w:highlight w:val="none"/>
        </w:rPr>
        <w:t xml:space="preserve">                                 </w:t>
      </w:r>
      <w:bookmarkStart w:id="17" w:name="待定15"/>
      <w:r>
        <w:rPr>
          <w:rFonts w:hint="eastAsia" w:ascii="宋体" w:hAnsi="宋体"/>
          <w:bCs/>
          <w:color w:val="auto"/>
          <w:sz w:val="28"/>
          <w:szCs w:val="28"/>
          <w:highlight w:val="none"/>
        </w:rPr>
        <w:t>二○</w:t>
      </w:r>
      <w:r>
        <w:rPr>
          <w:rFonts w:hint="eastAsia" w:ascii="宋体" w:hAnsi="宋体"/>
          <w:bCs/>
          <w:color w:val="auto"/>
          <w:sz w:val="28"/>
          <w:szCs w:val="28"/>
          <w:highlight w:val="none"/>
          <w:lang w:eastAsia="zh-CN"/>
        </w:rPr>
        <w:t>二一</w:t>
      </w:r>
      <w:r>
        <w:rPr>
          <w:rFonts w:hint="eastAsia" w:ascii="宋体" w:hAnsi="宋体"/>
          <w:bCs/>
          <w:color w:val="auto"/>
          <w:sz w:val="28"/>
          <w:szCs w:val="28"/>
          <w:highlight w:val="none"/>
        </w:rPr>
        <w:t>年</w:t>
      </w:r>
      <w:r>
        <w:rPr>
          <w:rFonts w:hint="eastAsia" w:ascii="宋体" w:hAnsi="宋体"/>
          <w:bCs/>
          <w:color w:val="auto"/>
          <w:sz w:val="28"/>
          <w:szCs w:val="28"/>
          <w:highlight w:val="none"/>
          <w:lang w:val="en-US" w:eastAsia="zh-CN"/>
        </w:rPr>
        <w:t>九</w:t>
      </w:r>
      <w:r>
        <w:rPr>
          <w:rFonts w:hint="eastAsia" w:ascii="宋体" w:hAnsi="宋体"/>
          <w:bCs/>
          <w:color w:val="auto"/>
          <w:sz w:val="28"/>
          <w:szCs w:val="28"/>
          <w:highlight w:val="none"/>
        </w:rPr>
        <w:t>月</w:t>
      </w:r>
      <w:r>
        <w:rPr>
          <w:rFonts w:hint="eastAsia" w:ascii="宋体" w:hAnsi="宋体"/>
          <w:bCs/>
          <w:color w:val="auto"/>
          <w:sz w:val="28"/>
          <w:szCs w:val="28"/>
          <w:highlight w:val="none"/>
          <w:lang w:val="en-US" w:eastAsia="zh-CN"/>
        </w:rPr>
        <w:t>一十六</w:t>
      </w:r>
      <w:r>
        <w:rPr>
          <w:rFonts w:hint="eastAsia" w:ascii="宋体" w:hAnsi="宋体"/>
          <w:bCs/>
          <w:color w:val="auto"/>
          <w:sz w:val="28"/>
          <w:szCs w:val="28"/>
          <w:highlight w:val="none"/>
        </w:rPr>
        <w:t>日</w:t>
      </w:r>
      <w:bookmarkEnd w:id="17"/>
    </w:p>
    <w:p>
      <w:pPr>
        <w:jc w:val="left"/>
        <w:rPr>
          <w:rFonts w:hint="eastAsia" w:ascii="宋体" w:hAnsi="宋体"/>
          <w:color w:val="auto"/>
          <w:sz w:val="28"/>
          <w:szCs w:val="28"/>
          <w:highlight w:val="none"/>
        </w:rPr>
      </w:pPr>
    </w:p>
    <w:p>
      <w:pPr>
        <w:jc w:val="left"/>
        <w:rPr>
          <w:rFonts w:hint="eastAsia" w:ascii="宋体" w:hAnsi="宋体"/>
          <w:color w:val="auto"/>
          <w:sz w:val="28"/>
          <w:szCs w:val="28"/>
          <w:highlight w:val="none"/>
        </w:rPr>
      </w:pPr>
    </w:p>
    <w:p>
      <w:pPr>
        <w:jc w:val="left"/>
        <w:rPr>
          <w:rFonts w:hint="eastAsia" w:ascii="宋体" w:hAnsi="宋体"/>
          <w:color w:val="auto"/>
          <w:sz w:val="28"/>
          <w:szCs w:val="28"/>
          <w:highlight w:val="none"/>
        </w:rPr>
      </w:pPr>
    </w:p>
    <w:p>
      <w:pPr>
        <w:spacing w:before="100" w:beforeAutospacing="1" w:after="100" w:afterAutospacing="1" w:line="360" w:lineRule="auto"/>
        <w:jc w:val="center"/>
        <w:rPr>
          <w:rFonts w:hint="eastAsia"/>
          <w:color w:val="auto"/>
          <w:sz w:val="36"/>
          <w:highlight w:val="none"/>
        </w:rPr>
      </w:pPr>
      <w:bookmarkStart w:id="18" w:name="_Toc4182"/>
      <w:bookmarkStart w:id="19" w:name="_Toc528773692"/>
      <w:bookmarkStart w:id="20" w:name="_Toc6233"/>
      <w:r>
        <w:rPr>
          <w:rFonts w:hint="eastAsia"/>
          <w:color w:val="auto"/>
          <w:sz w:val="36"/>
          <w:highlight w:val="none"/>
        </w:rPr>
        <w:br w:type="page"/>
      </w:r>
    </w:p>
    <w:p>
      <w:pPr>
        <w:pStyle w:val="2"/>
        <w:spacing w:before="100" w:beforeAutospacing="1" w:after="100" w:afterAutospacing="1" w:line="360" w:lineRule="auto"/>
        <w:ind w:firstLine="0" w:firstLineChars="0"/>
        <w:jc w:val="center"/>
        <w:rPr>
          <w:color w:val="auto"/>
          <w:sz w:val="36"/>
          <w:highlight w:val="none"/>
        </w:rPr>
      </w:pPr>
      <w:r>
        <w:rPr>
          <w:rFonts w:hint="eastAsia"/>
          <w:color w:val="auto"/>
          <w:sz w:val="36"/>
          <w:highlight w:val="none"/>
        </w:rPr>
        <w:t>竞买申请书</w:t>
      </w:r>
      <w:bookmarkEnd w:id="18"/>
      <w:bookmarkEnd w:id="19"/>
      <w:bookmarkEnd w:id="20"/>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经认真阅读《</w:t>
      </w:r>
      <w:r>
        <w:rPr>
          <w:rFonts w:hint="eastAsia" w:ascii="宋体" w:hAnsi="宋体"/>
          <w:color w:val="auto"/>
          <w:sz w:val="28"/>
          <w:szCs w:val="28"/>
          <w:highlight w:val="none"/>
          <w:lang w:eastAsia="zh-CN"/>
        </w:rPr>
        <w:t>台州美标水泥有限公司80%股权</w:t>
      </w:r>
      <w:r>
        <w:rPr>
          <w:rFonts w:hint="eastAsia" w:ascii="宋体" w:hAnsi="宋体"/>
          <w:color w:val="auto"/>
          <w:sz w:val="28"/>
          <w:szCs w:val="28"/>
          <w:highlight w:val="none"/>
        </w:rPr>
        <w:t>转让文件》，对该转让文件无异议，对转让标的已作详细了解并对己方所作承诺负法律责任。特申请参加</w:t>
      </w:r>
      <w:r>
        <w:rPr>
          <w:rFonts w:hint="eastAsia" w:ascii="宋体" w:hAnsi="宋体"/>
          <w:color w:val="auto"/>
          <w:sz w:val="28"/>
          <w:szCs w:val="28"/>
          <w:highlight w:val="none"/>
          <w:lang w:eastAsia="zh-CN"/>
        </w:rPr>
        <w:t>台州美标水泥有限公司</w:t>
      </w:r>
      <w:r>
        <w:rPr>
          <w:rFonts w:hint="eastAsia" w:ascii="宋体" w:hAnsi="宋体"/>
          <w:color w:val="auto"/>
          <w:sz w:val="28"/>
          <w:szCs w:val="28"/>
          <w:highlight w:val="none"/>
          <w:lang w:val="en-US" w:eastAsia="zh-CN"/>
        </w:rPr>
        <w:t>80%</w:t>
      </w:r>
      <w:r>
        <w:rPr>
          <w:rFonts w:hint="eastAsia" w:ascii="宋体" w:hAnsi="宋体"/>
          <w:color w:val="auto"/>
          <w:sz w:val="28"/>
          <w:szCs w:val="28"/>
          <w:highlight w:val="none"/>
        </w:rPr>
        <w:t>股权竞买，遵守履行贵公司提出的</w:t>
      </w:r>
      <w:r>
        <w:rPr>
          <w:rFonts w:hint="eastAsia" w:ascii="宋体" w:hAnsi="宋体"/>
          <w:color w:val="auto"/>
          <w:sz w:val="28"/>
          <w:szCs w:val="28"/>
          <w:highlight w:val="none"/>
          <w:lang w:eastAsia="zh-CN"/>
        </w:rPr>
        <w:t>台州美标水泥有限公司</w:t>
      </w:r>
      <w:r>
        <w:rPr>
          <w:rFonts w:hint="eastAsia" w:ascii="宋体" w:hAnsi="宋体"/>
          <w:color w:val="auto"/>
          <w:sz w:val="28"/>
          <w:szCs w:val="28"/>
          <w:highlight w:val="none"/>
          <w:lang w:val="en-US" w:eastAsia="zh-CN"/>
        </w:rPr>
        <w:t>80%</w:t>
      </w:r>
      <w:r>
        <w:rPr>
          <w:rFonts w:hint="eastAsia" w:ascii="宋体" w:hAnsi="宋体"/>
          <w:color w:val="auto"/>
          <w:sz w:val="28"/>
          <w:szCs w:val="28"/>
          <w:highlight w:val="none"/>
        </w:rPr>
        <w:t>股权转让文件及其他有关程序、事项，并保证遵守我方所承诺的要求与规定履行。</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竞买申请人（盖章）：</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法定代表人：                     身份证号：</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委托代理人：                     身份证号：</w:t>
      </w:r>
    </w:p>
    <w:p>
      <w:pPr>
        <w:keepNext w:val="0"/>
        <w:keepLines w:val="0"/>
        <w:pageBreakBefore w:val="0"/>
        <w:widowControl w:val="0"/>
        <w:kinsoku/>
        <w:wordWrap/>
        <w:overflowPunct/>
        <w:topLinePunct w:val="0"/>
        <w:autoSpaceDE/>
        <w:autoSpaceDN/>
        <w:bidi w:val="0"/>
        <w:adjustRightInd/>
        <w:snapToGrid/>
        <w:spacing w:line="620" w:lineRule="exact"/>
        <w:ind w:firstLine="637" w:firstLineChars="177"/>
        <w:textAlignment w:val="auto"/>
        <w:rPr>
          <w:rFonts w:ascii="宋体" w:hAnsi="宋体"/>
          <w:color w:val="auto"/>
          <w:sz w:val="28"/>
          <w:szCs w:val="28"/>
          <w:highlight w:val="none"/>
        </w:rPr>
      </w:pPr>
      <w:r>
        <w:rPr>
          <w:rFonts w:hint="eastAsia" w:ascii="宋体" w:hAnsi="宋体"/>
          <w:color w:val="auto"/>
          <w:spacing w:val="40"/>
          <w:sz w:val="28"/>
          <w:szCs w:val="28"/>
          <w:highlight w:val="none"/>
        </w:rPr>
        <w:t>联系地址：</w:t>
      </w:r>
      <w:r>
        <w:rPr>
          <w:rFonts w:hint="eastAsia" w:ascii="宋体" w:hAnsi="宋体"/>
          <w:color w:val="auto"/>
          <w:sz w:val="28"/>
          <w:szCs w:val="28"/>
          <w:highlight w:val="none"/>
        </w:rPr>
        <w:t xml:space="preserve">                    邮政编码：</w:t>
      </w:r>
    </w:p>
    <w:p>
      <w:pPr>
        <w:keepNext w:val="0"/>
        <w:keepLines w:val="0"/>
        <w:pageBreakBefore w:val="0"/>
        <w:widowControl w:val="0"/>
        <w:kinsoku/>
        <w:wordWrap/>
        <w:overflowPunct/>
        <w:topLinePunct w:val="0"/>
        <w:autoSpaceDE/>
        <w:autoSpaceDN/>
        <w:bidi w:val="0"/>
        <w:adjustRightInd/>
        <w:snapToGrid/>
        <w:spacing w:line="620" w:lineRule="exact"/>
        <w:ind w:firstLine="637" w:firstLineChars="177"/>
        <w:textAlignment w:val="auto"/>
        <w:rPr>
          <w:rFonts w:ascii="宋体" w:hAnsi="宋体"/>
          <w:color w:val="auto"/>
          <w:sz w:val="28"/>
          <w:szCs w:val="28"/>
          <w:highlight w:val="none"/>
        </w:rPr>
      </w:pPr>
      <w:r>
        <w:rPr>
          <w:rFonts w:hint="eastAsia" w:ascii="宋体" w:hAnsi="宋体"/>
          <w:color w:val="auto"/>
          <w:spacing w:val="40"/>
          <w:sz w:val="28"/>
          <w:szCs w:val="28"/>
          <w:highlight w:val="none"/>
        </w:rPr>
        <w:t>联系电话：</w:t>
      </w:r>
      <w:r>
        <w:rPr>
          <w:rFonts w:hint="eastAsia" w:ascii="宋体" w:hAnsi="宋体"/>
          <w:color w:val="auto"/>
          <w:sz w:val="28"/>
          <w:szCs w:val="28"/>
          <w:highlight w:val="none"/>
        </w:rPr>
        <w:t xml:space="preserve">                    传    真：</w:t>
      </w:r>
      <w:r>
        <w:rPr>
          <w:rFonts w:ascii="宋体" w:hAnsi="宋体"/>
          <w:color w:val="auto"/>
          <w:sz w:val="28"/>
          <w:szCs w:val="28"/>
          <w:highlight w:val="none"/>
        </w:rPr>
        <w:br w:type="textWrapping"/>
      </w:r>
      <w:r>
        <w:rPr>
          <w:rFonts w:hint="eastAsia" w:ascii="宋体" w:hAnsi="宋体"/>
          <w:color w:val="auto"/>
          <w:sz w:val="28"/>
          <w:szCs w:val="28"/>
          <w:highlight w:val="none"/>
        </w:rPr>
        <w:t xml:space="preserve">                                     年   月   日</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ascii="宋体" w:hAnsi="宋体"/>
          <w:color w:val="auto"/>
          <w:sz w:val="28"/>
          <w:szCs w:val="28"/>
          <w:highlight w:val="none"/>
        </w:rPr>
      </w:pPr>
      <w:bookmarkStart w:id="21" w:name="_Hlk25273447"/>
      <w:r>
        <w:rPr>
          <w:rFonts w:hint="eastAsia" w:ascii="宋体" w:hAnsi="宋体"/>
          <w:color w:val="auto"/>
          <w:sz w:val="28"/>
          <w:szCs w:val="28"/>
          <w:highlight w:val="none"/>
        </w:rPr>
        <w:t>附件：</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□企业（公司）法人主体资格证明文件，包含企业法人营业执照副本的复印件，法定代表人及授权委托人的身份证明及授权委托书、公司章程、相关决议。</w:t>
      </w:r>
      <w:r>
        <w:rPr>
          <w:rFonts w:hint="eastAsia" w:ascii="宋体" w:hAnsi="宋体"/>
          <w:bCs/>
          <w:color w:val="auto"/>
          <w:sz w:val="28"/>
          <w:szCs w:val="28"/>
          <w:highlight w:val="none"/>
        </w:rPr>
        <w:t>自然人须持本人身份证明及相关资料</w:t>
      </w:r>
      <w:r>
        <w:rPr>
          <w:rFonts w:hint="eastAsia" w:ascii="宋体" w:hAnsi="宋体"/>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□符合受让条件的有关证明及资料</w:t>
      </w:r>
      <w:r>
        <w:rPr>
          <w:rFonts w:hint="eastAsia" w:ascii="宋体" w:hAnsi="宋体"/>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w:t>
      </w:r>
      <w:bookmarkStart w:id="22" w:name="待定17"/>
      <w:r>
        <w:rPr>
          <w:rFonts w:hint="eastAsia" w:ascii="宋体" w:hAnsi="宋体"/>
          <w:color w:val="auto"/>
          <w:sz w:val="28"/>
          <w:szCs w:val="28"/>
          <w:highlight w:val="none"/>
        </w:rPr>
        <w:t>竞买保证金</w:t>
      </w:r>
      <w:r>
        <w:rPr>
          <w:rFonts w:hint="eastAsia" w:ascii="宋体" w:hAnsi="宋体"/>
          <w:color w:val="auto"/>
          <w:sz w:val="28"/>
          <w:szCs w:val="28"/>
          <w:highlight w:val="none"/>
          <w:u w:val="single"/>
        </w:rPr>
        <w:t>135</w:t>
      </w:r>
      <w:r>
        <w:rPr>
          <w:rFonts w:hint="eastAsia" w:ascii="宋体" w:hAnsi="宋体"/>
          <w:color w:val="auto"/>
          <w:sz w:val="28"/>
          <w:szCs w:val="28"/>
          <w:highlight w:val="none"/>
          <w:u w:val="single"/>
          <w:lang w:val="en-US" w:eastAsia="zh-CN"/>
        </w:rPr>
        <w:t>0.00</w:t>
      </w:r>
      <w:r>
        <w:rPr>
          <w:rFonts w:hint="eastAsia" w:ascii="宋体" w:hAnsi="宋体"/>
          <w:color w:val="auto"/>
          <w:sz w:val="28"/>
          <w:szCs w:val="28"/>
          <w:highlight w:val="none"/>
          <w:u w:val="single"/>
        </w:rPr>
        <w:t>元</w:t>
      </w:r>
      <w:r>
        <w:rPr>
          <w:rFonts w:hint="eastAsia" w:ascii="宋体" w:hAnsi="宋体"/>
          <w:color w:val="auto"/>
          <w:sz w:val="28"/>
          <w:szCs w:val="28"/>
          <w:highlight w:val="none"/>
        </w:rPr>
        <w:t>人民币（汇单）</w:t>
      </w:r>
      <w:bookmarkEnd w:id="22"/>
      <w:r>
        <w:rPr>
          <w:rFonts w:hint="eastAsia" w:ascii="宋体" w:hAnsi="宋体"/>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备注：以上附件如非原件为复印件的应加盖公章或签名。</w:t>
      </w:r>
    </w:p>
    <w:bookmarkEnd w:id="21"/>
    <w:p>
      <w:pPr>
        <w:pStyle w:val="2"/>
        <w:spacing w:before="100" w:beforeAutospacing="1" w:after="100" w:afterAutospacing="1" w:line="360" w:lineRule="auto"/>
        <w:ind w:firstLine="0" w:firstLineChars="0"/>
        <w:jc w:val="center"/>
        <w:rPr>
          <w:color w:val="auto"/>
          <w:sz w:val="36"/>
          <w:highlight w:val="none"/>
        </w:rPr>
      </w:pPr>
      <w:r>
        <w:rPr>
          <w:rFonts w:hint="eastAsia" w:ascii="宋体" w:hAnsi="宋体"/>
          <w:b w:val="0"/>
          <w:color w:val="auto"/>
          <w:sz w:val="36"/>
          <w:szCs w:val="36"/>
          <w:highlight w:val="none"/>
        </w:rPr>
        <w:br w:type="page"/>
      </w:r>
      <w:bookmarkStart w:id="23" w:name="_Toc7306"/>
      <w:bookmarkStart w:id="24" w:name="_Toc30560"/>
      <w:bookmarkStart w:id="25" w:name="_Toc528773693"/>
      <w:r>
        <w:rPr>
          <w:rFonts w:hint="eastAsia"/>
          <w:color w:val="auto"/>
          <w:sz w:val="36"/>
          <w:highlight w:val="none"/>
        </w:rPr>
        <w:t>竞买人承诺函</w:t>
      </w:r>
      <w:bookmarkEnd w:id="23"/>
      <w:bookmarkEnd w:id="24"/>
      <w:bookmarkEnd w:id="25"/>
    </w:p>
    <w:p>
      <w:pPr>
        <w:ind w:firstLine="0" w:firstLineChars="0"/>
        <w:rPr>
          <w:rFonts w:ascii="宋体" w:hAnsi="宋体"/>
          <w:b/>
          <w:color w:val="auto"/>
          <w:sz w:val="28"/>
          <w:szCs w:val="28"/>
          <w:highlight w:val="none"/>
        </w:rPr>
      </w:pPr>
      <w:r>
        <w:rPr>
          <w:rFonts w:hint="eastAsia" w:ascii="宋体" w:hAnsi="宋体"/>
          <w:color w:val="auto"/>
          <w:sz w:val="28"/>
          <w:szCs w:val="28"/>
          <w:highlight w:val="none"/>
        </w:rPr>
        <w:t>台州市产权交易所有限公司：</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经认真阅读贵公司所提供的“</w:t>
      </w:r>
      <w:r>
        <w:rPr>
          <w:rFonts w:hint="eastAsia" w:ascii="宋体" w:hAnsi="宋体"/>
          <w:color w:val="auto"/>
          <w:sz w:val="28"/>
          <w:szCs w:val="28"/>
          <w:highlight w:val="none"/>
          <w:lang w:eastAsia="zh-CN"/>
        </w:rPr>
        <w:t>台州美标水泥有限公司80%股权</w:t>
      </w:r>
      <w:r>
        <w:rPr>
          <w:rFonts w:hint="eastAsia" w:ascii="宋体" w:hAnsi="宋体"/>
          <w:color w:val="auto"/>
          <w:sz w:val="28"/>
          <w:szCs w:val="28"/>
          <w:highlight w:val="none"/>
        </w:rPr>
        <w:t>转让文件”以及贵公司提出的转让须知与网络竞价规则等</w:t>
      </w:r>
      <w:r>
        <w:rPr>
          <w:rFonts w:hint="eastAsia" w:ascii="宋体" w:hAnsi="宋体"/>
          <w:color w:val="auto"/>
          <w:sz w:val="28"/>
          <w:szCs w:val="28"/>
          <w:highlight w:val="none"/>
          <w:lang w:eastAsia="zh-CN"/>
        </w:rPr>
        <w:t>，对上述文件已充分知悉且无异议</w:t>
      </w:r>
      <w:r>
        <w:rPr>
          <w:rFonts w:hint="eastAsia" w:ascii="宋体" w:hAnsi="宋体"/>
          <w:color w:val="auto"/>
          <w:sz w:val="28"/>
          <w:szCs w:val="28"/>
          <w:highlight w:val="none"/>
        </w:rPr>
        <w:t>，我方愿意接受转让方提出的竞价条件及“</w:t>
      </w:r>
      <w:r>
        <w:rPr>
          <w:rFonts w:hint="eastAsia" w:ascii="宋体" w:hAnsi="宋体"/>
          <w:color w:val="auto"/>
          <w:sz w:val="28"/>
          <w:szCs w:val="28"/>
          <w:highlight w:val="none"/>
          <w:lang w:eastAsia="zh-CN"/>
        </w:rPr>
        <w:t>台州美标水泥有限公司80%股权</w:t>
      </w:r>
      <w:r>
        <w:rPr>
          <w:rFonts w:hint="eastAsia" w:ascii="宋体" w:hAnsi="宋体"/>
          <w:color w:val="auto"/>
          <w:sz w:val="28"/>
          <w:szCs w:val="28"/>
          <w:highlight w:val="none"/>
        </w:rPr>
        <w:t>转让文件”中涉及的相关事项，现我方将有关事项承诺如下：</w:t>
      </w:r>
    </w:p>
    <w:p>
      <w:pPr>
        <w:ind w:firstLine="560"/>
        <w:rPr>
          <w:rFonts w:ascii="宋体" w:hAnsi="宋体"/>
          <w:color w:val="auto"/>
          <w:sz w:val="28"/>
          <w:szCs w:val="28"/>
          <w:highlight w:val="none"/>
        </w:rPr>
      </w:pPr>
      <w:r>
        <w:rPr>
          <w:rFonts w:hint="eastAsia" w:ascii="宋体" w:hAnsi="宋体"/>
          <w:color w:val="auto"/>
          <w:sz w:val="28"/>
          <w:szCs w:val="28"/>
          <w:highlight w:val="none"/>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color w:val="auto"/>
          <w:sz w:val="28"/>
          <w:szCs w:val="28"/>
          <w:highlight w:val="none"/>
        </w:rPr>
      </w:pPr>
      <w:r>
        <w:rPr>
          <w:rFonts w:hint="eastAsia" w:ascii="宋体" w:hAnsi="宋体"/>
          <w:color w:val="auto"/>
          <w:sz w:val="28"/>
          <w:szCs w:val="28"/>
          <w:highlight w:val="none"/>
        </w:rPr>
        <w:t>二、我方已详实了解本次转让标的有关情况，并保证成交后所支付的资金来源合法。</w:t>
      </w:r>
    </w:p>
    <w:p>
      <w:pPr>
        <w:ind w:firstLine="560"/>
        <w:rPr>
          <w:rFonts w:ascii="宋体" w:hAnsi="宋体"/>
          <w:color w:val="auto"/>
          <w:sz w:val="28"/>
          <w:szCs w:val="28"/>
          <w:highlight w:val="none"/>
        </w:rPr>
      </w:pPr>
      <w:r>
        <w:rPr>
          <w:rFonts w:hint="eastAsia" w:ascii="宋体" w:hAnsi="宋体"/>
          <w:color w:val="auto"/>
          <w:sz w:val="28"/>
          <w:szCs w:val="28"/>
          <w:highlight w:val="none"/>
        </w:rPr>
        <w:t>三、我方已阅读并了解《成交确认书》、《股权转让合同》及“</w:t>
      </w:r>
      <w:r>
        <w:rPr>
          <w:rFonts w:hint="eastAsia" w:ascii="宋体" w:hAnsi="宋体"/>
          <w:color w:val="auto"/>
          <w:sz w:val="28"/>
          <w:szCs w:val="28"/>
          <w:highlight w:val="none"/>
          <w:lang w:eastAsia="zh-CN"/>
        </w:rPr>
        <w:t>台州美标水泥有限公司80%股权</w:t>
      </w:r>
      <w:r>
        <w:rPr>
          <w:rFonts w:hint="eastAsia" w:ascii="宋体" w:hAnsi="宋体"/>
          <w:color w:val="auto"/>
          <w:sz w:val="28"/>
          <w:szCs w:val="28"/>
          <w:highlight w:val="none"/>
        </w:rPr>
        <w:t>转让文件”并不持异议，成交后按上述条款履行义务。</w:t>
      </w:r>
    </w:p>
    <w:p>
      <w:pPr>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四、作为该项目的竞买人，我方承诺接受参与网络竞价的方式，竞得后保证二个工作日内签订《成交确认书》、《股权转让合同》并履行相关义务</w:t>
      </w:r>
      <w:r>
        <w:rPr>
          <w:rFonts w:hint="eastAsia" w:ascii="宋体" w:hAnsi="宋体"/>
          <w:color w:val="auto"/>
          <w:sz w:val="28"/>
          <w:szCs w:val="28"/>
          <w:highlight w:val="none"/>
          <w:lang w:eastAsia="zh-CN"/>
        </w:rPr>
        <w:t>。</w:t>
      </w:r>
    </w:p>
    <w:p>
      <w:pPr>
        <w:ind w:firstLine="560"/>
        <w:rPr>
          <w:rFonts w:ascii="宋体" w:hAnsi="宋体"/>
          <w:color w:val="auto"/>
          <w:sz w:val="28"/>
          <w:szCs w:val="28"/>
          <w:highlight w:val="none"/>
        </w:rPr>
      </w:pPr>
      <w:r>
        <w:rPr>
          <w:rFonts w:hint="eastAsia" w:ascii="宋体" w:hAnsi="宋体"/>
          <w:color w:val="auto"/>
          <w:sz w:val="28"/>
          <w:szCs w:val="28"/>
          <w:highlight w:val="none"/>
        </w:rPr>
        <w:t>五、若我方竞得，所缴纳的竞买保证金根据合同的约定可抵作成交价款的支付，交易佣金按标的成交额</w:t>
      </w:r>
      <w:r>
        <w:rPr>
          <w:rFonts w:hint="eastAsia" w:ascii="宋体" w:hAnsi="宋体"/>
          <w:color w:val="auto"/>
          <w:sz w:val="28"/>
          <w:szCs w:val="28"/>
          <w:highlight w:val="none"/>
          <w:lang w:val="en-US" w:eastAsia="zh-CN"/>
        </w:rPr>
        <w:t>1.24</w:t>
      </w:r>
      <w:r>
        <w:rPr>
          <w:rFonts w:hint="eastAsia" w:ascii="宋体" w:hAnsi="宋体"/>
          <w:color w:val="auto"/>
          <w:sz w:val="28"/>
          <w:szCs w:val="28"/>
          <w:highlight w:val="none"/>
        </w:rPr>
        <w:t>%计算支付。</w:t>
      </w:r>
    </w:p>
    <w:p>
      <w:pPr>
        <w:ind w:firstLine="56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六、如因正当理由在竞价会开始前撤回转让标的的，我方愿意接受该事实，并配合贵公司办理退还保证金等手续，不再向贵公司追索保证金利息及其他任何费用与责任。</w:t>
      </w:r>
    </w:p>
    <w:p>
      <w:pPr>
        <w:ind w:firstLine="560"/>
        <w:rPr>
          <w:rFonts w:ascii="宋体" w:hAnsi="宋体"/>
          <w:color w:val="auto"/>
          <w:sz w:val="28"/>
          <w:szCs w:val="28"/>
          <w:highlight w:val="none"/>
        </w:rPr>
      </w:pPr>
      <w:r>
        <w:rPr>
          <w:rFonts w:hint="eastAsia" w:ascii="宋体" w:hAnsi="宋体"/>
          <w:color w:val="auto"/>
          <w:sz w:val="28"/>
          <w:szCs w:val="28"/>
          <w:highlight w:val="none"/>
        </w:rPr>
        <w:t>七、如在竞价该项目的过程中发生争议需提起诉讼或仲裁，除贵公司存在重大过错、故意行为之外，我方承诺不将贵公司列为相关诉讼、仲裁的被告，被申请人和第三人。</w:t>
      </w: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r>
        <w:rPr>
          <w:rFonts w:hint="eastAsia" w:ascii="宋体" w:hAnsi="宋体"/>
          <w:color w:val="auto"/>
          <w:sz w:val="28"/>
          <w:szCs w:val="28"/>
          <w:highlight w:val="none"/>
        </w:rPr>
        <w:t>承诺人（签章）</w:t>
      </w:r>
    </w:p>
    <w:p>
      <w:pPr>
        <w:ind w:firstLine="560"/>
        <w:jc w:val="right"/>
        <w:rPr>
          <w:rFonts w:ascii="宋体" w:hAnsi="宋体"/>
          <w:color w:val="auto"/>
          <w:sz w:val="28"/>
          <w:szCs w:val="28"/>
          <w:highlight w:val="none"/>
        </w:rPr>
      </w:pPr>
      <w:r>
        <w:rPr>
          <w:rFonts w:hint="eastAsia" w:ascii="宋体" w:hAnsi="宋体"/>
          <w:color w:val="auto"/>
          <w:sz w:val="28"/>
          <w:szCs w:val="28"/>
          <w:highlight w:val="none"/>
        </w:rPr>
        <w:t>二○</w:t>
      </w:r>
      <w:r>
        <w:rPr>
          <w:rFonts w:hint="eastAsia" w:ascii="宋体" w:hAnsi="宋体"/>
          <w:color w:val="auto"/>
          <w:sz w:val="28"/>
          <w:szCs w:val="28"/>
          <w:highlight w:val="none"/>
          <w:lang w:eastAsia="zh-CN"/>
        </w:rPr>
        <w:t>二一</w:t>
      </w:r>
      <w:r>
        <w:rPr>
          <w:rFonts w:hint="eastAsia" w:ascii="宋体" w:hAnsi="宋体"/>
          <w:color w:val="auto"/>
          <w:sz w:val="28"/>
          <w:szCs w:val="28"/>
          <w:highlight w:val="none"/>
        </w:rPr>
        <w:t>年    月    日</w:t>
      </w:r>
    </w:p>
    <w:p>
      <w:pPr>
        <w:pStyle w:val="2"/>
        <w:spacing w:before="100" w:beforeAutospacing="1" w:after="100" w:afterAutospacing="1" w:line="360" w:lineRule="auto"/>
        <w:ind w:firstLine="0" w:firstLineChars="0"/>
        <w:jc w:val="center"/>
        <w:rPr>
          <w:color w:val="auto"/>
          <w:sz w:val="36"/>
          <w:highlight w:val="none"/>
        </w:rPr>
      </w:pPr>
      <w:r>
        <w:rPr>
          <w:rFonts w:hint="eastAsia" w:ascii="宋体" w:hAnsi="宋体"/>
          <w:color w:val="auto"/>
          <w:sz w:val="28"/>
          <w:szCs w:val="28"/>
          <w:highlight w:val="none"/>
        </w:rPr>
        <w:br w:type="page"/>
      </w:r>
      <w:bookmarkStart w:id="26" w:name="_Toc4653"/>
      <w:bookmarkStart w:id="27" w:name="_Toc5554"/>
      <w:bookmarkStart w:id="28" w:name="_Toc528773694"/>
      <w:r>
        <w:rPr>
          <w:rFonts w:hint="eastAsia"/>
          <w:color w:val="auto"/>
          <w:sz w:val="36"/>
          <w:highlight w:val="none"/>
        </w:rPr>
        <w:t>成交确认书</w:t>
      </w:r>
      <w:bookmarkEnd w:id="26"/>
      <w:bookmarkEnd w:id="27"/>
      <w:bookmarkEnd w:id="28"/>
    </w:p>
    <w:p>
      <w:pPr>
        <w:spacing w:line="360" w:lineRule="auto"/>
        <w:ind w:firstLine="0" w:firstLineChars="0"/>
        <w:rPr>
          <w:rFonts w:ascii="宋体" w:hAnsi="宋体"/>
          <w:b/>
          <w:color w:val="auto"/>
          <w:sz w:val="28"/>
          <w:szCs w:val="28"/>
          <w:highlight w:val="none"/>
        </w:rPr>
      </w:pPr>
      <w:r>
        <w:rPr>
          <w:rFonts w:hint="eastAsia" w:ascii="宋体" w:hAnsi="宋体"/>
          <w:b/>
          <w:color w:val="auto"/>
          <w:sz w:val="28"/>
          <w:szCs w:val="28"/>
          <w:highlight w:val="none"/>
        </w:rPr>
        <w:t>挂牌方：台州市产权交易所有限公司</w:t>
      </w:r>
    </w:p>
    <w:p>
      <w:pPr>
        <w:spacing w:line="360" w:lineRule="auto"/>
        <w:ind w:firstLine="0" w:firstLineChars="0"/>
        <w:rPr>
          <w:rFonts w:ascii="宋体" w:hAnsi="宋体"/>
          <w:color w:val="auto"/>
          <w:sz w:val="28"/>
          <w:szCs w:val="28"/>
          <w:highlight w:val="none"/>
        </w:rPr>
      </w:pPr>
      <w:r>
        <w:rPr>
          <w:rFonts w:hint="eastAsia" w:ascii="宋体" w:hAnsi="宋体"/>
          <w:color w:val="auto"/>
          <w:sz w:val="28"/>
          <w:szCs w:val="28"/>
          <w:highlight w:val="none"/>
        </w:rPr>
        <w:t xml:space="preserve">受让方：                         联系电话：  </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受让方</w:t>
      </w:r>
      <w:r>
        <w:rPr>
          <w:rFonts w:hint="eastAsia" w:ascii="宋体" w:hAnsi="宋体"/>
          <w:color w:val="auto"/>
          <w:sz w:val="28"/>
          <w:szCs w:val="28"/>
          <w:highlight w:val="none"/>
          <w:lang w:val="en-US" w:eastAsia="zh-CN"/>
        </w:rPr>
        <w:t>于2021年10月21日（星期四）上午9:30</w:t>
      </w:r>
      <w:r>
        <w:rPr>
          <w:rFonts w:hint="eastAsia" w:ascii="宋体" w:hAnsi="宋体"/>
          <w:color w:val="auto"/>
          <w:sz w:val="28"/>
          <w:szCs w:val="28"/>
          <w:highlight w:val="none"/>
        </w:rPr>
        <w:t>时在举行的</w:t>
      </w:r>
      <w:bookmarkStart w:id="29" w:name="待定19"/>
      <w:r>
        <w:rPr>
          <w:rFonts w:hint="eastAsia" w:ascii="宋体" w:hAnsi="宋体"/>
          <w:color w:val="auto"/>
          <w:sz w:val="28"/>
          <w:szCs w:val="28"/>
          <w:highlight w:val="none"/>
        </w:rPr>
        <w:t>(台交所挂〔20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22</w:t>
      </w:r>
      <w:r>
        <w:rPr>
          <w:rFonts w:hint="eastAsia" w:ascii="宋体" w:hAnsi="宋体"/>
          <w:color w:val="auto"/>
          <w:sz w:val="28"/>
          <w:szCs w:val="28"/>
          <w:highlight w:val="none"/>
        </w:rPr>
        <w:t>号)</w:t>
      </w:r>
      <w:bookmarkEnd w:id="29"/>
      <w:r>
        <w:rPr>
          <w:rFonts w:hint="eastAsia" w:ascii="宋体" w:hAnsi="宋体"/>
          <w:color w:val="auto"/>
          <w:sz w:val="28"/>
          <w:szCs w:val="28"/>
          <w:highlight w:val="none"/>
          <w:lang w:eastAsia="zh-CN"/>
        </w:rPr>
        <w:t>台州美标水泥有限公司80%股权转</w:t>
      </w:r>
      <w:r>
        <w:rPr>
          <w:rFonts w:hint="eastAsia" w:ascii="宋体" w:hAnsi="宋体"/>
          <w:color w:val="auto"/>
          <w:sz w:val="28"/>
          <w:szCs w:val="28"/>
          <w:highlight w:val="none"/>
        </w:rPr>
        <w:t>让竞价活动中，受让以下股权，根据国务院《企业国有资产交易监督管理办法》和相关法律法规规定，双方签订成交确认书如下：</w:t>
      </w:r>
    </w:p>
    <w:p>
      <w:pPr>
        <w:numPr>
          <w:ilvl w:val="0"/>
          <w:numId w:val="5"/>
        </w:numPr>
        <w:spacing w:line="360" w:lineRule="auto"/>
        <w:ind w:firstLine="560"/>
        <w:rPr>
          <w:rFonts w:ascii="宋体" w:hAnsi="宋体"/>
          <w:color w:val="auto"/>
          <w:sz w:val="28"/>
          <w:szCs w:val="28"/>
          <w:highlight w:val="none"/>
          <w:lang w:val="ms-MY"/>
        </w:rPr>
      </w:pPr>
      <w:r>
        <w:rPr>
          <w:rFonts w:hint="eastAsia" w:ascii="宋体" w:hAnsi="宋体"/>
          <w:color w:val="auto"/>
          <w:sz w:val="28"/>
          <w:szCs w:val="28"/>
          <w:highlight w:val="none"/>
        </w:rPr>
        <w:t>受让方受让标的：</w:t>
      </w:r>
      <w:r>
        <w:rPr>
          <w:rFonts w:hint="eastAsia" w:ascii="宋体" w:hAnsi="宋体"/>
          <w:color w:val="auto"/>
          <w:sz w:val="28"/>
          <w:szCs w:val="28"/>
          <w:highlight w:val="none"/>
          <w:u w:val="single"/>
        </w:rPr>
        <w:t>玉环市国有资产投资经营集团有限公司持有的</w:t>
      </w:r>
      <w:r>
        <w:rPr>
          <w:rFonts w:hint="eastAsia" w:ascii="宋体" w:hAnsi="宋体"/>
          <w:color w:val="auto"/>
          <w:sz w:val="28"/>
          <w:szCs w:val="28"/>
          <w:highlight w:val="none"/>
          <w:u w:val="single"/>
          <w:lang w:eastAsia="zh-CN"/>
        </w:rPr>
        <w:t>台州美标水泥有限公司80%股权</w:t>
      </w:r>
      <w:r>
        <w:rPr>
          <w:rFonts w:hint="eastAsia" w:ascii="宋体" w:hAnsi="宋体"/>
          <w:color w:val="auto"/>
          <w:sz w:val="28"/>
          <w:szCs w:val="28"/>
          <w:highlight w:val="none"/>
          <w:u w:val="single"/>
          <w:lang w:val="en-US" w:eastAsia="zh-CN"/>
        </w:rPr>
        <w:t>转让</w:t>
      </w:r>
      <w:r>
        <w:rPr>
          <w:rFonts w:hint="eastAsia" w:ascii="宋体" w:hAnsi="宋体"/>
          <w:color w:val="auto"/>
          <w:sz w:val="28"/>
          <w:szCs w:val="28"/>
          <w:highlight w:val="none"/>
          <w:u w:val="single"/>
          <w:lang w:val="ms-MY"/>
        </w:rPr>
        <w:t>。</w:t>
      </w:r>
    </w:p>
    <w:p>
      <w:pPr>
        <w:numPr>
          <w:ilvl w:val="0"/>
          <w:numId w:val="5"/>
        </w:numPr>
        <w:spacing w:line="360" w:lineRule="auto"/>
        <w:ind w:firstLine="560"/>
        <w:rPr>
          <w:rFonts w:hint="eastAsia" w:ascii="宋体" w:hAnsi="宋体"/>
          <w:color w:val="auto"/>
          <w:sz w:val="28"/>
          <w:szCs w:val="28"/>
          <w:highlight w:val="none"/>
          <w:lang w:val="ms-MY"/>
        </w:rPr>
      </w:pPr>
      <w:r>
        <w:rPr>
          <w:rFonts w:hint="eastAsia" w:ascii="宋体" w:hAnsi="宋体"/>
          <w:color w:val="auto"/>
          <w:sz w:val="28"/>
          <w:szCs w:val="28"/>
          <w:highlight w:val="none"/>
          <w:lang w:val="ms-MY"/>
        </w:rPr>
        <w:t>成交金额：本转让标的成交金额为小写￥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万元（大写：</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lang w:val="ms-MY"/>
        </w:rPr>
        <w:t>元整 ）。</w:t>
      </w:r>
    </w:p>
    <w:p>
      <w:pPr>
        <w:numPr>
          <w:ilvl w:val="0"/>
          <w:numId w:val="5"/>
        </w:numPr>
        <w:spacing w:line="360" w:lineRule="auto"/>
        <w:ind w:firstLine="560"/>
        <w:rPr>
          <w:rFonts w:hint="eastAsia" w:ascii="宋体" w:hAnsi="宋体"/>
          <w:color w:val="auto"/>
          <w:sz w:val="28"/>
          <w:szCs w:val="28"/>
          <w:highlight w:val="none"/>
          <w:lang w:val="ms-MY"/>
        </w:rPr>
      </w:pPr>
      <w:r>
        <w:rPr>
          <w:rFonts w:hint="eastAsia" w:ascii="宋体" w:hAnsi="宋体"/>
          <w:color w:val="auto"/>
          <w:sz w:val="28"/>
          <w:szCs w:val="28"/>
          <w:highlight w:val="none"/>
          <w:lang w:val="ms-MY"/>
        </w:rPr>
        <w:t>交易佣金为成交额的</w:t>
      </w:r>
      <w:r>
        <w:rPr>
          <w:rFonts w:hint="eastAsia" w:ascii="宋体" w:hAnsi="宋体"/>
          <w:color w:val="auto"/>
          <w:sz w:val="28"/>
          <w:szCs w:val="28"/>
          <w:highlight w:val="none"/>
          <w:lang w:val="en-US" w:eastAsia="zh-CN"/>
        </w:rPr>
        <w:t>1.24</w:t>
      </w:r>
      <w:r>
        <w:rPr>
          <w:rFonts w:hint="eastAsia" w:ascii="宋体" w:hAnsi="宋体"/>
          <w:color w:val="auto"/>
          <w:sz w:val="28"/>
          <w:szCs w:val="28"/>
          <w:highlight w:val="none"/>
          <w:lang w:val="ms-MY"/>
        </w:rPr>
        <w:t>%，即小写￥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万元（大写：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元整）</w:t>
      </w:r>
      <w:r>
        <w:rPr>
          <w:rFonts w:hint="eastAsia" w:ascii="宋体" w:hAnsi="宋体"/>
          <w:color w:val="auto"/>
          <w:sz w:val="28"/>
          <w:szCs w:val="28"/>
          <w:highlight w:val="none"/>
          <w:lang w:val="ms-MY" w:eastAsia="zh-CN"/>
        </w:rPr>
        <w:t>，</w:t>
      </w:r>
      <w:r>
        <w:rPr>
          <w:rFonts w:hint="eastAsia" w:ascii="宋体" w:hAnsi="宋体"/>
          <w:color w:val="auto"/>
          <w:sz w:val="28"/>
          <w:szCs w:val="28"/>
          <w:highlight w:val="none"/>
          <w:lang w:val="en-US" w:eastAsia="zh-CN"/>
        </w:rPr>
        <w:t>由受让方支付</w:t>
      </w:r>
      <w:r>
        <w:rPr>
          <w:rFonts w:hint="eastAsia" w:ascii="宋体" w:hAnsi="宋体"/>
          <w:color w:val="auto"/>
          <w:sz w:val="28"/>
          <w:szCs w:val="28"/>
          <w:highlight w:val="none"/>
          <w:lang w:val="ms-MY"/>
        </w:rPr>
        <w:t>。</w:t>
      </w:r>
    </w:p>
    <w:p>
      <w:pPr>
        <w:numPr>
          <w:ilvl w:val="0"/>
          <w:numId w:val="5"/>
        </w:numPr>
        <w:spacing w:line="360" w:lineRule="auto"/>
        <w:ind w:firstLine="560"/>
        <w:rPr>
          <w:rFonts w:ascii="宋体" w:hAnsi="宋体"/>
          <w:color w:val="auto"/>
          <w:sz w:val="28"/>
          <w:szCs w:val="28"/>
          <w:highlight w:val="none"/>
          <w:lang w:val="ms-MY"/>
        </w:rPr>
      </w:pPr>
      <w:r>
        <w:rPr>
          <w:rFonts w:hint="eastAsia" w:ascii="宋体" w:hAnsi="宋体"/>
          <w:color w:val="auto"/>
          <w:sz w:val="28"/>
          <w:szCs w:val="28"/>
          <w:highlight w:val="none"/>
          <w:lang w:val="ms-MY"/>
        </w:rPr>
        <w:t>付款方式：买受人签署本《成交确认书》后当天与出让方签订《</w:t>
      </w:r>
      <w:r>
        <w:rPr>
          <w:rFonts w:hint="eastAsia" w:ascii="宋体" w:hAnsi="宋体"/>
          <w:color w:val="auto"/>
          <w:sz w:val="28"/>
          <w:szCs w:val="28"/>
          <w:highlight w:val="none"/>
        </w:rPr>
        <w:t>股权转让合同</w:t>
      </w:r>
      <w:r>
        <w:rPr>
          <w:rFonts w:hint="eastAsia" w:ascii="宋体" w:hAnsi="宋体"/>
          <w:color w:val="auto"/>
          <w:sz w:val="28"/>
          <w:szCs w:val="28"/>
          <w:highlight w:val="none"/>
          <w:lang w:val="ms-MY"/>
        </w:rPr>
        <w:t>》。《</w:t>
      </w:r>
      <w:r>
        <w:rPr>
          <w:rFonts w:hint="eastAsia" w:ascii="宋体" w:hAnsi="宋体"/>
          <w:color w:val="auto"/>
          <w:sz w:val="28"/>
          <w:szCs w:val="28"/>
          <w:highlight w:val="none"/>
        </w:rPr>
        <w:t>股权转让合同</w:t>
      </w:r>
      <w:r>
        <w:rPr>
          <w:rFonts w:hint="eastAsia" w:ascii="宋体" w:hAnsi="宋体"/>
          <w:color w:val="auto"/>
          <w:sz w:val="28"/>
          <w:szCs w:val="28"/>
          <w:highlight w:val="none"/>
          <w:lang w:val="ms-MY"/>
        </w:rPr>
        <w:t>》生效后五个工作日内支付全部转让价款，成交款及交易佣金汇入（开户行：浙江民泰商业银行股份有限公司椒江市府大道支行  开户单位：台州市产权交易所有限公司  账号：583016260800028），受让方先期缴纳的竞买保证金可转为部分成交款。</w:t>
      </w:r>
    </w:p>
    <w:p>
      <w:pPr>
        <w:spacing w:line="360" w:lineRule="auto"/>
        <w:ind w:firstLine="560"/>
        <w:rPr>
          <w:rFonts w:hint="eastAsia" w:ascii="宋体" w:hAnsi="宋体" w:eastAsia="宋体"/>
          <w:bCs/>
          <w:color w:val="auto"/>
          <w:sz w:val="28"/>
          <w:szCs w:val="28"/>
          <w:highlight w:val="none"/>
          <w:lang w:val="en-US" w:eastAsia="zh-CN"/>
        </w:rPr>
      </w:pPr>
      <w:r>
        <w:rPr>
          <w:rFonts w:hint="eastAsia" w:ascii="宋体" w:hAnsi="宋体"/>
          <w:color w:val="auto"/>
          <w:sz w:val="28"/>
          <w:szCs w:val="28"/>
          <w:highlight w:val="none"/>
          <w:lang w:val="en-US" w:eastAsia="zh-CN"/>
        </w:rPr>
        <w:t>五</w:t>
      </w:r>
      <w:r>
        <w:rPr>
          <w:rFonts w:hint="eastAsia" w:ascii="宋体" w:hAnsi="宋体"/>
          <w:color w:val="auto"/>
          <w:sz w:val="28"/>
          <w:szCs w:val="28"/>
          <w:highlight w:val="none"/>
        </w:rPr>
        <w:t>、买受人成交后拒绝签署《成交确认书》、《</w:t>
      </w:r>
      <w:r>
        <w:rPr>
          <w:rFonts w:hint="eastAsia" w:ascii="宋体" w:hAnsi="宋体"/>
          <w:color w:val="auto"/>
          <w:sz w:val="28"/>
          <w:szCs w:val="28"/>
          <w:highlight w:val="none"/>
          <w:lang w:val="en-US" w:eastAsia="zh-CN"/>
        </w:rPr>
        <w:t>股</w:t>
      </w:r>
      <w:r>
        <w:rPr>
          <w:rFonts w:hint="eastAsia" w:ascii="宋体" w:hAnsi="宋体"/>
          <w:color w:val="auto"/>
          <w:sz w:val="28"/>
          <w:szCs w:val="28"/>
          <w:highlight w:val="none"/>
        </w:rPr>
        <w:t>权转让合同》，或不依本确认书足额按期支付转让款，视为其违约，产交所不再返还其已付的保证金并有权追究其违约责任。买受人逾期支付转让成交款项的，视为买受人根本违约。出让方有权解除《</w:t>
      </w:r>
      <w:r>
        <w:rPr>
          <w:rFonts w:hint="eastAsia" w:ascii="宋体" w:hAnsi="宋体"/>
          <w:color w:val="auto"/>
          <w:sz w:val="28"/>
          <w:szCs w:val="28"/>
          <w:highlight w:val="none"/>
          <w:lang w:val="en-US" w:eastAsia="zh-CN"/>
        </w:rPr>
        <w:t>股</w:t>
      </w:r>
      <w:r>
        <w:rPr>
          <w:rFonts w:hint="eastAsia" w:ascii="宋体" w:hAnsi="宋体"/>
          <w:color w:val="auto"/>
          <w:sz w:val="28"/>
          <w:szCs w:val="28"/>
          <w:highlight w:val="none"/>
        </w:rPr>
        <w:t>权转让合同》，产权交易所有权解除《成交确认书》，</w:t>
      </w:r>
      <w:r>
        <w:rPr>
          <w:rFonts w:hint="eastAsia" w:ascii="宋体" w:hAnsi="宋体"/>
          <w:bCs/>
          <w:color w:val="auto"/>
          <w:sz w:val="28"/>
          <w:szCs w:val="28"/>
          <w:highlight w:val="none"/>
          <w:lang w:val="en-US" w:eastAsia="zh-CN"/>
        </w:rPr>
        <w:t>保证金不予返还</w:t>
      </w:r>
      <w:r>
        <w:rPr>
          <w:rFonts w:hint="eastAsia" w:ascii="宋体" w:hAnsi="宋体"/>
          <w:color w:val="auto"/>
          <w:sz w:val="28"/>
          <w:szCs w:val="28"/>
          <w:highlight w:val="none"/>
        </w:rPr>
        <w:t>。</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六、确定本次挂牌转让活动各方当事人权利义务的依据：</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z w:val="28"/>
          <w:szCs w:val="28"/>
          <w:highlight w:val="none"/>
          <w:lang w:val="en-US" w:eastAsia="zh-CN"/>
        </w:rPr>
        <w:t>股权</w:t>
      </w:r>
      <w:r>
        <w:rPr>
          <w:rFonts w:hint="eastAsia" w:ascii="宋体" w:hAnsi="宋体"/>
          <w:color w:val="auto"/>
          <w:sz w:val="28"/>
          <w:szCs w:val="28"/>
          <w:highlight w:val="none"/>
        </w:rPr>
        <w:t>委托出让协议书》；</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2、《股权转让合同》及</w:t>
      </w:r>
      <w:r>
        <w:rPr>
          <w:rFonts w:ascii="宋体" w:hAnsi="宋体"/>
          <w:color w:val="auto"/>
          <w:sz w:val="28"/>
          <w:szCs w:val="28"/>
          <w:highlight w:val="none"/>
        </w:rPr>
        <w:t>其补充协议（如有）</w:t>
      </w:r>
      <w:r>
        <w:rPr>
          <w:rFonts w:hint="eastAsia" w:ascii="宋体" w:hAnsi="宋体"/>
          <w:color w:val="auto"/>
          <w:sz w:val="28"/>
          <w:szCs w:val="28"/>
          <w:highlight w:val="none"/>
        </w:rPr>
        <w:t>；</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3、《转让须知》；</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4、受让方办理的竞买申请手续及提供的有关文件和资料；</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5、其他本次挂牌转让有关的</w:t>
      </w:r>
      <w:r>
        <w:rPr>
          <w:rFonts w:ascii="宋体" w:hAnsi="宋体"/>
          <w:color w:val="auto"/>
          <w:sz w:val="28"/>
          <w:szCs w:val="28"/>
          <w:highlight w:val="none"/>
        </w:rPr>
        <w:t>文件及</w:t>
      </w:r>
      <w:r>
        <w:rPr>
          <w:rFonts w:hint="eastAsia" w:ascii="宋体" w:hAnsi="宋体"/>
          <w:color w:val="auto"/>
          <w:sz w:val="28"/>
          <w:szCs w:val="28"/>
          <w:highlight w:val="none"/>
        </w:rPr>
        <w:t>内容。</w:t>
      </w:r>
    </w:p>
    <w:p>
      <w:pPr>
        <w:spacing w:line="360" w:lineRule="auto"/>
        <w:ind w:firstLine="420" w:firstLineChars="150"/>
        <w:rPr>
          <w:rFonts w:ascii="宋体" w:hAnsi="宋体"/>
          <w:color w:val="auto"/>
          <w:sz w:val="28"/>
          <w:szCs w:val="28"/>
          <w:highlight w:val="none"/>
        </w:rPr>
      </w:pPr>
      <w:r>
        <w:rPr>
          <w:rFonts w:hint="eastAsia" w:ascii="宋体" w:hAnsi="宋体"/>
          <w:color w:val="auto"/>
          <w:sz w:val="28"/>
          <w:szCs w:val="28"/>
          <w:highlight w:val="none"/>
        </w:rPr>
        <w:t>七、本确认书在履行中若发生争议，双方应协商解决，协商不成的，可向</w:t>
      </w:r>
      <w:r>
        <w:rPr>
          <w:rFonts w:hint="eastAsia" w:ascii="宋体" w:hAnsi="宋体"/>
          <w:color w:val="auto"/>
          <w:sz w:val="28"/>
          <w:szCs w:val="28"/>
          <w:highlight w:val="none"/>
          <w:lang w:eastAsia="zh-CN"/>
        </w:rPr>
        <w:t>挂牌方所在地</w:t>
      </w:r>
      <w:r>
        <w:rPr>
          <w:rFonts w:hint="eastAsia" w:ascii="宋体" w:hAnsi="宋体"/>
          <w:color w:val="auto"/>
          <w:sz w:val="28"/>
          <w:szCs w:val="28"/>
          <w:highlight w:val="none"/>
        </w:rPr>
        <w:t>人民法院以起诉方式解决。</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八、本《成交确认书》一式陆份。主持人、受让方各执二份，委托人、监管部门各执一份。</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挂牌方（盖章）：     　　　　　　 受让方（盖章）：</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法定代表人：</w:t>
      </w:r>
      <w:r>
        <w:rPr>
          <w:rFonts w:ascii="宋体" w:hAnsi="宋体"/>
          <w:color w:val="auto"/>
          <w:sz w:val="28"/>
          <w:szCs w:val="28"/>
          <w:highlight w:val="none"/>
        </w:rPr>
        <w:tab/>
      </w:r>
      <w:r>
        <w:rPr>
          <w:rFonts w:hint="eastAsia" w:ascii="宋体" w:hAnsi="宋体"/>
          <w:color w:val="auto"/>
          <w:sz w:val="28"/>
          <w:szCs w:val="28"/>
          <w:highlight w:val="none"/>
        </w:rPr>
        <w:t>法定代表人：</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委托代理人：</w:t>
      </w:r>
      <w:r>
        <w:rPr>
          <w:rFonts w:ascii="宋体" w:hAnsi="宋体"/>
          <w:color w:val="auto"/>
          <w:sz w:val="28"/>
          <w:szCs w:val="28"/>
          <w:highlight w:val="none"/>
        </w:rPr>
        <w:tab/>
      </w:r>
      <w:r>
        <w:rPr>
          <w:rFonts w:hint="eastAsia" w:ascii="宋体" w:hAnsi="宋体"/>
          <w:color w:val="auto"/>
          <w:sz w:val="28"/>
          <w:szCs w:val="28"/>
          <w:highlight w:val="none"/>
        </w:rPr>
        <w:t>委托代理人：</w:t>
      </w:r>
    </w:p>
    <w:p>
      <w:pPr>
        <w:tabs>
          <w:tab w:val="left" w:pos="5210"/>
        </w:tabs>
        <w:spacing w:line="360" w:lineRule="auto"/>
        <w:ind w:firstLine="560"/>
        <w:rPr>
          <w:rFonts w:ascii="宋体" w:hAnsi="宋体"/>
          <w:b/>
          <w:color w:val="auto"/>
          <w:sz w:val="48"/>
          <w:szCs w:val="48"/>
          <w:highlight w:val="none"/>
        </w:rPr>
      </w:pPr>
      <w:r>
        <w:rPr>
          <w:rFonts w:hint="eastAsia" w:ascii="宋体" w:hAnsi="宋体"/>
          <w:color w:val="auto"/>
          <w:sz w:val="28"/>
          <w:szCs w:val="28"/>
          <w:highlight w:val="none"/>
        </w:rPr>
        <w:t>签订日期：    年   月  日      签订日期：    年   月  日</w:t>
      </w:r>
      <w:r>
        <w:rPr>
          <w:rFonts w:hint="eastAsia" w:ascii="宋体" w:hAnsi="宋体"/>
          <w:b/>
          <w:color w:val="auto"/>
          <w:sz w:val="48"/>
          <w:szCs w:val="48"/>
          <w:highlight w:val="none"/>
        </w:rPr>
        <w:br w:type="page"/>
      </w: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left="4" w:leftChars="-200" w:right="-615" w:rightChars="-293" w:hanging="424" w:hangingChars="88"/>
        <w:jc w:val="center"/>
        <w:rPr>
          <w:rFonts w:ascii="宋体" w:hAnsi="宋体"/>
          <w:b/>
          <w:color w:val="auto"/>
          <w:sz w:val="48"/>
          <w:szCs w:val="48"/>
          <w:highlight w:val="none"/>
        </w:rPr>
      </w:pPr>
      <w:r>
        <w:rPr>
          <w:rFonts w:hint="eastAsia" w:ascii="宋体" w:hAnsi="宋体"/>
          <w:b/>
          <w:color w:val="auto"/>
          <w:sz w:val="48"/>
          <w:szCs w:val="48"/>
          <w:highlight w:val="none"/>
          <w:lang w:eastAsia="zh-CN"/>
        </w:rPr>
        <w:t>台州美标水泥有限公司</w:t>
      </w:r>
      <w:r>
        <w:rPr>
          <w:rFonts w:hint="eastAsia" w:ascii="宋体" w:hAnsi="宋体"/>
          <w:b/>
          <w:color w:val="auto"/>
          <w:sz w:val="48"/>
          <w:szCs w:val="48"/>
          <w:highlight w:val="none"/>
          <w:lang w:val="en-US" w:eastAsia="zh-CN"/>
        </w:rPr>
        <w:t>80%</w:t>
      </w:r>
      <w:r>
        <w:rPr>
          <w:rFonts w:hint="eastAsia" w:ascii="宋体" w:hAnsi="宋体"/>
          <w:b/>
          <w:color w:val="auto"/>
          <w:sz w:val="48"/>
          <w:szCs w:val="48"/>
          <w:highlight w:val="none"/>
        </w:rPr>
        <w:t>股权</w:t>
      </w:r>
    </w:p>
    <w:p>
      <w:pPr>
        <w:spacing w:line="360" w:lineRule="auto"/>
        <w:ind w:firstLine="723"/>
        <w:jc w:val="center"/>
        <w:rPr>
          <w:rFonts w:ascii="宋体" w:hAnsi="宋体"/>
          <w:b/>
          <w:color w:val="auto"/>
          <w:sz w:val="36"/>
          <w:szCs w:val="36"/>
          <w:highlight w:val="none"/>
        </w:rPr>
      </w:pPr>
    </w:p>
    <w:p>
      <w:pPr>
        <w:pStyle w:val="2"/>
        <w:spacing w:before="100" w:beforeAutospacing="1" w:after="100" w:afterAutospacing="1" w:line="360" w:lineRule="auto"/>
        <w:ind w:firstLine="0" w:firstLineChars="0"/>
        <w:jc w:val="center"/>
        <w:rPr>
          <w:rFonts w:hint="eastAsia" w:ascii="宋体" w:hAnsi="宋体"/>
          <w:color w:val="auto"/>
          <w:kern w:val="2"/>
          <w:sz w:val="48"/>
          <w:szCs w:val="48"/>
          <w:highlight w:val="none"/>
        </w:rPr>
      </w:pPr>
      <w:bookmarkStart w:id="30" w:name="_Toc528773695"/>
      <w:bookmarkStart w:id="31" w:name="_Toc10080"/>
      <w:bookmarkStart w:id="32" w:name="_Toc6735"/>
      <w:r>
        <w:rPr>
          <w:rFonts w:hint="eastAsia" w:ascii="宋体" w:hAnsi="宋体"/>
          <w:color w:val="auto"/>
          <w:kern w:val="2"/>
          <w:sz w:val="48"/>
          <w:szCs w:val="48"/>
          <w:highlight w:val="none"/>
        </w:rPr>
        <w:t>转让合同</w:t>
      </w:r>
      <w:bookmarkEnd w:id="30"/>
      <w:bookmarkEnd w:id="31"/>
      <w:bookmarkEnd w:id="32"/>
    </w:p>
    <w:p>
      <w:pPr>
        <w:spacing w:line="360" w:lineRule="auto"/>
        <w:ind w:firstLine="0" w:firstLineChars="0"/>
        <w:jc w:val="center"/>
        <w:rPr>
          <w:rFonts w:ascii="宋体" w:hAnsi="宋体"/>
          <w:b/>
          <w:color w:val="auto"/>
          <w:sz w:val="70"/>
          <w:szCs w:val="70"/>
          <w:highlight w:val="none"/>
        </w:rPr>
      </w:pPr>
    </w:p>
    <w:p>
      <w:pPr>
        <w:spacing w:line="360" w:lineRule="auto"/>
        <w:ind w:firstLine="0" w:firstLineChars="0"/>
        <w:jc w:val="center"/>
        <w:rPr>
          <w:rFonts w:ascii="宋体" w:hAnsi="宋体"/>
          <w:b/>
          <w:color w:val="auto"/>
          <w:sz w:val="56"/>
          <w:szCs w:val="56"/>
          <w:highlight w:val="none"/>
        </w:rPr>
      </w:pPr>
      <w:r>
        <w:rPr>
          <w:rFonts w:hint="eastAsia" w:ascii="宋体" w:hAnsi="宋体"/>
          <w:b/>
          <w:color w:val="auto"/>
          <w:sz w:val="56"/>
          <w:szCs w:val="56"/>
          <w:highlight w:val="none"/>
        </w:rPr>
        <w:t>（样稿）</w:t>
      </w:r>
    </w:p>
    <w:p>
      <w:pPr>
        <w:spacing w:line="360" w:lineRule="auto"/>
        <w:ind w:firstLine="720"/>
        <w:rPr>
          <w:rFonts w:ascii="宋体" w:hAnsi="宋体"/>
          <w:color w:val="auto"/>
          <w:sz w:val="36"/>
          <w:szCs w:val="36"/>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spacing w:line="240" w:lineRule="auto"/>
        <w:ind w:firstLine="0" w:firstLineChars="0"/>
        <w:jc w:val="center"/>
        <w:outlineLvl w:val="9"/>
        <w:rPr>
          <w:rFonts w:ascii="宋体" w:hAnsi="宋体"/>
          <w:b/>
          <w:color w:val="auto"/>
          <w:sz w:val="28"/>
          <w:szCs w:val="28"/>
          <w:highlight w:val="none"/>
        </w:rPr>
      </w:pPr>
      <w:r>
        <w:rPr>
          <w:rFonts w:hint="eastAsia" w:ascii="宋体" w:hAnsi="宋体"/>
          <w:color w:val="auto"/>
          <w:sz w:val="28"/>
          <w:szCs w:val="28"/>
          <w:highlight w:val="none"/>
        </w:rPr>
        <w:t>台州市产权交易所有限公司   编制</w:t>
      </w:r>
    </w:p>
    <w:p>
      <w:pPr>
        <w:ind w:firstLine="562"/>
        <w:rPr>
          <w:b/>
          <w:color w:val="auto"/>
          <w:sz w:val="28"/>
          <w:szCs w:val="28"/>
          <w:highlight w:val="none"/>
        </w:rPr>
      </w:pPr>
      <w:r>
        <w:rPr>
          <w:b/>
          <w:color w:val="auto"/>
          <w:sz w:val="28"/>
          <w:szCs w:val="28"/>
          <w:highlight w:val="none"/>
        </w:rPr>
        <w:br w:type="page"/>
      </w:r>
    </w:p>
    <w:p>
      <w:pPr>
        <w:pStyle w:val="5"/>
        <w:adjustRightInd w:val="0"/>
        <w:snapToGrid w:val="0"/>
        <w:spacing w:line="360" w:lineRule="auto"/>
        <w:jc w:val="center"/>
        <w:rPr>
          <w:b/>
          <w:color w:val="auto"/>
          <w:sz w:val="28"/>
          <w:szCs w:val="28"/>
          <w:highlight w:val="none"/>
        </w:rPr>
      </w:pPr>
      <w:r>
        <w:rPr>
          <w:rFonts w:hint="eastAsia"/>
          <w:b/>
          <w:color w:val="auto"/>
          <w:sz w:val="28"/>
          <w:szCs w:val="28"/>
          <w:highlight w:val="none"/>
        </w:rPr>
        <w:t>本合同的当事人</w:t>
      </w: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left="0" w:leftChars="0"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出让人（以下简称甲方）：玉环市国有资产投资经营集团有限公司</w:t>
      </w:r>
    </w:p>
    <w:p>
      <w:pPr>
        <w:adjustRightInd w:val="0"/>
        <w:snapToGrid w:val="0"/>
        <w:spacing w:line="360" w:lineRule="auto"/>
        <w:ind w:firstLine="560"/>
        <w:rPr>
          <w:rFonts w:hint="eastAsia" w:ascii="宋体" w:hAnsi="宋体"/>
          <w:color w:val="auto"/>
          <w:sz w:val="28"/>
          <w:szCs w:val="28"/>
          <w:highlight w:val="none"/>
          <w:lang w:val="en-US" w:eastAsia="zh-CN"/>
        </w:rPr>
      </w:pPr>
      <w:r>
        <w:rPr>
          <w:rFonts w:hint="eastAsia" w:ascii="宋体" w:hAnsi="宋体"/>
          <w:color w:val="auto"/>
          <w:sz w:val="28"/>
          <w:szCs w:val="28"/>
          <w:highlight w:val="none"/>
        </w:rPr>
        <w:t>主体资格证号：91331021704700099D</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注册地址/住所：浙江省玉环市玉城街道城中路与长治路东北转角</w:t>
      </w:r>
      <w:r>
        <w:rPr>
          <w:rFonts w:hint="eastAsia" w:ascii="宋体" w:hAnsi="宋体"/>
          <w:color w:val="auto"/>
          <w:sz w:val="28"/>
          <w:szCs w:val="28"/>
          <w:highlight w:val="none"/>
          <w:lang w:val="en-US"/>
        </w:rPr>
        <w:t xml:space="preserve">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经济性质</w:t>
      </w:r>
      <w:r>
        <w:rPr>
          <w:rFonts w:hint="eastAsia" w:ascii="宋体" w:hAnsi="宋体"/>
          <w:color w:val="auto"/>
          <w:sz w:val="28"/>
          <w:szCs w:val="28"/>
          <w:highlight w:val="none"/>
          <w:lang w:val="en-US"/>
        </w:rPr>
        <w:t>：有限责任公司(国有控股)</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注册资本：12000万元人民币</w:t>
      </w:r>
    </w:p>
    <w:p>
      <w:pPr>
        <w:adjustRightInd w:val="0"/>
        <w:snapToGrid w:val="0"/>
        <w:spacing w:line="360" w:lineRule="auto"/>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法定代表人：张黎曙          职务：</w:t>
      </w:r>
      <w:r>
        <w:rPr>
          <w:rFonts w:hint="eastAsia" w:ascii="宋体" w:hAnsi="宋体"/>
          <w:color w:val="auto"/>
          <w:sz w:val="28"/>
          <w:szCs w:val="28"/>
          <w:highlight w:val="none"/>
          <w:lang w:eastAsia="zh-CN"/>
        </w:rPr>
        <w:t>总经理</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开户银行：</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lang w:eastAsia="zh-CN"/>
        </w:rPr>
        <w:t>账</w:t>
      </w:r>
      <w:r>
        <w:rPr>
          <w:rFonts w:hint="eastAsia" w:ascii="宋体" w:hAnsi="宋体"/>
          <w:color w:val="auto"/>
          <w:sz w:val="28"/>
          <w:szCs w:val="28"/>
          <w:highlight w:val="none"/>
        </w:rPr>
        <w:t>号：</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邮编：31</w:t>
      </w:r>
      <w:r>
        <w:rPr>
          <w:rFonts w:hint="eastAsia" w:ascii="宋体" w:hAnsi="宋体"/>
          <w:color w:val="auto"/>
          <w:sz w:val="28"/>
          <w:szCs w:val="28"/>
          <w:highlight w:val="none"/>
          <w:lang w:val="en-US" w:eastAsia="zh-CN"/>
        </w:rPr>
        <w:t>7600</w:t>
      </w:r>
      <w:r>
        <w:rPr>
          <w:rFonts w:hint="eastAsia" w:ascii="宋体" w:hAnsi="宋体"/>
          <w:color w:val="auto"/>
          <w:sz w:val="28"/>
          <w:szCs w:val="28"/>
          <w:highlight w:val="none"/>
        </w:rPr>
        <w:t xml:space="preserve">                 电话：</w:t>
      </w: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受让人（以下简称乙方）：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主体资格证号或身份证号：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注册地址/住所：  </w:t>
      </w:r>
    </w:p>
    <w:p>
      <w:pPr>
        <w:tabs>
          <w:tab w:val="left" w:pos="4640"/>
        </w:tabs>
        <w:adjustRightInd w:val="0"/>
        <w:snapToGrid w:val="0"/>
        <w:spacing w:line="360" w:lineRule="auto"/>
        <w:ind w:left="6257" w:leftChars="266" w:hanging="5698" w:hangingChars="2035"/>
        <w:rPr>
          <w:rFonts w:ascii="宋体" w:hAnsi="宋体"/>
          <w:color w:val="auto"/>
          <w:sz w:val="28"/>
          <w:szCs w:val="28"/>
          <w:highlight w:val="none"/>
        </w:rPr>
      </w:pPr>
      <w:r>
        <w:rPr>
          <w:rFonts w:hint="eastAsia" w:ascii="宋体" w:hAnsi="宋体"/>
          <w:color w:val="auto"/>
          <w:sz w:val="28"/>
          <w:szCs w:val="28"/>
          <w:highlight w:val="none"/>
        </w:rPr>
        <w:t xml:space="preserve">经济性质：                          注册资本：  </w:t>
      </w:r>
    </w:p>
    <w:p>
      <w:pPr>
        <w:tabs>
          <w:tab w:val="left" w:pos="6705"/>
        </w:tabs>
        <w:adjustRightInd w:val="0"/>
        <w:snapToGrid w:val="0"/>
        <w:spacing w:line="360" w:lineRule="auto"/>
        <w:ind w:left="6257" w:leftChars="266" w:hanging="5698" w:hangingChars="2035"/>
        <w:rPr>
          <w:rFonts w:ascii="宋体" w:hAnsi="宋体"/>
          <w:color w:val="auto"/>
          <w:sz w:val="28"/>
          <w:szCs w:val="28"/>
          <w:highlight w:val="none"/>
        </w:rPr>
      </w:pPr>
      <w:r>
        <w:rPr>
          <w:rFonts w:hint="eastAsia" w:ascii="宋体" w:hAnsi="宋体"/>
          <w:color w:val="auto"/>
          <w:sz w:val="28"/>
          <w:szCs w:val="28"/>
          <w:highlight w:val="none"/>
        </w:rPr>
        <w:t xml:space="preserve">法定代表人：                        职务：  </w:t>
      </w:r>
    </w:p>
    <w:p>
      <w:pPr>
        <w:tabs>
          <w:tab w:val="left" w:pos="4320"/>
          <w:tab w:val="left" w:pos="4680"/>
          <w:tab w:val="left" w:pos="5220"/>
          <w:tab w:val="left" w:pos="6900"/>
          <w:tab w:val="left" w:pos="8190"/>
        </w:tabs>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开户银行：                          帐号：</w:t>
      </w:r>
    </w:p>
    <w:p>
      <w:pPr>
        <w:tabs>
          <w:tab w:val="left" w:pos="5040"/>
        </w:tabs>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 xml:space="preserve">邮编：                              电话：  </w:t>
      </w:r>
    </w:p>
    <w:p>
      <w:pPr>
        <w:tabs>
          <w:tab w:val="left" w:pos="5040"/>
        </w:tabs>
        <w:spacing w:line="360" w:lineRule="auto"/>
        <w:ind w:firstLine="560"/>
        <w:rPr>
          <w:rFonts w:hint="eastAsia" w:ascii="宋体" w:hAnsi="宋体"/>
          <w:color w:val="auto"/>
          <w:sz w:val="28"/>
          <w:szCs w:val="28"/>
          <w:highlight w:val="none"/>
        </w:rPr>
      </w:pPr>
    </w:p>
    <w:p>
      <w:pPr>
        <w:tabs>
          <w:tab w:val="left" w:pos="5040"/>
        </w:tabs>
        <w:spacing w:line="360" w:lineRule="auto"/>
        <w:ind w:firstLine="560"/>
        <w:rPr>
          <w:rFonts w:hint="eastAsia" w:ascii="宋体" w:hAnsi="宋体"/>
          <w:color w:val="auto"/>
          <w:sz w:val="28"/>
          <w:szCs w:val="28"/>
          <w:highlight w:val="none"/>
        </w:rPr>
      </w:pP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0" w:firstLineChars="0"/>
        <w:jc w:val="left"/>
        <w:textAlignment w:val="auto"/>
        <w:rPr>
          <w:rFonts w:hint="eastAsia" w:ascii="宋体" w:hAnsi="宋体"/>
          <w:color w:val="auto"/>
          <w:sz w:val="28"/>
          <w:szCs w:val="28"/>
          <w:highlight w:val="none"/>
        </w:rPr>
      </w:pP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b/>
          <w:color w:val="auto"/>
          <w:sz w:val="28"/>
          <w:szCs w:val="28"/>
          <w:highlight w:val="none"/>
        </w:rPr>
      </w:pPr>
      <w:r>
        <w:rPr>
          <w:rFonts w:hint="eastAsia" w:ascii="宋体" w:hAnsi="宋体"/>
          <w:color w:val="auto"/>
          <w:sz w:val="28"/>
          <w:szCs w:val="28"/>
          <w:highlight w:val="none"/>
        </w:rPr>
        <w:t>根据《中华人民共和国</w:t>
      </w:r>
      <w:r>
        <w:rPr>
          <w:rFonts w:hint="eastAsia" w:ascii="宋体" w:hAnsi="宋体"/>
          <w:color w:val="auto"/>
          <w:sz w:val="28"/>
          <w:szCs w:val="28"/>
          <w:highlight w:val="none"/>
          <w:lang w:eastAsia="zh-CN"/>
        </w:rPr>
        <w:t>民法典</w:t>
      </w:r>
      <w:r>
        <w:rPr>
          <w:rFonts w:hint="eastAsia" w:ascii="宋体" w:hAnsi="宋体"/>
          <w:color w:val="auto"/>
          <w:sz w:val="28"/>
          <w:szCs w:val="28"/>
          <w:highlight w:val="none"/>
        </w:rPr>
        <w:t>》和《企业国有资产交易监督管理办法》以及《企业国有产权交易操作规则》等相关法律、法规、规章及有关单位批准，甲方将持有的</w:t>
      </w:r>
      <w:r>
        <w:rPr>
          <w:rFonts w:hint="eastAsia" w:ascii="宋体" w:hAnsi="宋体"/>
          <w:color w:val="auto"/>
          <w:sz w:val="28"/>
          <w:szCs w:val="28"/>
          <w:highlight w:val="none"/>
          <w:lang w:eastAsia="zh-CN"/>
        </w:rPr>
        <w:t>台州美标水泥有限公司</w:t>
      </w:r>
      <w:r>
        <w:rPr>
          <w:rFonts w:hint="eastAsia" w:ascii="宋体" w:hAnsi="宋体"/>
          <w:color w:val="auto"/>
          <w:sz w:val="28"/>
          <w:szCs w:val="28"/>
          <w:highlight w:val="none"/>
        </w:rPr>
        <w:t>（下称“</w:t>
      </w:r>
      <w:r>
        <w:rPr>
          <w:rFonts w:hint="eastAsia" w:ascii="宋体" w:hAnsi="宋体"/>
          <w:color w:val="auto"/>
          <w:sz w:val="28"/>
          <w:szCs w:val="28"/>
          <w:highlight w:val="none"/>
          <w:lang w:eastAsia="zh-CN"/>
        </w:rPr>
        <w:t>美标公司</w:t>
      </w:r>
      <w:r>
        <w:rPr>
          <w:rFonts w:hint="eastAsia" w:ascii="宋体" w:hAnsi="宋体"/>
          <w:color w:val="auto"/>
          <w:sz w:val="28"/>
          <w:szCs w:val="28"/>
          <w:highlight w:val="none"/>
        </w:rPr>
        <w:t>” 或</w:t>
      </w:r>
      <w:r>
        <w:rPr>
          <w:rFonts w:ascii="宋体" w:hAnsi="宋体"/>
          <w:color w:val="auto"/>
          <w:sz w:val="28"/>
          <w:szCs w:val="28"/>
          <w:highlight w:val="none"/>
        </w:rPr>
        <w:t>“标的公司”</w:t>
      </w: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80%</w:t>
      </w:r>
      <w:r>
        <w:rPr>
          <w:rFonts w:hint="eastAsia" w:ascii="宋体" w:hAnsi="宋体"/>
          <w:color w:val="auto"/>
          <w:sz w:val="28"/>
          <w:szCs w:val="28"/>
          <w:highlight w:val="none"/>
        </w:rPr>
        <w:t>股权转让给乙方。为此，甲、乙双方遵循自愿、公平、诚实信用的原则及转让相关规定订立本合同，以致共同遵守。</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rPr>
        <w:t>鉴于：</w:t>
      </w:r>
    </w:p>
    <w:p>
      <w:pPr>
        <w:pStyle w:val="12"/>
        <w:keepNext w:val="0"/>
        <w:keepLines w:val="0"/>
        <w:pageBreakBefore w:val="0"/>
        <w:widowControl w:val="0"/>
        <w:numPr>
          <w:ilvl w:val="0"/>
          <w:numId w:val="6"/>
        </w:numPr>
        <w:kinsoku/>
        <w:wordWrap/>
        <w:overflowPunct/>
        <w:topLinePunct w:val="0"/>
        <w:autoSpaceDE/>
        <w:autoSpaceDN/>
        <w:bidi w:val="0"/>
        <w:adjustRightInd w:val="0"/>
        <w:snapToGrid w:val="0"/>
        <w:spacing w:after="0" w:afterLines="0" w:line="360" w:lineRule="auto"/>
        <w:ind w:left="0" w:firstLine="560" w:firstLineChars="200"/>
        <w:textAlignment w:val="auto"/>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台州美标水泥有限公司成立于2002年02月07日，注册资本5001.8万元，统一社会信用代码为</w:t>
      </w:r>
      <w:r>
        <w:rPr>
          <w:rFonts w:hint="eastAsia" w:ascii="宋体" w:hAnsi="宋体"/>
          <w:color w:val="auto"/>
          <w:sz w:val="28"/>
          <w:szCs w:val="28"/>
          <w:highlight w:val="none"/>
        </w:rPr>
        <w:t>91331002148269567F</w:t>
      </w:r>
      <w:r>
        <w:rPr>
          <w:rFonts w:hint="eastAsia" w:ascii="宋体" w:hAnsi="宋体"/>
          <w:color w:val="auto"/>
          <w:sz w:val="28"/>
          <w:szCs w:val="28"/>
          <w:highlight w:val="none"/>
          <w:lang w:val="en-US" w:eastAsia="zh-CN"/>
        </w:rPr>
        <w:t>，法定代表人为王文荣；经营范围：水泥制品销售；非金属矿及制品销售；煤炭及制品销售；普通货物仓储服务（不含危险化学品等需许可审批的项目）；塑料制品销售；金属材料销售；建筑材料销售；化工产品销售（不含许可类化工产品）(除依法须经批准的项目外，凭营业执照依法自主开展经营活动)。</w:t>
      </w:r>
    </w:p>
    <w:p>
      <w:pPr>
        <w:pStyle w:val="12"/>
        <w:keepNext w:val="0"/>
        <w:keepLines w:val="0"/>
        <w:pageBreakBefore w:val="0"/>
        <w:widowControl w:val="0"/>
        <w:numPr>
          <w:ilvl w:val="0"/>
          <w:numId w:val="6"/>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转让标的经有资质的</w:t>
      </w:r>
      <w:r>
        <w:rPr>
          <w:rFonts w:hint="eastAsia" w:ascii="宋体" w:hAnsi="宋体"/>
          <w:color w:val="auto"/>
          <w:sz w:val="28"/>
          <w:szCs w:val="28"/>
          <w:highlight w:val="none"/>
          <w:lang w:val="en-US" w:eastAsia="zh-CN"/>
        </w:rPr>
        <w:t>台州宏诚资产评估事务所（普通合伙）</w:t>
      </w:r>
      <w:r>
        <w:rPr>
          <w:rFonts w:hint="eastAsia" w:ascii="宋体" w:hAnsi="宋体"/>
          <w:color w:val="auto"/>
          <w:sz w:val="28"/>
          <w:szCs w:val="28"/>
          <w:highlight w:val="none"/>
        </w:rPr>
        <w:t>评估，出具了以</w:t>
      </w:r>
      <w:r>
        <w:rPr>
          <w:rFonts w:ascii="宋体" w:hAnsi="宋体"/>
          <w:color w:val="auto"/>
          <w:sz w:val="28"/>
          <w:szCs w:val="28"/>
          <w:highlight w:val="none"/>
        </w:rPr>
        <w:t>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28</w:t>
      </w:r>
      <w:r>
        <w:rPr>
          <w:rFonts w:hint="eastAsia" w:ascii="宋体" w:hAnsi="宋体"/>
          <w:color w:val="auto"/>
          <w:sz w:val="28"/>
          <w:szCs w:val="28"/>
          <w:highlight w:val="none"/>
        </w:rPr>
        <w:t>日为评估基准日的</w:t>
      </w:r>
      <w:r>
        <w:rPr>
          <w:rFonts w:hint="eastAsia" w:ascii="宋体" w:hAnsi="宋体"/>
          <w:color w:val="auto"/>
          <w:sz w:val="28"/>
          <w:szCs w:val="28"/>
          <w:highlight w:val="none"/>
          <w:lang w:val="en-US" w:eastAsia="zh-CN"/>
        </w:rPr>
        <w:t>宏诚</w:t>
      </w:r>
      <w:r>
        <w:rPr>
          <w:rFonts w:hint="eastAsia" w:ascii="宋体" w:hAnsi="宋体"/>
          <w:color w:val="auto"/>
          <w:sz w:val="28"/>
          <w:szCs w:val="28"/>
          <w:highlight w:val="none"/>
          <w:lang w:eastAsia="zh-CN"/>
        </w:rPr>
        <w:t>评报</w:t>
      </w:r>
      <w:r>
        <w:rPr>
          <w:rFonts w:hint="eastAsia" w:ascii="宋体" w:hAnsi="宋体"/>
          <w:color w:val="auto"/>
          <w:sz w:val="28"/>
          <w:szCs w:val="28"/>
          <w:highlight w:val="none"/>
          <w:lang w:val="en-US" w:eastAsia="zh-CN"/>
        </w:rPr>
        <w:t>字</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2021</w:t>
      </w:r>
      <w:r>
        <w:rPr>
          <w:rFonts w:hint="eastAsia" w:ascii="宋体" w:hAnsi="宋体"/>
          <w:color w:val="auto"/>
          <w:sz w:val="28"/>
          <w:szCs w:val="28"/>
          <w:highlight w:val="none"/>
          <w:lang w:eastAsia="zh-CN"/>
        </w:rPr>
        <w:t>】第</w:t>
      </w:r>
      <w:r>
        <w:rPr>
          <w:rFonts w:hint="eastAsia" w:ascii="宋体" w:hAnsi="宋体"/>
          <w:color w:val="auto"/>
          <w:sz w:val="28"/>
          <w:szCs w:val="28"/>
          <w:highlight w:val="none"/>
          <w:lang w:val="en-US" w:eastAsia="zh-CN"/>
        </w:rPr>
        <w:t>038号</w:t>
      </w:r>
      <w:r>
        <w:rPr>
          <w:rFonts w:hint="eastAsia" w:ascii="宋体" w:hAnsi="宋体"/>
          <w:color w:val="auto"/>
          <w:sz w:val="28"/>
          <w:szCs w:val="28"/>
          <w:highlight w:val="none"/>
        </w:rPr>
        <w:t>《玉环市国有资产投资经营集团有限公司拟进行股权处置涉及郑茜持有的台州美标水泥有限公司（80%）股东权益价值项目资产评估报告》。</w:t>
      </w:r>
    </w:p>
    <w:p>
      <w:pPr>
        <w:pStyle w:val="12"/>
        <w:keepNext w:val="0"/>
        <w:keepLines w:val="0"/>
        <w:pageBreakBefore w:val="0"/>
        <w:widowControl w:val="0"/>
        <w:numPr>
          <w:ilvl w:val="0"/>
          <w:numId w:val="6"/>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bookmarkStart w:id="33" w:name="待定09"/>
      <w:r>
        <w:rPr>
          <w:rFonts w:hint="eastAsia" w:ascii="宋体" w:hAnsi="宋体"/>
          <w:color w:val="auto"/>
          <w:sz w:val="28"/>
          <w:szCs w:val="28"/>
          <w:highlight w:val="none"/>
        </w:rPr>
        <w:t>本次股权转让已经必要的内部决策和批准程序，资产评估报告已经玉环市</w:t>
      </w:r>
      <w:r>
        <w:rPr>
          <w:rFonts w:hint="eastAsia" w:ascii="宋体" w:hAnsi="宋体"/>
          <w:color w:val="auto"/>
          <w:sz w:val="28"/>
          <w:szCs w:val="28"/>
          <w:highlight w:val="none"/>
          <w:lang w:val="en-US" w:eastAsia="zh-CN"/>
        </w:rPr>
        <w:t>人民政府</w:t>
      </w:r>
      <w:r>
        <w:rPr>
          <w:rFonts w:hint="eastAsia" w:ascii="宋体" w:hAnsi="宋体"/>
          <w:color w:val="auto"/>
          <w:sz w:val="28"/>
          <w:szCs w:val="28"/>
          <w:highlight w:val="none"/>
        </w:rPr>
        <w:t>国有资产</w:t>
      </w:r>
      <w:r>
        <w:rPr>
          <w:rFonts w:hint="eastAsia" w:ascii="宋体" w:hAnsi="宋体"/>
          <w:color w:val="auto"/>
          <w:sz w:val="28"/>
          <w:szCs w:val="28"/>
          <w:highlight w:val="none"/>
          <w:lang w:val="en-US" w:eastAsia="zh-CN"/>
        </w:rPr>
        <w:t>监督管理办公室</w:t>
      </w:r>
      <w:r>
        <w:rPr>
          <w:rFonts w:hint="eastAsia" w:ascii="宋体" w:hAnsi="宋体"/>
          <w:color w:val="auto"/>
          <w:sz w:val="28"/>
          <w:szCs w:val="28"/>
          <w:highlight w:val="none"/>
        </w:rPr>
        <w:t>备案。</w:t>
      </w:r>
    </w:p>
    <w:bookmarkEnd w:id="33"/>
    <w:p>
      <w:pPr>
        <w:pStyle w:val="12"/>
        <w:keepNext w:val="0"/>
        <w:keepLines w:val="0"/>
        <w:pageBreakBefore w:val="0"/>
        <w:widowControl w:val="0"/>
        <w:numPr>
          <w:ilvl w:val="0"/>
          <w:numId w:val="6"/>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甲、乙双方当事人对上述情况及本次股权转让的相关资料均已进行全面详细的了解。</w:t>
      </w:r>
    </w:p>
    <w:p>
      <w:pPr>
        <w:pStyle w:val="12"/>
        <w:keepNext w:val="0"/>
        <w:keepLines w:val="0"/>
        <w:pageBreakBefore w:val="0"/>
        <w:widowControl w:val="0"/>
        <w:numPr>
          <w:ilvl w:val="0"/>
          <w:numId w:val="6"/>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本次股权转让，双方当事人均已被授权。</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val="en-US" w:eastAsia="zh-CN"/>
        </w:rPr>
        <w:t xml:space="preserve">第一条 </w:t>
      </w:r>
      <w:r>
        <w:rPr>
          <w:rFonts w:hint="eastAsia" w:ascii="宋体" w:hAnsi="宋体"/>
          <w:b/>
          <w:color w:val="auto"/>
          <w:sz w:val="28"/>
          <w:szCs w:val="28"/>
          <w:highlight w:val="none"/>
        </w:rPr>
        <w:t>转让的标的</w:t>
      </w:r>
    </w:p>
    <w:p>
      <w:pPr>
        <w:keepNext w:val="0"/>
        <w:keepLines w:val="0"/>
        <w:pageBreakBefore w:val="0"/>
        <w:widowControl w:val="0"/>
        <w:tabs>
          <w:tab w:val="left" w:pos="3780"/>
        </w:tabs>
        <w:kinsoku/>
        <w:wordWrap/>
        <w:overflowPunct/>
        <w:topLinePunct w:val="0"/>
        <w:autoSpaceDE/>
        <w:autoSpaceDN/>
        <w:bidi w:val="0"/>
        <w:adjustRightInd w:val="0"/>
        <w:snapToGrid w:val="0"/>
        <w:spacing w:afterLines="0" w:line="360" w:lineRule="auto"/>
        <w:ind w:firstLine="560" w:firstLineChars="200"/>
        <w:jc w:val="left"/>
        <w:textAlignment w:val="auto"/>
        <w:rPr>
          <w:rFonts w:ascii="宋体" w:hAnsi="宋体"/>
          <w:b/>
          <w:color w:val="auto"/>
          <w:sz w:val="28"/>
          <w:szCs w:val="28"/>
          <w:highlight w:val="none"/>
        </w:rPr>
      </w:pPr>
      <w:r>
        <w:rPr>
          <w:rFonts w:hint="eastAsia" w:ascii="宋体" w:hAnsi="宋体"/>
          <w:color w:val="auto"/>
          <w:sz w:val="28"/>
          <w:szCs w:val="28"/>
          <w:highlight w:val="none"/>
        </w:rPr>
        <w:t>甲方将持有的</w:t>
      </w:r>
      <w:r>
        <w:rPr>
          <w:rFonts w:hint="eastAsia" w:ascii="宋体" w:hAnsi="宋体"/>
          <w:color w:val="auto"/>
          <w:sz w:val="28"/>
          <w:szCs w:val="28"/>
          <w:highlight w:val="none"/>
          <w:u w:val="single"/>
          <w:lang w:eastAsia="zh-CN"/>
        </w:rPr>
        <w:t>台州美标水泥有限公司</w:t>
      </w:r>
      <w:r>
        <w:rPr>
          <w:rFonts w:hint="eastAsia" w:ascii="宋体" w:hAnsi="宋体"/>
          <w:color w:val="auto"/>
          <w:sz w:val="28"/>
          <w:szCs w:val="28"/>
          <w:highlight w:val="none"/>
          <w:u w:val="single"/>
          <w:lang w:val="en-US" w:eastAsia="zh-CN"/>
        </w:rPr>
        <w:t>80%</w:t>
      </w:r>
      <w:r>
        <w:rPr>
          <w:rFonts w:hint="eastAsia" w:ascii="宋体" w:hAnsi="宋体"/>
          <w:color w:val="auto"/>
          <w:sz w:val="28"/>
          <w:szCs w:val="28"/>
          <w:highlight w:val="none"/>
        </w:rPr>
        <w:t>有偿转让给乙方。</w:t>
      </w:r>
    </w:p>
    <w:p>
      <w:pPr>
        <w:pStyle w:val="12"/>
        <w:keepNext w:val="0"/>
        <w:keepLines w:val="0"/>
        <w:pageBreakBefore w:val="0"/>
        <w:widowControl w:val="0"/>
        <w:numPr>
          <w:ilvl w:val="0"/>
          <w:numId w:val="7"/>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hint="eastAsia" w:ascii="宋体" w:hAnsi="宋体"/>
          <w:b/>
          <w:color w:val="auto"/>
          <w:sz w:val="28"/>
          <w:szCs w:val="28"/>
          <w:highlight w:val="none"/>
        </w:rPr>
      </w:pPr>
      <w:r>
        <w:rPr>
          <w:rFonts w:hint="eastAsia" w:ascii="宋体" w:hAnsi="宋体"/>
          <w:b/>
          <w:color w:val="auto"/>
          <w:sz w:val="28"/>
          <w:szCs w:val="28"/>
          <w:highlight w:val="none"/>
        </w:rPr>
        <w:t>转让标的公司涉及的债权、债务的承继和清偿办法。</w:t>
      </w:r>
    </w:p>
    <w:p>
      <w:pPr>
        <w:keepNext w:val="0"/>
        <w:keepLines w:val="0"/>
        <w:pageBreakBefore w:val="0"/>
        <w:widowControl w:val="0"/>
        <w:kinsoku/>
        <w:wordWrap/>
        <w:overflowPunct/>
        <w:topLinePunct w:val="0"/>
        <w:autoSpaceDE/>
        <w:autoSpaceDN/>
        <w:bidi w:val="0"/>
        <w:adjustRightInd w:val="0"/>
        <w:snapToGrid w:val="0"/>
        <w:spacing w:afterLines="0" w:line="360" w:lineRule="auto"/>
        <w:ind w:firstLine="560" w:firstLineChars="200"/>
        <w:textAlignment w:val="auto"/>
        <w:rPr>
          <w:rFonts w:hint="eastAsia" w:ascii="宋体" w:hAnsi="宋体"/>
          <w:bCs/>
          <w:color w:val="auto"/>
          <w:sz w:val="28"/>
          <w:szCs w:val="28"/>
        </w:rPr>
      </w:pPr>
      <w:r>
        <w:rPr>
          <w:rFonts w:hint="eastAsia" w:ascii="宋体" w:hAnsi="宋体"/>
          <w:color w:val="auto"/>
          <w:sz w:val="28"/>
          <w:szCs w:val="28"/>
        </w:rPr>
        <w:t>本次股权转让完成后，</w:t>
      </w:r>
      <w:r>
        <w:rPr>
          <w:rFonts w:hint="eastAsia" w:ascii="宋体" w:hAnsi="宋体"/>
          <w:color w:val="auto"/>
          <w:sz w:val="28"/>
          <w:szCs w:val="28"/>
          <w:highlight w:val="none"/>
          <w:u w:val="none"/>
          <w:lang w:eastAsia="zh-CN"/>
        </w:rPr>
        <w:t>台州美标水泥有限公司</w:t>
      </w:r>
      <w:r>
        <w:rPr>
          <w:rFonts w:hint="eastAsia" w:ascii="宋体" w:hAnsi="宋体"/>
          <w:color w:val="auto"/>
          <w:sz w:val="28"/>
          <w:szCs w:val="28"/>
          <w:u w:val="none"/>
        </w:rPr>
        <w:t>的法</w:t>
      </w:r>
      <w:r>
        <w:rPr>
          <w:rFonts w:hint="eastAsia" w:ascii="宋体" w:hAnsi="宋体"/>
          <w:color w:val="auto"/>
          <w:sz w:val="28"/>
          <w:szCs w:val="28"/>
        </w:rPr>
        <w:t>人主体未发生变化，为依法存续的有限责任公司。故此，其所有债权、债务依然由</w:t>
      </w:r>
      <w:r>
        <w:rPr>
          <w:rFonts w:hint="eastAsia" w:ascii="宋体" w:hAnsi="宋体"/>
          <w:color w:val="auto"/>
          <w:sz w:val="28"/>
          <w:szCs w:val="28"/>
          <w:lang w:eastAsia="zh-CN"/>
        </w:rPr>
        <w:t>台州美标水泥有限公司</w:t>
      </w:r>
      <w:r>
        <w:rPr>
          <w:rFonts w:hint="eastAsia" w:ascii="宋体" w:hAnsi="宋体"/>
          <w:color w:val="auto"/>
          <w:sz w:val="28"/>
          <w:szCs w:val="28"/>
        </w:rPr>
        <w:t>承继。</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第三条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股权转让方式</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bookmarkStart w:id="34" w:name="待定10"/>
      <w:r>
        <w:rPr>
          <w:rFonts w:hint="eastAsia" w:ascii="宋体" w:hAnsi="宋体"/>
          <w:color w:val="auto"/>
          <w:sz w:val="28"/>
          <w:szCs w:val="28"/>
          <w:highlight w:val="none"/>
          <w:u w:val="single"/>
        </w:rPr>
        <w:t>网络竞价方式</w:t>
      </w:r>
      <w:r>
        <w:rPr>
          <w:rFonts w:hint="eastAsia" w:ascii="宋体" w:hAnsi="宋体"/>
          <w:color w:val="auto"/>
          <w:sz w:val="28"/>
          <w:szCs w:val="28"/>
          <w:highlight w:val="none"/>
        </w:rPr>
        <w:t>转让。</w:t>
      </w:r>
    </w:p>
    <w:bookmarkEnd w:id="34"/>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第四条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股权转让价格</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甲方将本合同第一条规定的转让标的以人民币（大写）</w:t>
      </w:r>
      <w:r>
        <w:rPr>
          <w:rFonts w:hint="eastAsia" w:ascii="宋体" w:hAnsi="宋体"/>
          <w:color w:val="auto"/>
          <w:sz w:val="28"/>
          <w:szCs w:val="28"/>
          <w:highlight w:val="none"/>
          <w:u w:val="single"/>
        </w:rPr>
        <w:t>【*</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w:t>
      </w:r>
      <w:r>
        <w:rPr>
          <w:rFonts w:ascii="宋体" w:hAnsi="宋体"/>
          <w:color w:val="auto"/>
          <w:sz w:val="28"/>
          <w:szCs w:val="28"/>
          <w:highlight w:val="none"/>
          <w:u w:val="single"/>
        </w:rPr>
        <w:t>元</w:t>
      </w:r>
      <w:r>
        <w:rPr>
          <w:rFonts w:hint="eastAsia" w:ascii="宋体" w:hAnsi="宋体"/>
          <w:color w:val="auto"/>
          <w:sz w:val="28"/>
          <w:szCs w:val="28"/>
          <w:highlight w:val="none"/>
        </w:rPr>
        <w:t>，（小写）￥</w:t>
      </w:r>
      <w:r>
        <w:rPr>
          <w:rFonts w:hint="eastAsia" w:ascii="宋体" w:hAnsi="宋体"/>
          <w:color w:val="auto"/>
          <w:sz w:val="28"/>
          <w:szCs w:val="28"/>
          <w:highlight w:val="none"/>
          <w:u w:val="single"/>
        </w:rPr>
        <w:t>【*</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w:t>
      </w:r>
      <w:r>
        <w:rPr>
          <w:rFonts w:hint="eastAsia" w:ascii="宋体" w:hAnsi="宋体"/>
          <w:color w:val="auto"/>
          <w:sz w:val="28"/>
          <w:szCs w:val="28"/>
          <w:highlight w:val="none"/>
        </w:rPr>
        <w:t>元转让给乙方。</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第五条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股权转让价款的支付方式、期限及付款条件</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甲、乙双方在本合同签订生效后，乙方于五个工作日内，一次性足额支付产权转让价款。上述款项应汇入台州市产权交易所有限公司，开户行：</w:t>
      </w:r>
      <w:r>
        <w:rPr>
          <w:rFonts w:hint="eastAsia" w:ascii="宋体" w:hAnsi="宋体"/>
          <w:color w:val="auto"/>
          <w:sz w:val="28"/>
          <w:szCs w:val="28"/>
          <w:highlight w:val="none"/>
          <w:lang w:val="en-GB"/>
        </w:rPr>
        <w:t>浙江民泰商业银行</w:t>
      </w:r>
      <w:r>
        <w:rPr>
          <w:rFonts w:hint="eastAsia" w:ascii="宋体" w:hAnsi="宋体"/>
          <w:color w:val="auto"/>
          <w:sz w:val="28"/>
          <w:szCs w:val="28"/>
          <w:highlight w:val="none"/>
        </w:rPr>
        <w:t>股份有限公司</w:t>
      </w:r>
      <w:r>
        <w:rPr>
          <w:rFonts w:hint="eastAsia" w:ascii="宋体" w:hAnsi="宋体"/>
          <w:color w:val="auto"/>
          <w:sz w:val="28"/>
          <w:szCs w:val="28"/>
          <w:highlight w:val="none"/>
          <w:lang w:val="en-GB"/>
        </w:rPr>
        <w:t>椒江</w:t>
      </w:r>
      <w:r>
        <w:rPr>
          <w:rFonts w:hint="eastAsia" w:ascii="宋体" w:hAnsi="宋体"/>
          <w:color w:val="auto"/>
          <w:sz w:val="28"/>
          <w:szCs w:val="28"/>
          <w:highlight w:val="none"/>
        </w:rPr>
        <w:t>市府大道</w:t>
      </w:r>
      <w:r>
        <w:rPr>
          <w:rFonts w:hint="eastAsia" w:ascii="宋体" w:hAnsi="宋体"/>
          <w:color w:val="auto"/>
          <w:sz w:val="28"/>
          <w:szCs w:val="28"/>
          <w:highlight w:val="none"/>
          <w:lang w:val="en-GB"/>
        </w:rPr>
        <w:t>支行</w:t>
      </w:r>
      <w:r>
        <w:rPr>
          <w:rFonts w:hint="eastAsia" w:ascii="宋体" w:hAnsi="宋体"/>
          <w:color w:val="auto"/>
          <w:sz w:val="28"/>
          <w:szCs w:val="28"/>
          <w:highlight w:val="none"/>
        </w:rPr>
        <w:t>，帐号：583016260800028合同订立后，乙方先期汇入的</w:t>
      </w:r>
      <w:r>
        <w:rPr>
          <w:rFonts w:hint="eastAsia" w:ascii="宋体" w:hAnsi="宋体"/>
          <w:color w:val="auto"/>
          <w:sz w:val="28"/>
          <w:szCs w:val="28"/>
          <w:highlight w:val="none"/>
          <w:u w:val="single"/>
        </w:rPr>
        <w:t>135</w:t>
      </w:r>
      <w:r>
        <w:rPr>
          <w:rFonts w:hint="eastAsia" w:ascii="宋体" w:hAnsi="宋体"/>
          <w:color w:val="auto"/>
          <w:sz w:val="28"/>
          <w:szCs w:val="28"/>
          <w:highlight w:val="none"/>
          <w:u w:val="single"/>
          <w:lang w:val="en-US" w:eastAsia="zh-CN"/>
        </w:rPr>
        <w:t>0.00万</w:t>
      </w:r>
      <w:r>
        <w:rPr>
          <w:rFonts w:hint="eastAsia" w:ascii="宋体" w:hAnsi="宋体"/>
          <w:i w:val="0"/>
          <w:iCs w:val="0"/>
          <w:color w:val="auto"/>
          <w:sz w:val="28"/>
          <w:szCs w:val="28"/>
          <w:highlight w:val="none"/>
          <w:u w:val="single"/>
        </w:rPr>
        <w:t>元</w:t>
      </w:r>
      <w:r>
        <w:rPr>
          <w:rFonts w:hint="eastAsia" w:ascii="宋体" w:hAnsi="宋体"/>
          <w:color w:val="auto"/>
          <w:sz w:val="28"/>
          <w:szCs w:val="28"/>
          <w:highlight w:val="none"/>
        </w:rPr>
        <w:t>竞买保证金转为本合同履约保证金，该保证金可转作应支付的部分转让价款。</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hint="eastAsia" w:ascii="宋体" w:hAnsi="宋体"/>
          <w:b/>
          <w:color w:val="auto"/>
          <w:sz w:val="28"/>
          <w:szCs w:val="28"/>
          <w:highlight w:val="none"/>
        </w:rPr>
      </w:pPr>
      <w:r>
        <w:rPr>
          <w:rFonts w:hint="eastAsia" w:ascii="宋体" w:hAnsi="宋体"/>
          <w:b/>
          <w:color w:val="auto"/>
          <w:sz w:val="28"/>
          <w:szCs w:val="28"/>
          <w:highlight w:val="none"/>
          <w:lang w:eastAsia="zh-CN"/>
        </w:rPr>
        <w:t>第六条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股权交割事项</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1、乙方应当在本合同所载成交款付清后，产交所出具《产权交易凭证》后20个工作日内与甲方办理股权交接手续。</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2、股权转让评估基准日（20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28</w:t>
      </w:r>
      <w:r>
        <w:rPr>
          <w:rFonts w:hint="eastAsia" w:ascii="宋体" w:hAnsi="宋体"/>
          <w:color w:val="auto"/>
          <w:sz w:val="28"/>
          <w:szCs w:val="28"/>
          <w:highlight w:val="none"/>
        </w:rPr>
        <w:t>日）至股权转让交割日期间，标的企业经营损益不再进行审计清算，由乙方享有或承担。</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firstLine="562" w:firstLineChars="200"/>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第七条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权证的变更</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0" w:firstLineChars="200"/>
        <w:jc w:val="left"/>
        <w:textAlignment w:val="auto"/>
        <w:rPr>
          <w:rFonts w:hint="eastAsia" w:ascii="宋体" w:hAnsi="宋体"/>
          <w:b w:val="0"/>
          <w:bCs/>
          <w:color w:val="auto"/>
          <w:sz w:val="28"/>
          <w:szCs w:val="28"/>
          <w:highlight w:val="none"/>
          <w:lang w:eastAsia="zh-CN"/>
        </w:rPr>
      </w:pPr>
      <w:r>
        <w:rPr>
          <w:rFonts w:hint="eastAsia" w:ascii="宋体" w:hAnsi="宋体" w:eastAsia="宋体" w:cs="Times New Roman"/>
          <w:color w:val="auto"/>
          <w:kern w:val="2"/>
          <w:sz w:val="28"/>
          <w:szCs w:val="28"/>
          <w:highlight w:val="none"/>
          <w:lang w:val="en-US" w:eastAsia="zh-CN" w:bidi="ar-SA"/>
        </w:rPr>
        <w:t>甲乙双方协商和共同配合，由乙方完成所转让股权的权证变更手续。</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第八条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股权转让的税收和费用</w:t>
      </w:r>
    </w:p>
    <w:p>
      <w:pPr>
        <w:pStyle w:val="12"/>
        <w:keepNext w:val="0"/>
        <w:keepLines w:val="0"/>
        <w:pageBreakBefore w:val="0"/>
        <w:widowControl w:val="0"/>
        <w:numPr>
          <w:ilvl w:val="0"/>
          <w:numId w:val="8"/>
        </w:numPr>
        <w:tabs>
          <w:tab w:val="left" w:pos="709"/>
        </w:tabs>
        <w:kinsoku/>
        <w:wordWrap/>
        <w:overflowPunct/>
        <w:topLinePunct w:val="0"/>
        <w:autoSpaceDE/>
        <w:autoSpaceDN/>
        <w:bidi w:val="0"/>
        <w:adjustRightInd w:val="0"/>
        <w:snapToGrid w:val="0"/>
        <w:spacing w:after="0" w:afterLines="0" w:line="360" w:lineRule="auto"/>
        <w:ind w:left="0"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本次股权转让中涉及的有关税收，按照国家有关法律规定缴纳。</w:t>
      </w:r>
    </w:p>
    <w:p>
      <w:pPr>
        <w:pStyle w:val="12"/>
        <w:keepNext w:val="0"/>
        <w:keepLines w:val="0"/>
        <w:pageBreakBefore w:val="0"/>
        <w:widowControl w:val="0"/>
        <w:numPr>
          <w:ilvl w:val="0"/>
          <w:numId w:val="8"/>
        </w:numPr>
        <w:tabs>
          <w:tab w:val="left" w:pos="709"/>
        </w:tabs>
        <w:kinsoku/>
        <w:wordWrap/>
        <w:overflowPunct/>
        <w:topLinePunct w:val="0"/>
        <w:autoSpaceDE/>
        <w:autoSpaceDN/>
        <w:bidi w:val="0"/>
        <w:adjustRightInd w:val="0"/>
        <w:snapToGrid w:val="0"/>
        <w:spacing w:after="0" w:afterLines="0" w:line="360" w:lineRule="auto"/>
        <w:ind w:left="0"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本次股权转让中涉及的交易佣金由乙方承担。</w:t>
      </w:r>
    </w:p>
    <w:p>
      <w:pPr>
        <w:pStyle w:val="12"/>
        <w:keepNext w:val="0"/>
        <w:keepLines w:val="0"/>
        <w:pageBreakBefore w:val="0"/>
        <w:widowControl w:val="0"/>
        <w:numPr>
          <w:ilvl w:val="0"/>
          <w:numId w:val="8"/>
        </w:numPr>
        <w:tabs>
          <w:tab w:val="left" w:pos="709"/>
        </w:tabs>
        <w:kinsoku/>
        <w:wordWrap/>
        <w:overflowPunct/>
        <w:topLinePunct w:val="0"/>
        <w:autoSpaceDE/>
        <w:autoSpaceDN/>
        <w:bidi w:val="0"/>
        <w:adjustRightInd w:val="0"/>
        <w:snapToGrid w:val="0"/>
        <w:spacing w:after="0" w:afterLines="0" w:line="360" w:lineRule="auto"/>
        <w:ind w:left="0"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权证变更涉及的有关费用，由</w:t>
      </w:r>
      <w:r>
        <w:rPr>
          <w:rFonts w:hint="eastAsia" w:ascii="宋体" w:hAnsi="宋体" w:cs="Times New Roman"/>
          <w:color w:val="auto"/>
          <w:kern w:val="2"/>
          <w:sz w:val="28"/>
          <w:szCs w:val="28"/>
          <w:highlight w:val="none"/>
          <w:lang w:val="en-US" w:eastAsia="zh-CN" w:bidi="ar-SA"/>
        </w:rPr>
        <w:t>乙方</w:t>
      </w:r>
      <w:r>
        <w:rPr>
          <w:rFonts w:hint="eastAsia" w:ascii="宋体" w:hAnsi="宋体"/>
          <w:color w:val="auto"/>
          <w:sz w:val="28"/>
          <w:szCs w:val="28"/>
          <w:highlight w:val="none"/>
        </w:rPr>
        <w:t>承担。</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第九条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甲、乙双方的</w:t>
      </w:r>
      <w:r>
        <w:rPr>
          <w:rFonts w:hint="eastAsia" w:ascii="宋体" w:hAnsi="宋体"/>
          <w:b/>
          <w:color w:val="auto"/>
          <w:sz w:val="28"/>
          <w:szCs w:val="28"/>
          <w:highlight w:val="none"/>
          <w:lang w:eastAsia="zh-CN"/>
        </w:rPr>
        <w:t>权利义务</w:t>
      </w:r>
    </w:p>
    <w:p>
      <w:pPr>
        <w:pStyle w:val="12"/>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leftChars="0" w:firstLine="560"/>
        <w:jc w:val="left"/>
        <w:textAlignment w:val="auto"/>
        <w:rPr>
          <w:rFonts w:ascii="宋体" w:hAnsi="宋体"/>
          <w:color w:val="auto"/>
          <w:sz w:val="28"/>
          <w:szCs w:val="28"/>
          <w:highlight w:val="none"/>
        </w:rPr>
      </w:pPr>
      <w:r>
        <w:rPr>
          <w:rFonts w:hint="eastAsia" w:ascii="宋体" w:hAnsi="宋体"/>
          <w:color w:val="auto"/>
          <w:sz w:val="28"/>
          <w:szCs w:val="28"/>
          <w:highlight w:val="none"/>
        </w:rPr>
        <w:t>甲方的</w:t>
      </w:r>
      <w:r>
        <w:rPr>
          <w:rFonts w:hint="eastAsia" w:ascii="宋体" w:hAnsi="宋体"/>
          <w:color w:val="auto"/>
          <w:sz w:val="28"/>
          <w:szCs w:val="28"/>
          <w:highlight w:val="none"/>
          <w:lang w:eastAsia="zh-CN"/>
        </w:rPr>
        <w:t>权利义务</w:t>
      </w:r>
      <w:r>
        <w:rPr>
          <w:rFonts w:hint="eastAsia" w:ascii="宋体" w:hAnsi="宋体"/>
          <w:color w:val="auto"/>
          <w:sz w:val="28"/>
          <w:szCs w:val="28"/>
          <w:highlight w:val="none"/>
        </w:rPr>
        <w:t>：</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1）对转让标的拥有合法、有效的处分权，并按国家相关法律、法规取得有效转让批准；</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2）为签订本合同之前的所提交的各项证明文件及资料均为真实、完整的；</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default" w:ascii="宋体" w:hAnsi="宋体"/>
          <w:b/>
          <w:bCs/>
          <w:color w:val="auto"/>
          <w:sz w:val="28"/>
          <w:szCs w:val="28"/>
          <w:highlight w:val="none"/>
          <w:lang w:val="en-US" w:eastAsia="zh-CN"/>
        </w:rPr>
      </w:pPr>
      <w:r>
        <w:rPr>
          <w:rFonts w:hint="eastAsia" w:ascii="宋体" w:hAnsi="宋体"/>
          <w:color w:val="auto"/>
          <w:sz w:val="28"/>
          <w:szCs w:val="28"/>
          <w:highlight w:val="none"/>
        </w:rPr>
        <w:t>3）签订本合同所需的包括但不限于授权、审批、公司内部决策等在内的一切批准手续均已合法取得，本合同成立的前提条件均已满足</w:t>
      </w:r>
      <w:r>
        <w:rPr>
          <w:rFonts w:hint="eastAsia" w:ascii="宋体" w:hAnsi="宋体"/>
          <w:color w:val="auto"/>
          <w:sz w:val="28"/>
          <w:szCs w:val="28"/>
          <w:highlight w:val="none"/>
          <w:lang w:eastAsia="zh-CN"/>
        </w:rPr>
        <w:t>。</w:t>
      </w:r>
    </w:p>
    <w:p>
      <w:pPr>
        <w:pStyle w:val="12"/>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leftChars="0"/>
        <w:jc w:val="left"/>
        <w:textAlignment w:val="auto"/>
        <w:rPr>
          <w:rFonts w:ascii="宋体" w:hAnsi="宋体"/>
          <w:color w:val="auto"/>
          <w:sz w:val="28"/>
          <w:szCs w:val="28"/>
          <w:highlight w:val="none"/>
        </w:rPr>
      </w:pPr>
      <w:r>
        <w:rPr>
          <w:rFonts w:hint="eastAsia" w:ascii="宋体" w:hAnsi="宋体"/>
          <w:color w:val="auto"/>
          <w:sz w:val="28"/>
          <w:szCs w:val="28"/>
          <w:highlight w:val="none"/>
        </w:rPr>
        <w:t>乙方的</w:t>
      </w:r>
      <w:r>
        <w:rPr>
          <w:rFonts w:hint="eastAsia" w:ascii="宋体" w:hAnsi="宋体"/>
          <w:color w:val="auto"/>
          <w:sz w:val="28"/>
          <w:szCs w:val="28"/>
          <w:highlight w:val="none"/>
          <w:lang w:eastAsia="zh-CN"/>
        </w:rPr>
        <w:t>权利义务</w:t>
      </w:r>
      <w:r>
        <w:rPr>
          <w:rFonts w:hint="eastAsia" w:ascii="宋体" w:hAnsi="宋体"/>
          <w:color w:val="auto"/>
          <w:sz w:val="28"/>
          <w:szCs w:val="28"/>
          <w:highlight w:val="none"/>
        </w:rPr>
        <w:t>：</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z w:val="28"/>
          <w:szCs w:val="28"/>
          <w:highlight w:val="none"/>
          <w:lang w:eastAsia="zh-CN"/>
        </w:rPr>
        <w:t>乙方承诺</w:t>
      </w:r>
      <w:r>
        <w:rPr>
          <w:rFonts w:hint="eastAsia" w:ascii="宋体" w:hAnsi="宋体"/>
          <w:color w:val="auto"/>
          <w:sz w:val="28"/>
          <w:szCs w:val="28"/>
          <w:highlight w:val="none"/>
        </w:rPr>
        <w:t>拥有完全的权利和行为能力进行股权受让，无欺诈行为；</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2）</w:t>
      </w:r>
      <w:r>
        <w:rPr>
          <w:rFonts w:hint="eastAsia" w:ascii="宋体" w:hAnsi="宋体"/>
          <w:color w:val="auto"/>
          <w:sz w:val="28"/>
          <w:szCs w:val="28"/>
          <w:highlight w:val="none"/>
          <w:lang w:eastAsia="zh-CN"/>
        </w:rPr>
        <w:t>乙方承诺</w:t>
      </w:r>
      <w:r>
        <w:rPr>
          <w:rFonts w:hint="eastAsia" w:ascii="宋体" w:hAnsi="宋体"/>
          <w:color w:val="auto"/>
          <w:sz w:val="28"/>
          <w:szCs w:val="28"/>
          <w:highlight w:val="none"/>
        </w:rPr>
        <w:t>签订本合同所需的各项授权、审批以及内部决策等在内的一切批准手续均已合法取得；</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3）</w:t>
      </w:r>
      <w:r>
        <w:rPr>
          <w:rFonts w:hint="eastAsia" w:ascii="宋体" w:hAnsi="宋体"/>
          <w:color w:val="auto"/>
          <w:sz w:val="28"/>
          <w:szCs w:val="28"/>
          <w:highlight w:val="none"/>
          <w:lang w:eastAsia="zh-CN"/>
        </w:rPr>
        <w:t>乙方承诺</w:t>
      </w:r>
      <w:r>
        <w:rPr>
          <w:rFonts w:hint="eastAsia" w:ascii="宋体" w:hAnsi="宋体"/>
          <w:color w:val="auto"/>
          <w:sz w:val="28"/>
          <w:szCs w:val="28"/>
          <w:highlight w:val="none"/>
        </w:rPr>
        <w:t>受让转让标的没有违反对受让方具有约束力的合同、协议等所有法律文书；</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4）乙方保证按本合同之约定支付股权转让价款。</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违约责任</w:t>
      </w:r>
    </w:p>
    <w:p>
      <w:pPr>
        <w:keepNext w:val="0"/>
        <w:keepLines w:val="0"/>
        <w:pageBreakBefore w:val="0"/>
        <w:widowControl w:val="0"/>
        <w:kinsoku/>
        <w:wordWrap/>
        <w:overflowPunct/>
        <w:topLinePunct w:val="0"/>
        <w:autoSpaceDE/>
        <w:autoSpaceDN/>
        <w:bidi w:val="0"/>
        <w:adjustRightInd w:val="0"/>
        <w:snapToGrid w:val="0"/>
        <w:spacing w:after="0" w:afterLines="0" w:line="360" w:lineRule="auto"/>
        <w:ind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12"/>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甲方应按合同约定</w:t>
      </w:r>
      <w:r>
        <w:rPr>
          <w:rFonts w:hint="eastAsia" w:ascii="宋体" w:hAnsi="宋体"/>
          <w:color w:val="auto"/>
          <w:sz w:val="28"/>
          <w:szCs w:val="28"/>
          <w:highlight w:val="none"/>
          <w:lang w:eastAsia="zh-CN"/>
        </w:rPr>
        <w:t>配合乙方办理股权转让</w:t>
      </w:r>
      <w:r>
        <w:rPr>
          <w:rFonts w:hint="eastAsia" w:ascii="宋体" w:hAnsi="宋体"/>
          <w:color w:val="auto"/>
          <w:sz w:val="28"/>
          <w:szCs w:val="28"/>
          <w:highlight w:val="none"/>
        </w:rPr>
        <w:t>变更登记</w:t>
      </w:r>
      <w:r>
        <w:rPr>
          <w:rFonts w:hint="eastAsia" w:ascii="宋体" w:hAnsi="宋体"/>
          <w:color w:val="auto"/>
          <w:sz w:val="28"/>
          <w:szCs w:val="28"/>
          <w:highlight w:val="none"/>
          <w:lang w:eastAsia="zh-CN"/>
        </w:rPr>
        <w:t>手续</w:t>
      </w:r>
      <w:r>
        <w:rPr>
          <w:rFonts w:hint="eastAsia" w:ascii="宋体" w:hAnsi="宋体"/>
          <w:color w:val="auto"/>
          <w:sz w:val="28"/>
          <w:szCs w:val="28"/>
          <w:highlight w:val="none"/>
        </w:rPr>
        <w:t>。如甲方</w:t>
      </w:r>
      <w:r>
        <w:rPr>
          <w:rFonts w:hint="eastAsia" w:ascii="宋体" w:hAnsi="宋体"/>
          <w:color w:val="auto"/>
          <w:sz w:val="28"/>
          <w:szCs w:val="28"/>
          <w:highlight w:val="none"/>
          <w:lang w:eastAsia="zh-CN"/>
        </w:rPr>
        <w:t>拒不配合导致</w:t>
      </w:r>
      <w:r>
        <w:rPr>
          <w:rFonts w:hint="eastAsia" w:ascii="宋体" w:hAnsi="宋体"/>
          <w:color w:val="auto"/>
          <w:sz w:val="28"/>
          <w:szCs w:val="28"/>
          <w:highlight w:val="none"/>
        </w:rPr>
        <w:t>迟延办理</w:t>
      </w:r>
      <w:r>
        <w:rPr>
          <w:rFonts w:hint="eastAsia" w:ascii="宋体" w:hAnsi="宋体"/>
          <w:color w:val="auto"/>
          <w:sz w:val="28"/>
          <w:szCs w:val="28"/>
          <w:highlight w:val="none"/>
          <w:lang w:eastAsia="zh-CN"/>
        </w:rPr>
        <w:t>股权转让</w:t>
      </w:r>
      <w:r>
        <w:rPr>
          <w:rFonts w:hint="eastAsia" w:ascii="宋体" w:hAnsi="宋体"/>
          <w:color w:val="auto"/>
          <w:sz w:val="28"/>
          <w:szCs w:val="28"/>
          <w:highlight w:val="none"/>
        </w:rPr>
        <w:t>变更登记</w:t>
      </w:r>
      <w:r>
        <w:rPr>
          <w:rFonts w:hint="eastAsia" w:ascii="宋体" w:hAnsi="宋体"/>
          <w:color w:val="auto"/>
          <w:sz w:val="28"/>
          <w:szCs w:val="28"/>
          <w:highlight w:val="none"/>
          <w:lang w:eastAsia="zh-CN"/>
        </w:rPr>
        <w:t>手续的</w:t>
      </w:r>
      <w:r>
        <w:rPr>
          <w:rFonts w:hint="eastAsia" w:ascii="宋体" w:hAnsi="宋体"/>
          <w:color w:val="auto"/>
          <w:sz w:val="28"/>
          <w:szCs w:val="28"/>
          <w:highlight w:val="none"/>
        </w:rPr>
        <w:t>，则应自逾期之日起至</w:t>
      </w:r>
      <w:r>
        <w:rPr>
          <w:rFonts w:hint="eastAsia" w:ascii="宋体" w:hAnsi="宋体"/>
          <w:color w:val="auto"/>
          <w:sz w:val="28"/>
          <w:szCs w:val="28"/>
          <w:highlight w:val="none"/>
          <w:lang w:eastAsia="zh-CN"/>
        </w:rPr>
        <w:t>甲方配合之日止</w:t>
      </w:r>
      <w:r>
        <w:rPr>
          <w:rFonts w:hint="eastAsia" w:ascii="宋体" w:hAnsi="宋体"/>
          <w:color w:val="auto"/>
          <w:sz w:val="28"/>
          <w:szCs w:val="28"/>
          <w:highlight w:val="none"/>
        </w:rPr>
        <w:t>按乙方已</w:t>
      </w:r>
      <w:r>
        <w:rPr>
          <w:rFonts w:ascii="宋体" w:hAnsi="宋体"/>
          <w:color w:val="auto"/>
          <w:sz w:val="28"/>
          <w:szCs w:val="28"/>
          <w:highlight w:val="none"/>
        </w:rPr>
        <w:t>支付的股权</w:t>
      </w:r>
      <w:r>
        <w:rPr>
          <w:rFonts w:hint="eastAsia" w:ascii="宋体" w:hAnsi="宋体"/>
          <w:color w:val="auto"/>
          <w:sz w:val="28"/>
          <w:szCs w:val="28"/>
          <w:highlight w:val="none"/>
        </w:rPr>
        <w:t>转让</w:t>
      </w:r>
      <w:r>
        <w:rPr>
          <w:rFonts w:ascii="宋体" w:hAnsi="宋体"/>
          <w:color w:val="auto"/>
          <w:sz w:val="28"/>
          <w:szCs w:val="28"/>
          <w:highlight w:val="none"/>
        </w:rPr>
        <w:t>价款</w:t>
      </w:r>
      <w:r>
        <w:rPr>
          <w:rFonts w:hint="eastAsia" w:ascii="宋体" w:hAnsi="宋体"/>
          <w:color w:val="auto"/>
          <w:sz w:val="28"/>
          <w:szCs w:val="28"/>
          <w:highlight w:val="none"/>
        </w:rPr>
        <w:t>的日</w:t>
      </w:r>
      <w:r>
        <w:rPr>
          <w:rFonts w:hint="eastAsia" w:ascii="宋体" w:hAnsi="宋体"/>
          <w:color w:val="auto"/>
          <w:sz w:val="28"/>
          <w:szCs w:val="28"/>
          <w:highlight w:val="none"/>
          <w:u w:val="single"/>
        </w:rPr>
        <w:t>0.0</w:t>
      </w:r>
      <w:r>
        <w:rPr>
          <w:rFonts w:ascii="宋体" w:hAnsi="宋体"/>
          <w:color w:val="auto"/>
          <w:sz w:val="28"/>
          <w:szCs w:val="28"/>
          <w:highlight w:val="none"/>
          <w:u w:val="single"/>
        </w:rPr>
        <w:t>2</w:t>
      </w:r>
      <w:r>
        <w:rPr>
          <w:rFonts w:hint="eastAsia" w:ascii="宋体" w:hAnsi="宋体"/>
          <w:color w:val="auto"/>
          <w:sz w:val="28"/>
          <w:szCs w:val="28"/>
          <w:highlight w:val="none"/>
          <w:u w:val="single"/>
        </w:rPr>
        <w:t>%</w:t>
      </w:r>
      <w:r>
        <w:rPr>
          <w:rFonts w:hint="eastAsia" w:ascii="宋体" w:hAnsi="宋体"/>
          <w:color w:val="auto"/>
          <w:sz w:val="28"/>
          <w:szCs w:val="28"/>
          <w:highlight w:val="none"/>
        </w:rPr>
        <w:t>向乙方支付违约金。</w:t>
      </w:r>
    </w:p>
    <w:p>
      <w:pPr>
        <w:pStyle w:val="12"/>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lang w:eastAsia="zh-CN"/>
        </w:rPr>
        <w:t>乙方逾期支付股权转让款项的，视为乙方根本违约，甲方有权解除《股权转让合同》，同时有权不予返还保证金并要求乙方赔偿全部损失。</w:t>
      </w:r>
    </w:p>
    <w:p>
      <w:pPr>
        <w:pStyle w:val="12"/>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lang w:eastAsia="zh-CN"/>
        </w:rPr>
        <w:t>一方违约，除应按上述约定承担违约责任外，还应支付守约方为主张权利支出的全部费用（包括但不限于诉讼费用、律师费、公证费、鉴定费、评估费等）。</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第十一条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争议的解决方式</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甲、乙双方在履行本合同过程中若发生争议，应由双方协商解决，如协商解决不下，一方当事人可向甲方所在地人民法院起诉。</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第十二条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法律适用</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本合同的适用和解释均为中华人民共和国的法律。</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第十三条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合同的变更</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双方当事人协商一致可变更本合同，但不得损害国家和社会公共利益及不违反有关规定。</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第十四条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合同的解除</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有下列情形之一的，当事人可以解除合同：</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1、因不可抗力致使不能实现合同目的；</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bookmarkStart w:id="35" w:name="斟酌06"/>
      <w:r>
        <w:rPr>
          <w:rFonts w:hint="eastAsia" w:ascii="宋体" w:hAnsi="宋体"/>
          <w:color w:val="auto"/>
          <w:sz w:val="28"/>
          <w:szCs w:val="28"/>
          <w:highlight w:val="none"/>
        </w:rPr>
        <w:t>2、在履行期限届满之前，当事人一方明确表示或者以自己的行为表明不履行主要债务，另一方有权解除合同；</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3、当事人一方迟延履行主要债务，经催告后在合理期限内仍未履行，另一方有权解除合同；</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4、当事人一方迟延履行债务或者有其他违约行为致使不能实现合同目的，另一方有权解除合同；</w:t>
      </w:r>
    </w:p>
    <w:bookmarkEnd w:id="35"/>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5、法律规定的其他情形。</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变更或解除本合同均应采用书面形式，并送台州市产权交易所有限公司备案。</w:t>
      </w:r>
    </w:p>
    <w:p>
      <w:pPr>
        <w:pStyle w:val="12"/>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第十五条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合同的生效</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本合同自甲、乙双方的授权代表签字、盖章后生效。本合同生效后，双方对本合同内容的变更或补充应采用书面形式订立，并作为本合同的附件。附件与本合同具有同等的法律效力。</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本合同一式</w:t>
      </w:r>
      <w:r>
        <w:rPr>
          <w:rFonts w:hint="eastAsia" w:ascii="宋体" w:hAnsi="宋体"/>
          <w:color w:val="auto"/>
          <w:sz w:val="28"/>
          <w:szCs w:val="28"/>
          <w:highlight w:val="none"/>
          <w:u w:val="single"/>
        </w:rPr>
        <w:t>陆</w:t>
      </w:r>
      <w:r>
        <w:rPr>
          <w:rFonts w:hint="eastAsia" w:ascii="宋体" w:hAnsi="宋体"/>
          <w:color w:val="auto"/>
          <w:sz w:val="28"/>
          <w:szCs w:val="28"/>
          <w:highlight w:val="none"/>
        </w:rPr>
        <w:t>份，甲、乙双方各执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份，标的公司执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份，台州市产权交易所有限公司执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份，其余</w:t>
      </w:r>
      <w:r>
        <w:rPr>
          <w:rFonts w:hint="eastAsia" w:ascii="宋体" w:hAnsi="宋体"/>
          <w:color w:val="auto"/>
          <w:sz w:val="28"/>
          <w:szCs w:val="28"/>
          <w:highlight w:val="none"/>
          <w:u w:val="single"/>
        </w:rPr>
        <w:t>贰</w:t>
      </w:r>
      <w:r>
        <w:rPr>
          <w:rFonts w:hint="eastAsia" w:ascii="宋体" w:hAnsi="宋体"/>
          <w:color w:val="auto"/>
          <w:sz w:val="28"/>
          <w:szCs w:val="28"/>
          <w:highlight w:val="none"/>
        </w:rPr>
        <w:t>份报相关部门。</w:t>
      </w:r>
    </w:p>
    <w:p>
      <w:pPr>
        <w:tabs>
          <w:tab w:val="left" w:pos="3780"/>
        </w:tabs>
        <w:spacing w:after="156" w:afterLines="50" w:line="420" w:lineRule="exact"/>
        <w:ind w:firstLine="560"/>
        <w:jc w:val="left"/>
        <w:rPr>
          <w:rFonts w:ascii="宋体" w:hAnsi="宋体"/>
          <w:color w:val="auto"/>
          <w:sz w:val="28"/>
          <w:szCs w:val="28"/>
          <w:highlight w:val="none"/>
        </w:rPr>
      </w:pPr>
      <w:r>
        <w:rPr>
          <w:rFonts w:hint="eastAsia" w:ascii="宋体" w:hAnsi="宋体"/>
          <w:color w:val="auto"/>
          <w:sz w:val="28"/>
          <w:szCs w:val="28"/>
          <w:highlight w:val="none"/>
        </w:rPr>
        <w:br w:type="page"/>
      </w:r>
    </w:p>
    <w:p>
      <w:pPr>
        <w:spacing w:line="360" w:lineRule="exact"/>
        <w:ind w:firstLine="560"/>
        <w:rPr>
          <w:rFonts w:ascii="宋体" w:hAnsi="宋体"/>
          <w:color w:val="auto"/>
          <w:sz w:val="28"/>
          <w:szCs w:val="28"/>
          <w:highlight w:val="none"/>
        </w:rPr>
      </w:pPr>
      <w:r>
        <w:rPr>
          <w:rFonts w:hint="eastAsia" w:ascii="宋体" w:hAnsi="宋体"/>
          <w:color w:val="auto"/>
          <w:sz w:val="28"/>
          <w:szCs w:val="28"/>
          <w:highlight w:val="none"/>
        </w:rPr>
        <w:t>(此页无正文)</w:t>
      </w:r>
    </w:p>
    <w:p>
      <w:pPr>
        <w:spacing w:line="360" w:lineRule="exact"/>
        <w:ind w:firstLine="560"/>
        <w:rPr>
          <w:rFonts w:ascii="宋体" w:hAnsi="宋体"/>
          <w:color w:val="auto"/>
          <w:sz w:val="28"/>
          <w:szCs w:val="28"/>
          <w:highlight w:val="none"/>
        </w:rPr>
      </w:pPr>
    </w:p>
    <w:p>
      <w:pPr>
        <w:spacing w:line="360" w:lineRule="exact"/>
        <w:ind w:firstLine="560"/>
        <w:rPr>
          <w:rFonts w:ascii="宋体" w:hAnsi="宋体"/>
          <w:color w:val="auto"/>
          <w:sz w:val="28"/>
          <w:szCs w:val="28"/>
          <w:highlight w:val="none"/>
        </w:rPr>
      </w:pPr>
    </w:p>
    <w:tbl>
      <w:tblPr>
        <w:tblStyle w:val="9"/>
        <w:tblW w:w="9060" w:type="dxa"/>
        <w:tblInd w:w="0" w:type="dxa"/>
        <w:tblLayout w:type="fixed"/>
        <w:tblCellMar>
          <w:top w:w="0" w:type="dxa"/>
          <w:left w:w="108" w:type="dxa"/>
          <w:bottom w:w="0" w:type="dxa"/>
          <w:right w:w="108" w:type="dxa"/>
        </w:tblCellMar>
      </w:tblPr>
      <w:tblGrid>
        <w:gridCol w:w="4530"/>
        <w:gridCol w:w="4530"/>
      </w:tblGrid>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出让方（甲方）：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受让方（乙方）：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鉴证方：</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0" w:firstLineChars="0"/>
              <w:rPr>
                <w:rFonts w:ascii="宋体" w:hAnsi="宋体"/>
                <w:color w:val="auto"/>
                <w:sz w:val="28"/>
                <w:szCs w:val="28"/>
                <w:highlight w:val="none"/>
              </w:rPr>
            </w:pPr>
          </w:p>
        </w:tc>
        <w:tc>
          <w:tcPr>
            <w:tcW w:w="4530" w:type="dxa"/>
            <w:noWrap w:val="0"/>
            <w:vAlign w:val="center"/>
          </w:tcPr>
          <w:p>
            <w:pPr>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代表人：</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（签字）</w:t>
            </w:r>
          </w:p>
          <w:p>
            <w:pPr>
              <w:spacing w:line="360" w:lineRule="exact"/>
              <w:ind w:firstLine="0" w:firstLineChars="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鉴证日期：    年    月   日</w:t>
            </w:r>
          </w:p>
        </w:tc>
        <w:tc>
          <w:tcPr>
            <w:tcW w:w="4530" w:type="dxa"/>
            <w:noWrap w:val="0"/>
            <w:vAlign w:val="center"/>
          </w:tcPr>
          <w:p>
            <w:pPr>
              <w:spacing w:line="360" w:lineRule="exact"/>
              <w:ind w:firstLine="0" w:firstLineChars="0"/>
              <w:rPr>
                <w:rFonts w:ascii="宋体" w:hAnsi="宋体"/>
                <w:color w:val="auto"/>
                <w:sz w:val="28"/>
                <w:szCs w:val="28"/>
                <w:highlight w:val="none"/>
              </w:rPr>
            </w:pPr>
          </w:p>
        </w:tc>
      </w:tr>
    </w:tbl>
    <w:p>
      <w:pPr>
        <w:ind w:left="0" w:leftChars="0" w:firstLine="0" w:firstLineChars="0"/>
        <w:rPr>
          <w:color w:val="auto"/>
        </w:rPr>
      </w:pPr>
    </w:p>
    <w:p>
      <w:pPr>
        <w:spacing w:line="360" w:lineRule="exact"/>
        <w:ind w:firstLine="560"/>
        <w:rPr>
          <w:rFonts w:ascii="宋体" w:hAnsi="宋体"/>
          <w:color w:val="auto"/>
          <w:sz w:val="28"/>
          <w:szCs w:val="28"/>
          <w:highlight w:val="none"/>
        </w:rPr>
      </w:pPr>
    </w:p>
    <w:p>
      <w:pPr>
        <w:pStyle w:val="2"/>
        <w:spacing w:before="100" w:beforeAutospacing="1" w:after="100" w:afterAutospacing="1" w:line="360" w:lineRule="auto"/>
        <w:jc w:val="center"/>
        <w:rPr>
          <w:rFonts w:hint="eastAsia"/>
          <w:color w:val="auto"/>
          <w:sz w:val="36"/>
          <w:highlight w:val="none"/>
        </w:rPr>
      </w:pPr>
      <w:bookmarkStart w:id="36" w:name="_Toc14269"/>
      <w:bookmarkStart w:id="37" w:name="_Toc14224"/>
      <w:bookmarkStart w:id="38" w:name="_Toc528773696"/>
    </w:p>
    <w:p>
      <w:pPr>
        <w:pStyle w:val="2"/>
        <w:spacing w:before="100" w:beforeAutospacing="1" w:after="100" w:afterAutospacing="1" w:line="360" w:lineRule="auto"/>
        <w:jc w:val="center"/>
        <w:rPr>
          <w:rFonts w:hint="eastAsia"/>
          <w:color w:val="auto"/>
          <w:sz w:val="36"/>
          <w:highlight w:val="none"/>
        </w:rPr>
      </w:pPr>
    </w:p>
    <w:p>
      <w:pPr>
        <w:rPr>
          <w:rFonts w:hint="eastAsia"/>
          <w:color w:val="auto"/>
          <w:sz w:val="36"/>
          <w:highlight w:val="none"/>
        </w:rPr>
      </w:pPr>
    </w:p>
    <w:p>
      <w:pPr>
        <w:rPr>
          <w:rFonts w:hint="eastAsia"/>
          <w:color w:val="auto"/>
          <w:sz w:val="36"/>
          <w:highlight w:val="none"/>
        </w:rPr>
      </w:pPr>
    </w:p>
    <w:p>
      <w:pPr>
        <w:pStyle w:val="2"/>
        <w:spacing w:before="100" w:beforeAutospacing="1" w:after="100" w:afterAutospacing="1" w:line="360" w:lineRule="auto"/>
        <w:ind w:left="0" w:leftChars="0" w:firstLine="0" w:firstLineChars="0"/>
        <w:jc w:val="center"/>
        <w:rPr>
          <w:b w:val="0"/>
          <w:bCs/>
          <w:color w:val="auto"/>
          <w:sz w:val="36"/>
          <w:highlight w:val="none"/>
        </w:rPr>
      </w:pPr>
      <w:r>
        <w:rPr>
          <w:rFonts w:hint="eastAsia"/>
          <w:b w:val="0"/>
          <w:bCs/>
          <w:color w:val="auto"/>
          <w:sz w:val="36"/>
          <w:highlight w:val="none"/>
        </w:rPr>
        <w:t>转让股权相关信息</w:t>
      </w:r>
      <w:bookmarkEnd w:id="36"/>
      <w:bookmarkEnd w:id="37"/>
      <w:bookmarkEnd w:id="38"/>
    </w:p>
    <w:tbl>
      <w:tblPr>
        <w:tblStyle w:val="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项目名称</w:t>
            </w:r>
          </w:p>
        </w:tc>
        <w:tc>
          <w:tcPr>
            <w:tcW w:w="7851" w:type="dxa"/>
            <w:noWrap w:val="0"/>
            <w:vAlign w:val="top"/>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lang w:eastAsia="zh-CN"/>
              </w:rPr>
              <w:t>台州美标水泥有限公司80%股权</w:t>
            </w:r>
            <w:r>
              <w:rPr>
                <w:rFonts w:hint="eastAsia" w:ascii="宋体" w:hAnsi="宋体" w:cs="宋体"/>
                <w:color w:val="auto"/>
                <w:szCs w:val="21"/>
                <w:highlight w:val="none"/>
              </w:rPr>
              <w:t>转让项目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项目编号</w:t>
            </w:r>
          </w:p>
        </w:tc>
        <w:tc>
          <w:tcPr>
            <w:tcW w:w="7851" w:type="dxa"/>
            <w:noWrap w:val="0"/>
            <w:vAlign w:val="top"/>
          </w:tcPr>
          <w:p>
            <w:pPr>
              <w:ind w:left="512" w:leftChars="244" w:firstLine="1" w:firstLineChars="0"/>
              <w:rPr>
                <w:rFonts w:ascii="宋体" w:hAnsi="宋体" w:cs="宋体"/>
                <w:color w:val="auto"/>
                <w:szCs w:val="21"/>
                <w:highlight w:val="none"/>
              </w:rPr>
            </w:pPr>
            <w:bookmarkStart w:id="39" w:name="待定20"/>
            <w:r>
              <w:rPr>
                <w:rFonts w:hint="eastAsia" w:ascii="宋体" w:hAnsi="宋体" w:cs="宋体"/>
                <w:color w:val="auto"/>
                <w:szCs w:val="21"/>
                <w:highlight w:val="none"/>
              </w:rPr>
              <w:t>台交所挂〔20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22</w:t>
            </w:r>
            <w:r>
              <w:rPr>
                <w:rFonts w:hint="eastAsia" w:ascii="宋体" w:hAnsi="宋体" w:cs="宋体"/>
                <w:color w:val="auto"/>
                <w:szCs w:val="21"/>
                <w:highlight w:val="none"/>
              </w:rPr>
              <w:t>号</w:t>
            </w:r>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转让底价</w:t>
            </w:r>
          </w:p>
        </w:tc>
        <w:tc>
          <w:tcPr>
            <w:tcW w:w="7851" w:type="dxa"/>
            <w:noWrap w:val="0"/>
            <w:vAlign w:val="top"/>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rPr>
              <w:t>45,086,374元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地域</w:t>
            </w:r>
          </w:p>
        </w:tc>
        <w:tc>
          <w:tcPr>
            <w:tcW w:w="7851" w:type="dxa"/>
            <w:noWrap w:val="0"/>
            <w:vAlign w:val="top"/>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lang w:eastAsia="zh-CN"/>
              </w:rPr>
              <w:t>台州</w:t>
            </w:r>
            <w:r>
              <w:rPr>
                <w:rFonts w:hint="eastAsia" w:ascii="宋体" w:hAnsi="宋体" w:cs="宋体"/>
                <w:color w:val="auto"/>
                <w:szCs w:val="21"/>
                <w:highlight w:val="none"/>
              </w:rPr>
              <w:t>市</w:t>
            </w:r>
          </w:p>
        </w:tc>
      </w:tr>
    </w:tbl>
    <w:tbl>
      <w:tblPr>
        <w:tblStyle w:val="9"/>
        <w:tblpPr w:leftFromText="180" w:rightFromText="180" w:vertAnchor="text" w:horzAnchor="page" w:tblpX="1607" w:tblpY="279"/>
        <w:tblOverlap w:val="never"/>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1665"/>
        <w:gridCol w:w="1737"/>
        <w:gridCol w:w="1238"/>
        <w:gridCol w:w="3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70" w:type="dxa"/>
            <w:vMerge w:val="restart"/>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基本情况</w:t>
            </w: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申请人名称</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玉环市国有资产投资经营集团有限公司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标的企业名称</w:t>
            </w:r>
          </w:p>
        </w:tc>
        <w:tc>
          <w:tcPr>
            <w:tcW w:w="6150" w:type="dxa"/>
            <w:gridSpan w:val="3"/>
            <w:noWrap w:val="0"/>
            <w:vAlign w:val="top"/>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台州美标水泥有限公司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企业类型</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私营有限责任公司（自然人控股或私营性质企业控股）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所属行业</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建筑业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经营范围</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水泥制品销售；非金属矿及制品销售；煤炭及制品销售；普通货物仓储服务（不含危险化学品等需许可审批的项目）；塑料制品销售；金属材料销售；建筑材料销售；化工产品销售（不含许可类化工产品）(除依法须经批准的项目外，凭营业执照依法自主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法定代表人</w:t>
            </w:r>
          </w:p>
        </w:tc>
        <w:tc>
          <w:tcPr>
            <w:tcW w:w="1737" w:type="dxa"/>
            <w:noWrap w:val="0"/>
            <w:vAlign w:val="center"/>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王文荣</w:t>
            </w:r>
          </w:p>
        </w:tc>
        <w:tc>
          <w:tcPr>
            <w:tcW w:w="1238"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成立日期</w:t>
            </w:r>
          </w:p>
        </w:tc>
        <w:tc>
          <w:tcPr>
            <w:tcW w:w="317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07</w:t>
            </w:r>
            <w:r>
              <w:rPr>
                <w:rFonts w:hint="eastAsia" w:ascii="宋体" w:hAnsi="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注册资本</w:t>
            </w:r>
          </w:p>
        </w:tc>
        <w:tc>
          <w:tcPr>
            <w:tcW w:w="1737"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5001.8</w:t>
            </w:r>
            <w:r>
              <w:rPr>
                <w:rFonts w:hint="eastAsia" w:ascii="宋体" w:hAnsi="宋体" w:cs="宋体"/>
                <w:color w:val="auto"/>
                <w:szCs w:val="21"/>
                <w:highlight w:val="none"/>
              </w:rPr>
              <w:t>万元</w:t>
            </w:r>
          </w:p>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人民币</w:t>
            </w:r>
          </w:p>
        </w:tc>
        <w:tc>
          <w:tcPr>
            <w:tcW w:w="1238"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注册地</w:t>
            </w:r>
          </w:p>
        </w:tc>
        <w:tc>
          <w:tcPr>
            <w:tcW w:w="317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台州市椒江区三山村沿江路285号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vMerge w:val="restart"/>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土地、建筑</w:t>
            </w:r>
          </w:p>
        </w:tc>
        <w:tc>
          <w:tcPr>
            <w:tcW w:w="1737"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占地面积</w:t>
            </w:r>
          </w:p>
        </w:tc>
        <w:tc>
          <w:tcPr>
            <w:tcW w:w="4413" w:type="dxa"/>
            <w:gridSpan w:val="2"/>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 w:val="21"/>
                <w:szCs w:val="21"/>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vMerge w:val="continue"/>
            <w:noWrap w:val="0"/>
            <w:vAlign w:val="center"/>
          </w:tcPr>
          <w:p>
            <w:pPr>
              <w:ind w:firstLine="0" w:firstLineChars="0"/>
              <w:jc w:val="left"/>
              <w:rPr>
                <w:rFonts w:hint="eastAsia" w:ascii="宋体" w:hAnsi="宋体" w:cs="宋体"/>
                <w:color w:val="auto"/>
                <w:szCs w:val="21"/>
                <w:highlight w:val="none"/>
              </w:rPr>
            </w:pPr>
          </w:p>
        </w:tc>
        <w:tc>
          <w:tcPr>
            <w:tcW w:w="1737"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建筑面积</w:t>
            </w:r>
          </w:p>
        </w:tc>
        <w:tc>
          <w:tcPr>
            <w:tcW w:w="4413" w:type="dxa"/>
            <w:gridSpan w:val="2"/>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1080.25</w:t>
            </w:r>
            <w:r>
              <w:rPr>
                <w:rFonts w:hint="eastAsia" w:ascii="宋体" w:hAnsi="宋体" w:cs="宋体"/>
                <w:color w:val="auto"/>
                <w:sz w:val="21"/>
                <w:szCs w:val="21"/>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vMerge w:val="continue"/>
            <w:noWrap w:val="0"/>
            <w:vAlign w:val="center"/>
          </w:tcPr>
          <w:p>
            <w:pPr>
              <w:ind w:firstLine="0" w:firstLineChars="0"/>
              <w:jc w:val="left"/>
              <w:rPr>
                <w:rFonts w:hint="eastAsia" w:ascii="宋体" w:hAnsi="宋体" w:cs="宋体"/>
                <w:color w:val="auto"/>
                <w:szCs w:val="21"/>
                <w:highlight w:val="none"/>
              </w:rPr>
            </w:pPr>
          </w:p>
        </w:tc>
        <w:tc>
          <w:tcPr>
            <w:tcW w:w="1737"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土地面积</w:t>
            </w:r>
          </w:p>
        </w:tc>
        <w:tc>
          <w:tcPr>
            <w:tcW w:w="4413" w:type="dxa"/>
            <w:gridSpan w:val="2"/>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9506.11</w:t>
            </w:r>
            <w:r>
              <w:rPr>
                <w:rFonts w:hint="eastAsia" w:ascii="宋体" w:hAnsi="宋体" w:cs="宋体"/>
                <w:color w:val="auto"/>
                <w:sz w:val="21"/>
                <w:szCs w:val="21"/>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人员情况</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职工人数：</w:t>
            </w:r>
            <w:r>
              <w:rPr>
                <w:rFonts w:hint="eastAsia" w:ascii="宋体" w:hAnsi="宋体" w:cs="宋体"/>
                <w:color w:val="auto"/>
                <w:sz w:val="21"/>
                <w:szCs w:val="21"/>
                <w:highlight w:val="none"/>
                <w:u w:val="none"/>
                <w:lang w:val="en-US" w:eastAsia="zh-CN"/>
              </w:rPr>
              <w:t>/</w:t>
            </w:r>
            <w:r>
              <w:rPr>
                <w:rFonts w:hint="eastAsia" w:ascii="宋体" w:hAnsi="宋体" w:cs="宋体"/>
                <w:color w:val="auto"/>
                <w:szCs w:val="21"/>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3"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标的企业概述</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1、标的企业股东持股情况如下：玉环市国有资产投资经营集团有限公司出资4001.4387万元，占股比例</w:t>
            </w:r>
            <w:r>
              <w:rPr>
                <w:rFonts w:hint="eastAsia" w:ascii="宋体" w:hAnsi="宋体" w:cs="宋体"/>
                <w:color w:val="auto"/>
                <w:szCs w:val="21"/>
                <w:highlight w:val="none"/>
                <w:lang w:val="en-US" w:eastAsia="zh-CN"/>
              </w:rPr>
              <w:t>80%</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徐辰楚出资1000.3613元，占股20%，以上合计占股100%</w:t>
            </w:r>
            <w:r>
              <w:rPr>
                <w:rFonts w:hint="eastAsia" w:ascii="宋体" w:hAnsi="宋体" w:cs="宋体"/>
                <w:color w:val="auto"/>
                <w:szCs w:val="21"/>
                <w:highlight w:val="none"/>
              </w:rPr>
              <w:t>。</w:t>
            </w:r>
          </w:p>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2、公司经营状况：截止2021年</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日，</w:t>
            </w:r>
            <w:r>
              <w:rPr>
                <w:rFonts w:hint="eastAsia" w:ascii="宋体" w:hAnsi="宋体" w:cs="宋体"/>
                <w:color w:val="auto"/>
                <w:szCs w:val="21"/>
                <w:highlight w:val="none"/>
                <w:lang w:eastAsia="zh-CN"/>
              </w:rPr>
              <w:t>美标公司</w:t>
            </w:r>
            <w:r>
              <w:rPr>
                <w:rFonts w:hint="eastAsia" w:ascii="宋体" w:hAnsi="宋体" w:cs="宋体"/>
                <w:color w:val="auto"/>
                <w:szCs w:val="21"/>
                <w:highlight w:val="none"/>
              </w:rPr>
              <w:t>账面资产总额78,447,115.38元，账面负债总额24,047,038.24元，所有者账面权益</w:t>
            </w:r>
            <w:r>
              <w:rPr>
                <w:rFonts w:hint="eastAsia" w:ascii="宋体" w:hAnsi="宋体" w:cs="宋体"/>
                <w:color w:val="auto"/>
                <w:szCs w:val="21"/>
                <w:highlight w:val="none"/>
                <w:lang w:val="en-US" w:eastAsia="zh-CN"/>
              </w:rPr>
              <w:t>54,400,077.14</w:t>
            </w:r>
            <w:r>
              <w:rPr>
                <w:rFonts w:hint="eastAsia" w:ascii="宋体" w:hAnsi="宋体" w:cs="宋体"/>
                <w:color w:val="auto"/>
                <w:szCs w:val="21"/>
                <w:highlight w:val="none"/>
              </w:rPr>
              <w:t>元。</w:t>
            </w:r>
          </w:p>
          <w:p>
            <w:pPr>
              <w:ind w:firstLine="0" w:firstLineChars="0"/>
              <w:jc w:val="left"/>
              <w:rPr>
                <w:rFonts w:hint="eastAsia" w:ascii="宋体" w:hAnsi="宋体" w:cs="宋体"/>
                <w:color w:val="auto"/>
                <w:szCs w:val="21"/>
                <w:highlight w:val="none"/>
                <w:u w:val="none"/>
                <w:lang w:eastAsia="zh-CN"/>
              </w:rPr>
            </w:pPr>
            <w:r>
              <w:rPr>
                <w:rFonts w:hint="eastAsia" w:ascii="宋体" w:hAnsi="宋体" w:cs="宋体"/>
                <w:color w:val="auto"/>
                <w:szCs w:val="21"/>
                <w:highlight w:val="none"/>
              </w:rPr>
              <w:t>3、标的企业股东是否有优先购买权：</w:t>
            </w:r>
            <w:r>
              <w:rPr>
                <w:rFonts w:hint="eastAsia" w:ascii="宋体" w:hAnsi="宋体" w:cs="宋体"/>
                <w:color w:val="auto"/>
                <w:szCs w:val="21"/>
                <w:highlight w:val="none"/>
                <w:u w:val="none"/>
              </w:rPr>
              <w:t>在同等条件下享</w:t>
            </w:r>
            <w:r>
              <w:rPr>
                <w:rFonts w:hint="eastAsia" w:ascii="宋体" w:hAnsi="宋体" w:cs="宋体"/>
                <w:color w:val="auto"/>
                <w:szCs w:val="21"/>
                <w:highlight w:val="none"/>
                <w:u w:val="none"/>
                <w:lang w:val="en-US" w:eastAsia="zh-CN"/>
              </w:rPr>
              <w:t>有</w:t>
            </w:r>
            <w:r>
              <w:rPr>
                <w:rFonts w:hint="eastAsia" w:ascii="宋体" w:hAnsi="宋体" w:cs="宋体"/>
                <w:color w:val="auto"/>
                <w:szCs w:val="21"/>
                <w:highlight w:val="none"/>
                <w:u w:val="none"/>
              </w:rPr>
              <w:t>优先购买权</w:t>
            </w:r>
            <w:r>
              <w:rPr>
                <w:rFonts w:hint="eastAsia" w:ascii="宋体" w:hAnsi="宋体" w:cs="宋体"/>
                <w:color w:val="auto"/>
                <w:szCs w:val="21"/>
                <w:highlight w:val="none"/>
                <w:u w:val="none"/>
                <w:lang w:eastAsia="zh-CN"/>
              </w:rPr>
              <w:t>。</w:t>
            </w:r>
          </w:p>
          <w:p>
            <w:pPr>
              <w:ind w:firstLine="0" w:firstLineChars="0"/>
              <w:jc w:val="left"/>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4、标的企业持有证书：港口经营许可证，证号（浙台）港经证（0008）号，有效期2019年10月11日至2022年10月14日。</w:t>
            </w:r>
          </w:p>
          <w:p>
            <w:pPr>
              <w:ind w:firstLine="0" w:firstLineChars="0"/>
              <w:jc w:val="left"/>
              <w:rPr>
                <w:rFonts w:hint="eastAsia" w:ascii="宋体" w:hAnsi="宋体" w:cs="宋体"/>
                <w:color w:val="auto"/>
                <w:szCs w:val="21"/>
                <w:highlight w:val="none"/>
                <w:u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、企业管理层是否参与受让:</w:t>
            </w:r>
            <w:r>
              <w:rPr>
                <w:rFonts w:hint="eastAsia" w:ascii="宋体" w:hAnsi="宋体" w:cs="宋体"/>
                <w:color w:val="auto"/>
                <w:szCs w:val="21"/>
                <w:highlight w:val="none"/>
                <w:u w:val="none"/>
              </w:rPr>
              <w:t>否</w:t>
            </w:r>
          </w:p>
          <w:p>
            <w:pPr>
              <w:bidi w:val="0"/>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、其它信息披露</w:t>
            </w:r>
            <w:r>
              <w:rPr>
                <w:rFonts w:hint="eastAsia" w:ascii="宋体" w:hAnsi="宋体" w:cs="宋体"/>
                <w:color w:val="auto"/>
                <w:szCs w:val="21"/>
                <w:highlight w:val="none"/>
                <w:lang w:eastAsia="zh-CN"/>
              </w:rPr>
              <w:t>：</w:t>
            </w:r>
            <w:r>
              <w:rPr>
                <w:rFonts w:hint="eastAsia" w:ascii="宋体" w:hAnsi="宋体" w:cs="宋体"/>
                <w:color w:val="auto"/>
                <w:szCs w:val="21"/>
                <w:highlight w:val="none"/>
              </w:rPr>
              <w:t>具体详见</w:t>
            </w:r>
            <w:r>
              <w:rPr>
                <w:rFonts w:hint="eastAsia" w:ascii="宋体" w:hAnsi="宋体" w:cs="宋体"/>
                <w:color w:val="auto"/>
                <w:szCs w:val="21"/>
                <w:highlight w:val="none"/>
                <w:lang w:val="en-US" w:eastAsia="zh-CN"/>
              </w:rPr>
              <w:t>宏诚</w:t>
            </w:r>
            <w:r>
              <w:rPr>
                <w:rFonts w:hint="eastAsia" w:ascii="宋体" w:hAnsi="宋体" w:cs="宋体"/>
                <w:color w:val="auto"/>
                <w:szCs w:val="21"/>
                <w:highlight w:val="none"/>
              </w:rPr>
              <w:t>评报</w:t>
            </w:r>
            <w:r>
              <w:rPr>
                <w:rFonts w:hint="eastAsia" w:ascii="宋体" w:hAnsi="宋体" w:cs="宋体"/>
                <w:color w:val="auto"/>
                <w:szCs w:val="21"/>
                <w:highlight w:val="none"/>
                <w:lang w:val="en-US" w:eastAsia="zh-CN"/>
              </w:rPr>
              <w:t>字</w:t>
            </w:r>
            <w:r>
              <w:rPr>
                <w:rFonts w:hint="eastAsia" w:ascii="宋体" w:hAnsi="宋体" w:cs="宋体"/>
                <w:color w:val="auto"/>
                <w:szCs w:val="21"/>
                <w:highlight w:val="none"/>
              </w:rPr>
              <w:t>[2021]第0</w:t>
            </w:r>
            <w:r>
              <w:rPr>
                <w:rFonts w:hint="eastAsia" w:ascii="宋体" w:hAnsi="宋体" w:cs="宋体"/>
                <w:color w:val="auto"/>
                <w:szCs w:val="21"/>
                <w:highlight w:val="none"/>
                <w:lang w:val="en-US" w:eastAsia="zh-CN"/>
              </w:rPr>
              <w:t>38</w:t>
            </w:r>
            <w:r>
              <w:rPr>
                <w:rFonts w:hint="eastAsia" w:ascii="宋体" w:hAnsi="宋体" w:cs="宋体"/>
                <w:color w:val="auto"/>
                <w:szCs w:val="21"/>
                <w:highlight w:val="none"/>
              </w:rPr>
              <w:t>号评估报告</w:t>
            </w:r>
            <w:r>
              <w:rPr>
                <w:rFonts w:hint="eastAsia" w:ascii="宋体" w:hAnsi="宋体" w:cs="宋体"/>
                <w:color w:val="auto"/>
                <w:szCs w:val="21"/>
                <w:highlight w:val="none"/>
                <w:lang w:val="en-US" w:eastAsia="zh-CN"/>
              </w:rPr>
              <w:t>中第十一项特别事项说明（见附件）</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请</w:t>
            </w:r>
            <w:r>
              <w:rPr>
                <w:rFonts w:hint="eastAsia" w:ascii="宋体" w:hAnsi="宋体" w:cs="宋体"/>
                <w:color w:val="auto"/>
                <w:szCs w:val="21"/>
                <w:highlight w:val="none"/>
              </w:rPr>
              <w:t>意向受让方认真阅读。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trPr>
        <w:tc>
          <w:tcPr>
            <w:tcW w:w="1170"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公告挂牌</w:t>
            </w:r>
          </w:p>
        </w:tc>
        <w:tc>
          <w:tcPr>
            <w:tcW w:w="7815" w:type="dxa"/>
            <w:gridSpan w:val="4"/>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1、公告挂牌期：</w:t>
            </w:r>
            <w:bookmarkStart w:id="40" w:name="待定21"/>
            <w:r>
              <w:rPr>
                <w:rFonts w:hint="eastAsia" w:ascii="宋体" w:hAnsi="宋体" w:cs="宋体"/>
                <w:color w:val="auto"/>
                <w:szCs w:val="21"/>
                <w:highlight w:val="none"/>
              </w:rPr>
              <w:t>正式挂牌时间自20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16</w:t>
            </w:r>
            <w:r>
              <w:rPr>
                <w:rFonts w:hint="eastAsia" w:ascii="宋体" w:hAnsi="宋体" w:cs="宋体"/>
                <w:color w:val="auto"/>
                <w:szCs w:val="21"/>
                <w:highlight w:val="none"/>
              </w:rPr>
              <w:t>日公告日（即挂牌起始日）至20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日下午4时整止。</w:t>
            </w:r>
            <w:bookmarkEnd w:id="40"/>
          </w:p>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2、意向受让人应在报名期间20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16</w:t>
            </w:r>
            <w:r>
              <w:rPr>
                <w:rFonts w:hint="eastAsia" w:ascii="宋体" w:hAnsi="宋体" w:cs="宋体"/>
                <w:color w:val="auto"/>
                <w:szCs w:val="21"/>
                <w:highlight w:val="none"/>
              </w:rPr>
              <w:t>日至</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日下午4：00（节假日除外）到台州市产权交易所办理意向受让登记手续。</w:t>
            </w:r>
            <w:r>
              <w:rPr>
                <w:rFonts w:hint="eastAsia" w:ascii="宋体" w:hAnsi="宋体" w:cs="宋体"/>
                <w:color w:val="auto"/>
                <w:szCs w:val="21"/>
                <w:highlight w:val="none"/>
                <w:lang w:val="en-US" w:eastAsia="zh-CN"/>
              </w:rPr>
              <w:t>请携带</w:t>
            </w:r>
            <w:r>
              <w:rPr>
                <w:rFonts w:hint="eastAsia" w:ascii="宋体" w:hAnsi="宋体" w:cs="宋体"/>
                <w:color w:val="auto"/>
                <w:szCs w:val="21"/>
                <w:highlight w:val="none"/>
                <w:u w:val="none"/>
              </w:rPr>
              <w:t>企业（公司）法人主体资格证明文件，包含企业法人营业执照副本的复印件，法定代表人及授权委托人的身份证明及授权委托书、公司章程、相关决议等相关资料</w:t>
            </w:r>
            <w:r>
              <w:rPr>
                <w:rFonts w:hint="eastAsia" w:ascii="宋体" w:hAnsi="宋体" w:cs="宋体"/>
                <w:color w:val="auto"/>
                <w:szCs w:val="21"/>
                <w:highlight w:val="none"/>
                <w:u w:val="none"/>
                <w:lang w:eastAsia="zh-CN"/>
              </w:rPr>
              <w:t>，自然人须持本人身份证明及相关资料</w:t>
            </w:r>
            <w:r>
              <w:rPr>
                <w:rFonts w:hint="eastAsia" w:ascii="宋体" w:hAnsi="宋体" w:cs="宋体"/>
                <w:color w:val="auto"/>
                <w:szCs w:val="21"/>
                <w:highlight w:val="none"/>
                <w:u w:val="none"/>
                <w:lang w:val="en-US" w:eastAsia="zh-CN"/>
              </w:rPr>
              <w:t>；</w:t>
            </w:r>
            <w:r>
              <w:rPr>
                <w:rFonts w:hint="eastAsia" w:ascii="宋体" w:hAnsi="宋体" w:cs="宋体"/>
                <w:color w:val="auto"/>
                <w:szCs w:val="21"/>
                <w:highlight w:val="none"/>
                <w:u w:val="none"/>
              </w:rPr>
              <w:t>缴纳保证金人民币135</w:t>
            </w:r>
            <w:r>
              <w:rPr>
                <w:rFonts w:hint="eastAsia" w:ascii="宋体" w:hAnsi="宋体" w:cs="宋体"/>
                <w:color w:val="auto"/>
                <w:szCs w:val="21"/>
                <w:highlight w:val="none"/>
                <w:u w:val="none"/>
                <w:lang w:val="en-US" w:eastAsia="zh-CN"/>
              </w:rPr>
              <w:t>0.00万</w:t>
            </w:r>
            <w:r>
              <w:rPr>
                <w:rFonts w:hint="eastAsia" w:ascii="宋体" w:hAnsi="宋体" w:cs="宋体"/>
                <w:color w:val="auto"/>
                <w:szCs w:val="21"/>
                <w:highlight w:val="none"/>
                <w:u w:val="none"/>
              </w:rPr>
              <w:t>元</w:t>
            </w:r>
            <w:r>
              <w:rPr>
                <w:rFonts w:hint="eastAsia" w:ascii="宋体" w:hAnsi="宋体" w:cs="宋体"/>
                <w:color w:val="auto"/>
                <w:szCs w:val="21"/>
                <w:highlight w:val="none"/>
              </w:rPr>
              <w:t>。</w:t>
            </w:r>
          </w:p>
        </w:tc>
      </w:tr>
    </w:tbl>
    <w:p>
      <w:pPr>
        <w:rPr>
          <w:color w:val="auto"/>
        </w:rPr>
      </w:pPr>
    </w:p>
    <w:tbl>
      <w:tblPr>
        <w:tblStyle w:val="9"/>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8"/>
        <w:gridCol w:w="1487"/>
        <w:gridCol w:w="1903"/>
        <w:gridCol w:w="1712"/>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restart"/>
            <w:noWrap w:val="0"/>
            <w:vAlign w:val="center"/>
          </w:tcPr>
          <w:p>
            <w:pPr>
              <w:ind w:firstLine="0" w:firstLineChars="0"/>
              <w:jc w:val="both"/>
              <w:rPr>
                <w:rFonts w:ascii="宋体" w:hAnsi="宋体"/>
                <w:b/>
                <w:color w:val="auto"/>
                <w:szCs w:val="21"/>
                <w:highlight w:val="none"/>
              </w:rPr>
            </w:pPr>
            <w:r>
              <w:rPr>
                <w:rFonts w:hint="eastAsia" w:ascii="宋体" w:hAnsi="宋体"/>
                <w:b/>
                <w:color w:val="auto"/>
                <w:szCs w:val="21"/>
                <w:highlight w:val="none"/>
              </w:rPr>
              <w:t>主要财务指标</w:t>
            </w:r>
          </w:p>
          <w:p>
            <w:pPr>
              <w:ind w:firstLine="0" w:firstLineChars="0"/>
              <w:jc w:val="both"/>
              <w:rPr>
                <w:rFonts w:ascii="宋体" w:hAnsi="宋体"/>
                <w:b/>
                <w:color w:val="auto"/>
                <w:szCs w:val="21"/>
                <w:highlight w:val="none"/>
              </w:rPr>
            </w:pPr>
            <w:r>
              <w:rPr>
                <w:rFonts w:hint="eastAsia" w:ascii="宋体" w:hAnsi="宋体"/>
                <w:b/>
                <w:color w:val="auto"/>
                <w:szCs w:val="21"/>
                <w:highlight w:val="none"/>
              </w:rPr>
              <w:t>（单位：人民币元）</w:t>
            </w:r>
          </w:p>
        </w:tc>
        <w:tc>
          <w:tcPr>
            <w:tcW w:w="6852" w:type="dxa"/>
            <w:gridSpan w:val="4"/>
            <w:noWrap w:val="0"/>
            <w:vAlign w:val="center"/>
          </w:tcPr>
          <w:p>
            <w:pPr>
              <w:ind w:firstLine="480"/>
              <w:jc w:val="center"/>
              <w:rPr>
                <w:rFonts w:ascii="宋体" w:hAnsi="宋体"/>
                <w:color w:val="auto"/>
                <w:szCs w:val="21"/>
                <w:highlight w:val="none"/>
              </w:rPr>
            </w:pPr>
            <w:r>
              <w:rPr>
                <w:rFonts w:hint="eastAsia" w:ascii="宋体" w:hAnsi="宋体"/>
                <w:b/>
                <w:bCs/>
                <w:color w:val="auto"/>
                <w:szCs w:val="21"/>
                <w:highlight w:val="none"/>
              </w:rPr>
              <w:t>以下数据出自20</w:t>
            </w:r>
            <w:r>
              <w:rPr>
                <w:rFonts w:hint="eastAsia" w:ascii="宋体" w:hAnsi="宋体"/>
                <w:b/>
                <w:bCs/>
                <w:color w:val="auto"/>
                <w:szCs w:val="21"/>
                <w:highlight w:val="none"/>
                <w:lang w:val="en-US" w:eastAsia="zh-CN"/>
              </w:rPr>
              <w:t>20</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12</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31和</w:t>
            </w:r>
            <w:r>
              <w:rPr>
                <w:rFonts w:hint="eastAsia" w:ascii="宋体" w:hAnsi="宋体"/>
                <w:b/>
                <w:bCs/>
                <w:color w:val="auto"/>
                <w:szCs w:val="21"/>
                <w:highlight w:val="none"/>
              </w:rPr>
              <w:t>20</w:t>
            </w:r>
            <w:r>
              <w:rPr>
                <w:rFonts w:hint="eastAsia" w:ascii="宋体" w:hAnsi="宋体"/>
                <w:b/>
                <w:bCs/>
                <w:color w:val="auto"/>
                <w:szCs w:val="21"/>
                <w:highlight w:val="none"/>
                <w:lang w:val="en-US" w:eastAsia="zh-CN"/>
              </w:rPr>
              <w:t>21</w:t>
            </w:r>
            <w:r>
              <w:rPr>
                <w:rFonts w:hint="eastAsia" w:ascii="宋体" w:hAnsi="宋体"/>
                <w:b/>
                <w:bCs/>
                <w:color w:val="auto"/>
                <w:szCs w:val="21"/>
                <w:highlight w:val="none"/>
              </w:rPr>
              <w:t>年</w:t>
            </w:r>
            <w:r>
              <w:rPr>
                <w:rFonts w:hint="eastAsia" w:ascii="宋体" w:hAnsi="宋体"/>
                <w:b/>
                <w:bCs/>
                <w:color w:val="auto"/>
                <w:szCs w:val="21"/>
                <w:highlight w:val="none"/>
                <w:lang w:val="en-US" w:eastAsia="zh-CN"/>
              </w:rPr>
              <w:t>2</w:t>
            </w:r>
            <w:r>
              <w:rPr>
                <w:rFonts w:hint="eastAsia" w:ascii="宋体" w:hAnsi="宋体"/>
                <w:b/>
                <w:bCs/>
                <w:color w:val="auto"/>
                <w:szCs w:val="21"/>
                <w:highlight w:val="none"/>
              </w:rPr>
              <w:t>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年度日期</w:t>
            </w:r>
          </w:p>
        </w:tc>
        <w:tc>
          <w:tcPr>
            <w:tcW w:w="1903"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资产总计</w:t>
            </w:r>
          </w:p>
        </w:tc>
        <w:tc>
          <w:tcPr>
            <w:tcW w:w="1712"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负债总计</w:t>
            </w:r>
          </w:p>
        </w:tc>
        <w:tc>
          <w:tcPr>
            <w:tcW w:w="1750"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restart"/>
            <w:noWrap w:val="0"/>
            <w:vAlign w:val="center"/>
          </w:tcPr>
          <w:p>
            <w:pPr>
              <w:ind w:firstLine="420" w:firstLineChars="200"/>
              <w:jc w:val="center"/>
              <w:rPr>
                <w:rFonts w:hint="eastAsia" w:ascii="宋体" w:hAnsi="宋体"/>
                <w:b/>
                <w:color w:val="auto"/>
                <w:szCs w:val="21"/>
                <w:highlight w:val="none"/>
              </w:rPr>
            </w:pPr>
            <w:r>
              <w:rPr>
                <w:rFonts w:hint="eastAsia" w:ascii="宋体" w:hAnsi="宋体"/>
                <w:color w:val="auto"/>
                <w:szCs w:val="21"/>
                <w:highlight w:val="none"/>
              </w:rPr>
              <w:t>20</w:t>
            </w:r>
            <w:r>
              <w:rPr>
                <w:rFonts w:hint="eastAsia" w:ascii="宋体" w:hAnsi="宋体"/>
                <w:color w:val="auto"/>
                <w:szCs w:val="21"/>
                <w:highlight w:val="none"/>
                <w:lang w:val="en-US" w:eastAsia="zh-CN"/>
              </w:rPr>
              <w:t>20</w:t>
            </w:r>
            <w:r>
              <w:rPr>
                <w:rFonts w:hint="eastAsia" w:ascii="宋体" w:hAnsi="宋体"/>
                <w:color w:val="auto"/>
                <w:szCs w:val="21"/>
                <w:highlight w:val="none"/>
              </w:rPr>
              <w:t>.</w:t>
            </w:r>
            <w:r>
              <w:rPr>
                <w:rFonts w:hint="eastAsia" w:ascii="宋体" w:hAnsi="宋体"/>
                <w:color w:val="auto"/>
                <w:szCs w:val="21"/>
                <w:highlight w:val="none"/>
                <w:lang w:val="en-US" w:eastAsia="zh-CN"/>
              </w:rPr>
              <w:t>12</w:t>
            </w:r>
            <w:r>
              <w:rPr>
                <w:rFonts w:hint="eastAsia" w:ascii="宋体" w:hAnsi="宋体"/>
                <w:color w:val="auto"/>
                <w:szCs w:val="21"/>
                <w:highlight w:val="none"/>
              </w:rPr>
              <w:t>.</w:t>
            </w:r>
            <w:r>
              <w:rPr>
                <w:rFonts w:hint="eastAsia" w:ascii="宋体" w:hAnsi="宋体"/>
                <w:color w:val="auto"/>
                <w:szCs w:val="21"/>
                <w:highlight w:val="none"/>
                <w:lang w:val="en-US" w:eastAsia="zh-CN"/>
              </w:rPr>
              <w:t>31</w:t>
            </w:r>
          </w:p>
        </w:tc>
        <w:tc>
          <w:tcPr>
            <w:tcW w:w="1903"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78,872,508.29</w:t>
            </w:r>
          </w:p>
        </w:tc>
        <w:tc>
          <w:tcPr>
            <w:tcW w:w="1712"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25,412,573.02</w:t>
            </w:r>
          </w:p>
        </w:tc>
        <w:tc>
          <w:tcPr>
            <w:tcW w:w="1750"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53,459,935.27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continue"/>
            <w:noWrap w:val="0"/>
            <w:vAlign w:val="center"/>
          </w:tcPr>
          <w:p>
            <w:pPr>
              <w:ind w:firstLine="422" w:firstLineChars="200"/>
              <w:jc w:val="center"/>
              <w:rPr>
                <w:rFonts w:hint="eastAsia" w:ascii="宋体" w:hAnsi="宋体"/>
                <w:b/>
                <w:color w:val="auto"/>
                <w:szCs w:val="21"/>
                <w:highlight w:val="none"/>
              </w:rPr>
            </w:pPr>
          </w:p>
        </w:tc>
        <w:tc>
          <w:tcPr>
            <w:tcW w:w="1903" w:type="dxa"/>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营业收入</w:t>
            </w:r>
          </w:p>
        </w:tc>
        <w:tc>
          <w:tcPr>
            <w:tcW w:w="1712" w:type="dxa"/>
            <w:noWrap w:val="0"/>
            <w:vAlign w:val="center"/>
          </w:tcPr>
          <w:p>
            <w:pPr>
              <w:ind w:firstLine="422" w:firstLineChars="200"/>
              <w:jc w:val="center"/>
              <w:rPr>
                <w:rFonts w:hint="eastAsia" w:ascii="宋体" w:hAnsi="宋体"/>
                <w:b/>
                <w:color w:val="auto"/>
                <w:szCs w:val="21"/>
                <w:highlight w:val="none"/>
              </w:rPr>
            </w:pPr>
            <w:r>
              <w:rPr>
                <w:rFonts w:hint="eastAsia" w:ascii="宋体" w:hAnsi="宋体"/>
                <w:b/>
                <w:color w:val="auto"/>
                <w:szCs w:val="21"/>
                <w:highlight w:val="none"/>
              </w:rPr>
              <w:t>利润总额</w:t>
            </w:r>
          </w:p>
        </w:tc>
        <w:tc>
          <w:tcPr>
            <w:tcW w:w="1750" w:type="dxa"/>
            <w:noWrap w:val="0"/>
            <w:vAlign w:val="center"/>
          </w:tcPr>
          <w:p>
            <w:pPr>
              <w:ind w:firstLine="422" w:firstLineChars="200"/>
              <w:jc w:val="center"/>
              <w:rPr>
                <w:rFonts w:hint="eastAsia"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continue"/>
            <w:noWrap w:val="0"/>
            <w:vAlign w:val="center"/>
          </w:tcPr>
          <w:p>
            <w:pPr>
              <w:ind w:firstLine="422" w:firstLineChars="200"/>
              <w:jc w:val="center"/>
              <w:rPr>
                <w:rFonts w:hint="eastAsia" w:ascii="宋体" w:hAnsi="宋体"/>
                <w:b/>
                <w:color w:val="auto"/>
                <w:szCs w:val="21"/>
                <w:highlight w:val="none"/>
              </w:rPr>
            </w:pPr>
          </w:p>
        </w:tc>
        <w:tc>
          <w:tcPr>
            <w:tcW w:w="1903"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2,609,178.12</w:t>
            </w:r>
          </w:p>
        </w:tc>
        <w:tc>
          <w:tcPr>
            <w:tcW w:w="1712" w:type="dxa"/>
            <w:noWrap w:val="0"/>
            <w:vAlign w:val="center"/>
          </w:tcPr>
          <w:p>
            <w:pPr>
              <w:ind w:left="0" w:leftChars="0" w:firstLine="0" w:firstLineChars="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-691,220.49</w:t>
            </w:r>
          </w:p>
        </w:tc>
        <w:tc>
          <w:tcPr>
            <w:tcW w:w="1750" w:type="dxa"/>
            <w:noWrap w:val="0"/>
            <w:vAlign w:val="center"/>
          </w:tcPr>
          <w:p>
            <w:pPr>
              <w:ind w:firstLine="420" w:firstLineChars="200"/>
              <w:jc w:val="right"/>
              <w:rPr>
                <w:rFonts w:hint="eastAsia" w:ascii="宋体" w:hAnsi="宋体"/>
                <w:b/>
                <w:color w:val="auto"/>
                <w:szCs w:val="21"/>
                <w:highlight w:val="none"/>
              </w:rPr>
            </w:pPr>
            <w:r>
              <w:rPr>
                <w:rFonts w:hint="eastAsia" w:ascii="宋体" w:hAnsi="宋体" w:cs="Times New Roman"/>
                <w:color w:val="auto"/>
                <w:szCs w:val="21"/>
                <w:highlight w:val="none"/>
                <w:lang w:val="en-US" w:eastAsia="zh-CN"/>
              </w:rPr>
              <w:t>-691,220.49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年度日期</w:t>
            </w:r>
          </w:p>
        </w:tc>
        <w:tc>
          <w:tcPr>
            <w:tcW w:w="1903"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资产总计</w:t>
            </w:r>
          </w:p>
        </w:tc>
        <w:tc>
          <w:tcPr>
            <w:tcW w:w="1712"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负债总计</w:t>
            </w:r>
          </w:p>
        </w:tc>
        <w:tc>
          <w:tcPr>
            <w:tcW w:w="1750"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noWrap w:val="0"/>
            <w:vAlign w:val="center"/>
          </w:tcPr>
          <w:p>
            <w:pPr>
              <w:ind w:firstLine="482"/>
              <w:jc w:val="center"/>
              <w:rPr>
                <w:rFonts w:ascii="宋体" w:hAnsi="宋体"/>
                <w:b/>
                <w:color w:val="auto"/>
                <w:szCs w:val="21"/>
                <w:highlight w:val="none"/>
              </w:rPr>
            </w:pPr>
          </w:p>
        </w:tc>
        <w:tc>
          <w:tcPr>
            <w:tcW w:w="1487" w:type="dxa"/>
            <w:vMerge w:val="restart"/>
            <w:noWrap w:val="0"/>
            <w:vAlign w:val="center"/>
          </w:tcPr>
          <w:p>
            <w:pPr>
              <w:jc w:val="center"/>
              <w:rPr>
                <w:rFonts w:hint="default" w:ascii="宋体" w:hAnsi="宋体" w:eastAsia="宋体"/>
                <w:color w:val="auto"/>
                <w:szCs w:val="21"/>
                <w:highlight w:val="none"/>
                <w:u w:val="single"/>
                <w:lang w:val="en-US" w:eastAsia="zh-CN"/>
              </w:rPr>
            </w:pPr>
            <w:r>
              <w:rPr>
                <w:rFonts w:hint="eastAsia" w:ascii="宋体" w:hAnsi="宋体"/>
                <w:color w:val="auto"/>
                <w:szCs w:val="21"/>
                <w:highlight w:val="none"/>
              </w:rPr>
              <w:t>20</w:t>
            </w:r>
            <w:r>
              <w:rPr>
                <w:rFonts w:hint="eastAsia" w:ascii="宋体" w:hAnsi="宋体"/>
                <w:color w:val="auto"/>
                <w:szCs w:val="21"/>
                <w:highlight w:val="none"/>
                <w:lang w:val="en-US" w:eastAsia="zh-CN"/>
              </w:rPr>
              <w:t>21</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28</w:t>
            </w:r>
          </w:p>
        </w:tc>
        <w:tc>
          <w:tcPr>
            <w:tcW w:w="1903"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78,447,115.38</w:t>
            </w:r>
          </w:p>
        </w:tc>
        <w:tc>
          <w:tcPr>
            <w:tcW w:w="1712"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24,047,038.24</w:t>
            </w:r>
          </w:p>
        </w:tc>
        <w:tc>
          <w:tcPr>
            <w:tcW w:w="1750"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54,400,077.14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1487" w:type="dxa"/>
            <w:vMerge w:val="continue"/>
            <w:shd w:val="clear" w:color="auto" w:fill="auto"/>
            <w:noWrap w:val="0"/>
            <w:vAlign w:val="center"/>
          </w:tcPr>
          <w:p>
            <w:pPr>
              <w:jc w:val="center"/>
              <w:rPr>
                <w:rFonts w:ascii="宋体" w:hAnsi="宋体"/>
                <w:color w:val="auto"/>
                <w:szCs w:val="21"/>
                <w:highlight w:val="none"/>
                <w:u w:val="single"/>
              </w:rPr>
            </w:pPr>
          </w:p>
        </w:tc>
        <w:tc>
          <w:tcPr>
            <w:tcW w:w="1903"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营业收入</w:t>
            </w:r>
          </w:p>
        </w:tc>
        <w:tc>
          <w:tcPr>
            <w:tcW w:w="171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利润总额</w:t>
            </w:r>
          </w:p>
        </w:tc>
        <w:tc>
          <w:tcPr>
            <w:tcW w:w="1750"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1487" w:type="dxa"/>
            <w:vMerge w:val="continue"/>
            <w:shd w:val="clear" w:color="auto" w:fill="auto"/>
            <w:noWrap w:val="0"/>
            <w:vAlign w:val="center"/>
          </w:tcPr>
          <w:p>
            <w:pPr>
              <w:jc w:val="center"/>
              <w:rPr>
                <w:rFonts w:ascii="宋体" w:hAnsi="宋体"/>
                <w:color w:val="auto"/>
                <w:szCs w:val="21"/>
                <w:highlight w:val="none"/>
                <w:u w:val="single"/>
              </w:rPr>
            </w:pPr>
          </w:p>
        </w:tc>
        <w:tc>
          <w:tcPr>
            <w:tcW w:w="1903" w:type="dxa"/>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232,042.51</w:t>
            </w:r>
          </w:p>
        </w:tc>
        <w:tc>
          <w:tcPr>
            <w:tcW w:w="1712"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-332,595.20</w:t>
            </w:r>
          </w:p>
        </w:tc>
        <w:tc>
          <w:tcPr>
            <w:tcW w:w="1750" w:type="dxa"/>
            <w:shd w:val="clear" w:color="auto" w:fill="FFFFFF"/>
            <w:noWrap w:val="0"/>
            <w:vAlign w:val="center"/>
          </w:tcPr>
          <w:p>
            <w:pPr>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-332,595.20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1487"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审计机构</w:t>
            </w:r>
          </w:p>
        </w:tc>
        <w:tc>
          <w:tcPr>
            <w:tcW w:w="5365" w:type="dxa"/>
            <w:gridSpan w:val="3"/>
            <w:shd w:val="clear" w:color="auto" w:fill="FFFFFF"/>
            <w:noWrap w:val="0"/>
            <w:vAlign w:val="center"/>
          </w:tcPr>
          <w:p>
            <w:pPr>
              <w:ind w:firstLine="420" w:firstLineChars="200"/>
              <w:rPr>
                <w:rFonts w:hint="eastAsia" w:ascii="宋体" w:hAnsi="宋体" w:eastAsia="宋体" w:cs="Times New Roman"/>
                <w:color w:val="auto"/>
                <w:szCs w:val="21"/>
                <w:highlight w:val="none"/>
                <w:lang w:eastAsia="zh-CN"/>
              </w:rPr>
            </w:pPr>
            <w:r>
              <w:rPr>
                <w:rFonts w:hint="eastAsia" w:ascii="宋体" w:hAnsi="宋体" w:cs="Times New Roman"/>
                <w:color w:val="auto"/>
                <w:szCs w:val="21"/>
                <w:highlight w:val="none"/>
                <w:lang w:eastAsia="zh-CN"/>
              </w:rPr>
              <w:t>台州宏诚会计师事务所有限公司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2"/>
              <w:jc w:val="center"/>
              <w:rPr>
                <w:rFonts w:ascii="宋体" w:hAnsi="宋体"/>
                <w:b/>
                <w:color w:val="auto"/>
                <w:szCs w:val="21"/>
                <w:highlight w:val="none"/>
              </w:rPr>
            </w:pPr>
          </w:p>
        </w:tc>
        <w:tc>
          <w:tcPr>
            <w:tcW w:w="6852" w:type="dxa"/>
            <w:gridSpan w:val="4"/>
            <w:shd w:val="clear" w:color="auto" w:fill="FFFFFF"/>
            <w:noWrap w:val="0"/>
            <w:vAlign w:val="center"/>
          </w:tcPr>
          <w:p>
            <w:pPr>
              <w:ind w:firstLine="422" w:firstLineChars="200"/>
              <w:jc w:val="center"/>
              <w:rPr>
                <w:rFonts w:ascii="宋体" w:hAnsi="宋体" w:eastAsia="宋体" w:cs="Times New Roman"/>
                <w:color w:val="auto"/>
                <w:szCs w:val="21"/>
                <w:highlight w:val="none"/>
              </w:rPr>
            </w:pPr>
            <w:r>
              <w:rPr>
                <w:rFonts w:hint="eastAsia" w:ascii="宋体" w:hAnsi="宋体"/>
                <w:b/>
                <w:bCs/>
                <w:color w:val="auto"/>
                <w:szCs w:val="21"/>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jc w:val="center"/>
              <w:rPr>
                <w:rFonts w:ascii="宋体" w:hAnsi="宋体"/>
                <w:color w:val="auto"/>
                <w:szCs w:val="21"/>
                <w:highlight w:val="none"/>
              </w:rPr>
            </w:pPr>
          </w:p>
        </w:tc>
        <w:tc>
          <w:tcPr>
            <w:tcW w:w="1487"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报表日期</w:t>
            </w:r>
          </w:p>
        </w:tc>
        <w:tc>
          <w:tcPr>
            <w:tcW w:w="1903"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资产总计</w:t>
            </w:r>
          </w:p>
        </w:tc>
        <w:tc>
          <w:tcPr>
            <w:tcW w:w="171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负债总计</w:t>
            </w:r>
          </w:p>
        </w:tc>
        <w:tc>
          <w:tcPr>
            <w:tcW w:w="1750"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rPr>
                <w:rFonts w:ascii="宋体" w:hAnsi="宋体"/>
                <w:color w:val="auto"/>
                <w:szCs w:val="21"/>
                <w:highlight w:val="none"/>
              </w:rPr>
            </w:pPr>
          </w:p>
        </w:tc>
        <w:tc>
          <w:tcPr>
            <w:tcW w:w="1487" w:type="dxa"/>
            <w:shd w:val="clear" w:color="auto" w:fill="auto"/>
            <w:noWrap w:val="0"/>
            <w:vAlign w:val="center"/>
          </w:tcPr>
          <w:p>
            <w:pPr>
              <w:jc w:val="center"/>
              <w:rPr>
                <w:rFonts w:hint="default" w:ascii="宋体" w:hAnsi="宋体" w:eastAsia="宋体" w:cs="Times New Roman"/>
                <w:color w:val="auto"/>
                <w:szCs w:val="21"/>
                <w:highlight w:val="none"/>
                <w:lang w:val="en-US"/>
              </w:rPr>
            </w:pPr>
            <w:r>
              <w:rPr>
                <w:rFonts w:hint="eastAsia" w:ascii="宋体" w:hAnsi="宋体"/>
                <w:color w:val="auto"/>
                <w:szCs w:val="21"/>
                <w:highlight w:val="none"/>
              </w:rPr>
              <w:t>20</w:t>
            </w:r>
            <w:r>
              <w:rPr>
                <w:rFonts w:hint="eastAsia" w:ascii="宋体" w:hAnsi="宋体"/>
                <w:color w:val="auto"/>
                <w:szCs w:val="21"/>
                <w:highlight w:val="none"/>
                <w:lang w:val="en-US" w:eastAsia="zh-CN"/>
              </w:rPr>
              <w:t>21.5.31</w:t>
            </w:r>
          </w:p>
        </w:tc>
        <w:tc>
          <w:tcPr>
            <w:tcW w:w="1903" w:type="dxa"/>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68,094,404.17</w:t>
            </w:r>
          </w:p>
        </w:tc>
        <w:tc>
          <w:tcPr>
            <w:tcW w:w="1712"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15,232,065.10</w:t>
            </w:r>
          </w:p>
        </w:tc>
        <w:tc>
          <w:tcPr>
            <w:tcW w:w="1750"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52,862,339.07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rPr>
                <w:rFonts w:ascii="宋体" w:hAnsi="宋体"/>
                <w:color w:val="auto"/>
                <w:szCs w:val="21"/>
                <w:highlight w:val="none"/>
              </w:rPr>
            </w:pPr>
          </w:p>
        </w:tc>
        <w:tc>
          <w:tcPr>
            <w:tcW w:w="1487"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报表类型</w:t>
            </w:r>
          </w:p>
        </w:tc>
        <w:tc>
          <w:tcPr>
            <w:tcW w:w="1903"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营业收入</w:t>
            </w:r>
          </w:p>
        </w:tc>
        <w:tc>
          <w:tcPr>
            <w:tcW w:w="171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利润总额</w:t>
            </w:r>
          </w:p>
        </w:tc>
        <w:tc>
          <w:tcPr>
            <w:tcW w:w="1750"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8" w:type="dxa"/>
            <w:vMerge w:val="continue"/>
            <w:shd w:val="clear" w:color="auto" w:fill="auto"/>
            <w:noWrap w:val="0"/>
            <w:vAlign w:val="center"/>
          </w:tcPr>
          <w:p>
            <w:pPr>
              <w:ind w:firstLine="480"/>
              <w:rPr>
                <w:rFonts w:ascii="宋体" w:hAnsi="宋体"/>
                <w:color w:val="auto"/>
                <w:szCs w:val="21"/>
                <w:highlight w:val="none"/>
              </w:rPr>
            </w:pPr>
          </w:p>
        </w:tc>
        <w:tc>
          <w:tcPr>
            <w:tcW w:w="1487" w:type="dxa"/>
            <w:shd w:val="clear" w:color="auto" w:fill="auto"/>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中期</w:t>
            </w:r>
            <w:r>
              <w:rPr>
                <w:rFonts w:hint="eastAsia" w:ascii="宋体" w:hAnsi="宋体"/>
                <w:color w:val="auto"/>
                <w:szCs w:val="21"/>
                <w:highlight w:val="none"/>
              </w:rPr>
              <w:t>报表</w:t>
            </w:r>
          </w:p>
          <w:p>
            <w:pPr>
              <w:ind w:firstLine="420" w:firstLineChars="200"/>
              <w:jc w:val="center"/>
              <w:rPr>
                <w:rFonts w:ascii="宋体" w:hAnsi="宋体" w:eastAsia="宋体" w:cs="Times New Roman"/>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1-5月）</w:t>
            </w:r>
          </w:p>
        </w:tc>
        <w:tc>
          <w:tcPr>
            <w:tcW w:w="1903" w:type="dxa"/>
            <w:shd w:val="clear" w:color="auto" w:fill="auto"/>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871,160.33</w:t>
            </w:r>
          </w:p>
        </w:tc>
        <w:tc>
          <w:tcPr>
            <w:tcW w:w="1712" w:type="dxa"/>
            <w:shd w:val="clear" w:color="auto" w:fill="FFFFFF"/>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-597,596.20</w:t>
            </w:r>
          </w:p>
        </w:tc>
        <w:tc>
          <w:tcPr>
            <w:tcW w:w="1750" w:type="dxa"/>
            <w:shd w:val="clear" w:color="auto" w:fill="FFFFFF"/>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-597,596.20</w:t>
            </w:r>
          </w:p>
        </w:tc>
      </w:tr>
    </w:tbl>
    <w:p>
      <w:pPr>
        <w:ind w:firstLine="0" w:firstLineChars="0"/>
        <w:rPr>
          <w:rFonts w:ascii="宋体" w:hAnsi="宋体" w:cs="宋体"/>
          <w:color w:val="auto"/>
          <w:szCs w:val="21"/>
          <w:highlight w:val="none"/>
        </w:rPr>
      </w:pPr>
    </w:p>
    <w:tbl>
      <w:tblPr>
        <w:tblStyle w:val="9"/>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9029" w:type="dxa"/>
            <w:noWrap w:val="0"/>
            <w:vAlign w:val="top"/>
          </w:tcPr>
          <w:p>
            <w:pPr>
              <w:ind w:firstLine="420"/>
              <w:jc w:val="center"/>
              <w:rPr>
                <w:rFonts w:ascii="宋体" w:hAnsi="宋体" w:cs="宋体"/>
                <w:color w:val="auto"/>
                <w:highlight w:val="none"/>
              </w:rPr>
            </w:pPr>
            <w:bookmarkStart w:id="41" w:name="待定11"/>
            <w:r>
              <w:rPr>
                <w:rFonts w:hint="eastAsia" w:ascii="宋体" w:hAnsi="宋体" w:cs="宋体"/>
                <w:color w:val="auto"/>
                <w:highlight w:val="none"/>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29" w:type="dxa"/>
            <w:noWrap w:val="0"/>
            <w:vAlign w:val="top"/>
          </w:tcPr>
          <w:p>
            <w:pPr>
              <w:ind w:left="1365" w:hanging="1365" w:hangingChars="650"/>
              <w:rPr>
                <w:rFonts w:hint="eastAsia" w:ascii="宋体" w:hAnsi="宋体" w:cs="宋体"/>
                <w:color w:val="auto"/>
                <w:highlight w:val="none"/>
                <w:lang w:eastAsia="zh-CN"/>
              </w:rPr>
            </w:pPr>
            <w:r>
              <w:rPr>
                <w:rFonts w:hint="eastAsia" w:ascii="宋体" w:hAnsi="宋体" w:cs="宋体"/>
                <w:color w:val="auto"/>
                <w:highlight w:val="none"/>
              </w:rPr>
              <w:t>出资监管单位名称：</w:t>
            </w:r>
            <w:r>
              <w:rPr>
                <w:rFonts w:hint="eastAsia" w:ascii="宋体" w:hAnsi="宋体" w:cs="宋体"/>
                <w:color w:val="auto"/>
                <w:highlight w:val="none"/>
                <w:lang w:eastAsia="zh-CN"/>
              </w:rPr>
              <w:t>玉环市财政局</w:t>
            </w:r>
          </w:p>
          <w:p>
            <w:pPr>
              <w:ind w:left="1365" w:hanging="1365" w:hangingChars="650"/>
              <w:rPr>
                <w:rFonts w:ascii="宋体" w:hAnsi="宋体" w:cs="宋体"/>
                <w:color w:val="auto"/>
                <w:highlight w:val="none"/>
              </w:rPr>
            </w:pPr>
            <w:r>
              <w:rPr>
                <w:rFonts w:hint="eastAsia" w:ascii="宋体" w:hAnsi="宋体" w:cs="宋体"/>
                <w:color w:val="auto"/>
                <w:highlight w:val="none"/>
              </w:rPr>
              <w:t>批复文件号：玉财国资企[2021]</w:t>
            </w:r>
            <w:r>
              <w:rPr>
                <w:rFonts w:hint="eastAsia" w:ascii="宋体" w:hAnsi="宋体" w:cs="宋体"/>
                <w:color w:val="auto"/>
                <w:highlight w:val="none"/>
                <w:lang w:val="en-US" w:eastAsia="zh-CN"/>
              </w:rPr>
              <w:t>37</w:t>
            </w:r>
            <w:r>
              <w:rPr>
                <w:rFonts w:hint="eastAsia" w:ascii="宋体" w:hAnsi="宋体" w:cs="宋体"/>
                <w:color w:val="auto"/>
                <w:highlight w:val="none"/>
              </w:rPr>
              <w:t>号</w:t>
            </w:r>
          </w:p>
          <w:p>
            <w:pPr>
              <w:ind w:left="1365" w:hanging="1365" w:hangingChars="650"/>
              <w:rPr>
                <w:rFonts w:ascii="宋体" w:hAnsi="宋体" w:cs="宋体"/>
                <w:color w:val="auto"/>
                <w:highlight w:val="none"/>
              </w:rPr>
            </w:pPr>
            <w:r>
              <w:rPr>
                <w:rFonts w:hint="eastAsia" w:ascii="宋体" w:hAnsi="宋体" w:cs="宋体"/>
                <w:color w:val="auto"/>
                <w:highlight w:val="none"/>
              </w:rPr>
              <w:t>批复主要内容：同意公开挂牌转让。</w:t>
            </w:r>
          </w:p>
          <w:p>
            <w:pPr>
              <w:ind w:left="1365" w:hanging="1365" w:hangingChars="650"/>
              <w:rPr>
                <w:rFonts w:ascii="宋体" w:hAnsi="宋体" w:cs="宋体"/>
                <w:color w:val="auto"/>
                <w:highlight w:val="none"/>
              </w:rPr>
            </w:pPr>
            <w:r>
              <w:rPr>
                <w:rFonts w:hint="eastAsia" w:ascii="宋体" w:hAnsi="宋体" w:cs="宋体"/>
                <w:color w:val="auto"/>
                <w:highlight w:val="none"/>
              </w:rPr>
              <w:t>内部决策文件：玉环市国有资产投资经营集团有限公司</w:t>
            </w:r>
            <w:r>
              <w:rPr>
                <w:rFonts w:hint="eastAsia" w:ascii="宋体" w:hAnsi="宋体" w:cs="宋体"/>
                <w:color w:val="auto"/>
                <w:highlight w:val="none"/>
                <w:lang w:val="en-US" w:eastAsia="zh-CN"/>
              </w:rPr>
              <w:t>第一届董事会第二次(临时）会议决议、</w:t>
            </w:r>
            <w:r>
              <w:rPr>
                <w:rFonts w:hint="eastAsia" w:ascii="宋体" w:hAnsi="宋体" w:cs="宋体"/>
                <w:color w:val="auto"/>
                <w:highlight w:val="none"/>
              </w:rPr>
              <w:t>玉环市国有资产投资经营集团</w:t>
            </w:r>
            <w:r>
              <w:rPr>
                <w:rFonts w:hint="eastAsia" w:ascii="宋体" w:hAnsi="宋体" w:cs="宋体"/>
                <w:color w:val="auto"/>
                <w:highlight w:val="none"/>
                <w:lang w:val="en-US" w:eastAsia="zh-CN"/>
              </w:rPr>
              <w:t>有</w:t>
            </w:r>
            <w:r>
              <w:rPr>
                <w:rFonts w:hint="eastAsia" w:ascii="宋体" w:hAnsi="宋体" w:cs="宋体"/>
                <w:color w:val="auto"/>
                <w:highlight w:val="none"/>
              </w:rPr>
              <w:t>限公司</w:t>
            </w:r>
            <w:r>
              <w:rPr>
                <w:rFonts w:hint="eastAsia"/>
                <w:color w:val="auto"/>
                <w:szCs w:val="21"/>
                <w:highlight w:val="none"/>
                <w:lang w:eastAsia="zh-CN"/>
              </w:rPr>
              <w:t>董事会决议批准、</w:t>
            </w:r>
            <w:r>
              <w:rPr>
                <w:rFonts w:hint="eastAsia" w:ascii="宋体" w:hAnsi="宋体" w:cs="宋体"/>
                <w:color w:val="auto"/>
                <w:szCs w:val="21"/>
                <w:highlight w:val="none"/>
                <w:lang w:eastAsia="zh-CN"/>
              </w:rPr>
              <w:t>台州美标水泥有限公司</w:t>
            </w:r>
            <w:r>
              <w:rPr>
                <w:rFonts w:hint="eastAsia" w:ascii="宋体" w:hAnsi="宋体" w:cs="宋体"/>
                <w:color w:val="auto"/>
                <w:szCs w:val="21"/>
                <w:highlight w:val="none"/>
                <w:lang w:val="en-US" w:eastAsia="zh-CN"/>
              </w:rPr>
              <w:t>临时股东会议决议</w:t>
            </w:r>
            <w:r>
              <w:rPr>
                <w:rFonts w:hint="eastAsia" w:ascii="宋体" w:hAnsi="宋体" w:cs="宋体"/>
                <w:color w:val="auto"/>
                <w:highlight w:val="none"/>
              </w:rPr>
              <w:t>。</w:t>
            </w:r>
          </w:p>
          <w:p>
            <w:pPr>
              <w:ind w:left="1365" w:hanging="1365" w:hangingChars="650"/>
              <w:rPr>
                <w:rFonts w:ascii="宋体" w:hAnsi="宋体" w:cs="宋体"/>
                <w:color w:val="auto"/>
                <w:highlight w:val="none"/>
              </w:rPr>
            </w:pPr>
            <w:r>
              <w:rPr>
                <w:rFonts w:hint="eastAsia" w:ascii="宋体" w:hAnsi="宋体" w:cs="宋体"/>
                <w:color w:val="auto"/>
                <w:highlight w:val="none"/>
              </w:rPr>
              <w:t xml:space="preserve">内部决策文件主要内容：同意转让股权。 </w:t>
            </w:r>
          </w:p>
        </w:tc>
      </w:tr>
      <w:bookmarkEnd w:id="41"/>
    </w:tbl>
    <w:tbl>
      <w:tblPr>
        <w:tblStyle w:val="9"/>
        <w:tblpPr w:leftFromText="180" w:rightFromText="180" w:vertAnchor="text" w:horzAnchor="page" w:tblpX="1577" w:tblpY="308"/>
        <w:tblOverlap w:val="never"/>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3501"/>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dxa"/>
            <w:vMerge w:val="restart"/>
            <w:noWrap w:val="0"/>
            <w:vAlign w:val="center"/>
          </w:tcPr>
          <w:p>
            <w:pPr>
              <w:ind w:firstLine="0" w:firstLineChars="0"/>
              <w:jc w:val="center"/>
              <w:rPr>
                <w:rFonts w:ascii="宋体" w:hAnsi="宋体" w:cs="宋体"/>
                <w:b/>
                <w:color w:val="auto"/>
                <w:szCs w:val="21"/>
                <w:highlight w:val="none"/>
              </w:rPr>
            </w:pPr>
            <w:bookmarkStart w:id="42" w:name="待定22" w:colFirst="1" w:colLast="2"/>
            <w:r>
              <w:rPr>
                <w:rFonts w:hint="eastAsia" w:ascii="宋体" w:hAnsi="宋体" w:cs="宋体"/>
                <w:b/>
                <w:color w:val="auto"/>
                <w:szCs w:val="21"/>
                <w:highlight w:val="none"/>
              </w:rPr>
              <w:t>中介机构</w:t>
            </w:r>
          </w:p>
        </w:tc>
        <w:tc>
          <w:tcPr>
            <w:tcW w:w="3501" w:type="dxa"/>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律 师 事 务 所</w:t>
            </w:r>
          </w:p>
        </w:tc>
        <w:tc>
          <w:tcPr>
            <w:tcW w:w="4350" w:type="dxa"/>
            <w:noWrap w:val="0"/>
            <w:vAlign w:val="center"/>
          </w:tcPr>
          <w:p>
            <w:pPr>
              <w:ind w:firstLine="42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浙江法校（玉环）律师事务所</w:t>
            </w:r>
          </w:p>
        </w:tc>
      </w:tr>
      <w:bookmarkEnd w:id="4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dxa"/>
            <w:vMerge w:val="continue"/>
            <w:noWrap w:val="0"/>
            <w:vAlign w:val="center"/>
          </w:tcPr>
          <w:p>
            <w:pPr>
              <w:ind w:firstLine="422"/>
              <w:jc w:val="center"/>
              <w:rPr>
                <w:rFonts w:ascii="宋体" w:hAnsi="宋体" w:cs="宋体"/>
                <w:b/>
                <w:color w:val="auto"/>
                <w:szCs w:val="21"/>
                <w:highlight w:val="none"/>
              </w:rPr>
            </w:pPr>
          </w:p>
        </w:tc>
        <w:tc>
          <w:tcPr>
            <w:tcW w:w="3501" w:type="dxa"/>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会 计 师 事 务 所</w:t>
            </w:r>
          </w:p>
        </w:tc>
        <w:tc>
          <w:tcPr>
            <w:tcW w:w="4350" w:type="dxa"/>
            <w:noWrap w:val="0"/>
            <w:vAlign w:val="center"/>
          </w:tcPr>
          <w:p>
            <w:pPr>
              <w:ind w:firstLine="0" w:firstLineChars="0"/>
              <w:jc w:val="center"/>
              <w:rPr>
                <w:rFonts w:ascii="宋体" w:hAnsi="宋体"/>
                <w:color w:val="auto"/>
                <w:szCs w:val="21"/>
                <w:highlight w:val="none"/>
              </w:rPr>
            </w:pPr>
            <w:r>
              <w:rPr>
                <w:rFonts w:hint="eastAsia" w:ascii="宋体" w:hAnsi="宋体"/>
                <w:color w:val="auto"/>
                <w:szCs w:val="21"/>
                <w:highlight w:val="none"/>
              </w:rPr>
              <w:t>台州宏诚会计师事务所有限公司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dxa"/>
            <w:vMerge w:val="continue"/>
            <w:noWrap w:val="0"/>
            <w:vAlign w:val="center"/>
          </w:tcPr>
          <w:p>
            <w:pPr>
              <w:ind w:firstLine="422"/>
              <w:jc w:val="center"/>
              <w:rPr>
                <w:rFonts w:ascii="宋体" w:hAnsi="宋体" w:cs="宋体"/>
                <w:b/>
                <w:color w:val="auto"/>
                <w:szCs w:val="21"/>
                <w:highlight w:val="none"/>
              </w:rPr>
            </w:pPr>
          </w:p>
        </w:tc>
        <w:tc>
          <w:tcPr>
            <w:tcW w:w="3501" w:type="dxa"/>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事 务 所</w:t>
            </w:r>
          </w:p>
        </w:tc>
        <w:tc>
          <w:tcPr>
            <w:tcW w:w="4350" w:type="dxa"/>
            <w:noWrap w:val="0"/>
            <w:vAlign w:val="center"/>
          </w:tcPr>
          <w:p>
            <w:pPr>
              <w:ind w:firstLine="0" w:firstLineChars="0"/>
              <w:jc w:val="center"/>
              <w:rPr>
                <w:rFonts w:ascii="宋体" w:hAnsi="宋体"/>
                <w:color w:val="auto"/>
                <w:szCs w:val="21"/>
                <w:highlight w:val="none"/>
              </w:rPr>
            </w:pPr>
            <w:r>
              <w:rPr>
                <w:rFonts w:hint="eastAsia" w:ascii="宋体" w:hAnsi="宋体"/>
                <w:color w:val="auto"/>
                <w:szCs w:val="21"/>
                <w:highlight w:val="none"/>
              </w:rPr>
              <w:t>台州宏诚资产评估事务所（普通合伙）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dxa"/>
            <w:vMerge w:val="continue"/>
            <w:noWrap w:val="0"/>
            <w:vAlign w:val="center"/>
          </w:tcPr>
          <w:p>
            <w:pPr>
              <w:ind w:firstLine="422"/>
              <w:jc w:val="center"/>
              <w:rPr>
                <w:rFonts w:ascii="宋体" w:hAnsi="宋体" w:cs="宋体"/>
                <w:b/>
                <w:color w:val="auto"/>
                <w:szCs w:val="21"/>
                <w:highlight w:val="none"/>
              </w:rPr>
            </w:pPr>
          </w:p>
        </w:tc>
        <w:tc>
          <w:tcPr>
            <w:tcW w:w="3501" w:type="dxa"/>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基 准 日</w:t>
            </w:r>
          </w:p>
        </w:tc>
        <w:tc>
          <w:tcPr>
            <w:tcW w:w="4350" w:type="dxa"/>
            <w:noWrap w:val="0"/>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dxa"/>
            <w:vMerge w:val="continue"/>
            <w:noWrap w:val="0"/>
            <w:vAlign w:val="center"/>
          </w:tcPr>
          <w:p>
            <w:pPr>
              <w:ind w:firstLine="422"/>
              <w:jc w:val="center"/>
              <w:rPr>
                <w:rFonts w:ascii="宋体" w:hAnsi="宋体" w:cs="宋体"/>
                <w:b/>
                <w:color w:val="auto"/>
                <w:szCs w:val="21"/>
                <w:highlight w:val="none"/>
              </w:rPr>
            </w:pPr>
          </w:p>
        </w:tc>
        <w:tc>
          <w:tcPr>
            <w:tcW w:w="3501" w:type="dxa"/>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评估核准（备案）机构</w:t>
            </w:r>
          </w:p>
        </w:tc>
        <w:tc>
          <w:tcPr>
            <w:tcW w:w="4350" w:type="dxa"/>
            <w:noWrap w:val="0"/>
            <w:vAlign w:val="center"/>
          </w:tcPr>
          <w:p>
            <w:pPr>
              <w:ind w:left="0" w:leftChars="0" w:firstLine="0" w:firstLineChars="0"/>
              <w:jc w:val="center"/>
              <w:rPr>
                <w:rFonts w:hint="eastAsia" w:ascii="宋体" w:hAnsi="宋体" w:cs="宋体"/>
                <w:color w:val="auto"/>
                <w:szCs w:val="21"/>
                <w:highlight w:val="none"/>
              </w:rPr>
            </w:pPr>
            <w:r>
              <w:rPr>
                <w:rFonts w:hint="eastAsia" w:ascii="宋体" w:hAnsi="宋体" w:cs="宋体"/>
                <w:color w:val="auto"/>
                <w:szCs w:val="21"/>
                <w:highlight w:val="none"/>
              </w:rPr>
              <w:t>玉环市人民政府国有资产监督管理办公室</w:t>
            </w:r>
          </w:p>
          <w:p>
            <w:pPr>
              <w:ind w:firstLine="420"/>
              <w:jc w:val="center"/>
              <w:rPr>
                <w:rFonts w:ascii="宋体" w:hAnsi="宋体" w:cs="宋体"/>
                <w:color w:val="auto"/>
                <w:szCs w:val="21"/>
                <w:highlight w:val="none"/>
              </w:rPr>
            </w:pPr>
            <w:r>
              <w:rPr>
                <w:rFonts w:hint="eastAsia" w:ascii="宋体" w:hAnsi="宋体" w:cs="宋体"/>
                <w:color w:val="auto"/>
                <w:szCs w:val="21"/>
                <w:highlight w:val="none"/>
              </w:rPr>
              <w:t>核准□  备案</w:t>
            </w:r>
            <w:r>
              <w:rPr>
                <w:rFonts w:hint="eastAsia" w:ascii="宋体" w:hAnsi="宋体" w:cs="宋体"/>
                <w:color w:val="auto"/>
                <w:szCs w:val="21"/>
                <w:highlight w:val="none"/>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1" w:type="dxa"/>
            <w:noWrap w:val="0"/>
            <w:vAlign w:val="center"/>
          </w:tcPr>
          <w:p>
            <w:pPr>
              <w:ind w:firstLine="0" w:firstLineChars="0"/>
              <w:jc w:val="center"/>
              <w:rPr>
                <w:rFonts w:ascii="宋体" w:hAnsi="宋体" w:cs="宋体"/>
                <w:b/>
                <w:color w:val="auto"/>
                <w:szCs w:val="21"/>
                <w:highlight w:val="none"/>
              </w:rPr>
            </w:pPr>
            <w:bookmarkStart w:id="43" w:name="待定12" w:colFirst="1" w:colLast="1"/>
            <w:r>
              <w:rPr>
                <w:rFonts w:hint="eastAsia" w:ascii="宋体" w:hAnsi="宋体" w:cs="宋体"/>
                <w:b/>
                <w:color w:val="auto"/>
                <w:szCs w:val="21"/>
                <w:highlight w:val="none"/>
              </w:rPr>
              <w:t>对受让方的要求</w:t>
            </w:r>
          </w:p>
        </w:tc>
        <w:tc>
          <w:tcPr>
            <w:tcW w:w="7851" w:type="dxa"/>
            <w:gridSpan w:val="2"/>
            <w:noWrap w:val="0"/>
            <w:vAlign w:val="center"/>
          </w:tcPr>
          <w:p>
            <w:pPr>
              <w:ind w:firstLine="0" w:firstLineChars="0"/>
              <w:jc w:val="left"/>
              <w:rPr>
                <w:rFonts w:ascii="宋体" w:hAnsi="宋体" w:cs="宋体"/>
                <w:color w:val="auto"/>
                <w:sz w:val="21"/>
                <w:szCs w:val="21"/>
                <w:highlight w:val="none"/>
              </w:rPr>
            </w:pPr>
            <w:r>
              <w:rPr>
                <w:rFonts w:hint="eastAsia" w:ascii="宋体" w:hAnsi="宋体" w:cs="宋体"/>
                <w:color w:val="auto"/>
                <w:sz w:val="21"/>
                <w:szCs w:val="21"/>
                <w:highlight w:val="none"/>
              </w:rPr>
              <w:t>（1）具有良好的商业信用及支付能力的境内企业</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其他组织</w:t>
            </w:r>
            <w:r>
              <w:rPr>
                <w:rFonts w:hint="eastAsia" w:ascii="宋体" w:hAnsi="宋体" w:cs="宋体"/>
                <w:color w:val="auto"/>
                <w:sz w:val="21"/>
                <w:szCs w:val="21"/>
                <w:highlight w:val="none"/>
                <w:lang w:eastAsia="zh-CN"/>
              </w:rPr>
              <w:t>或自然人</w:t>
            </w:r>
            <w:r>
              <w:rPr>
                <w:rFonts w:hint="eastAsia" w:ascii="宋体" w:hAnsi="宋体" w:cs="宋体"/>
                <w:color w:val="auto"/>
                <w:sz w:val="21"/>
                <w:szCs w:val="21"/>
                <w:highlight w:val="none"/>
              </w:rPr>
              <w:t>。</w:t>
            </w:r>
          </w:p>
          <w:p>
            <w:pPr>
              <w:ind w:firstLine="0" w:firstLineChars="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（2）意向</w:t>
            </w:r>
            <w:r>
              <w:rPr>
                <w:rFonts w:hint="eastAsia" w:ascii="宋体" w:hAnsi="宋体" w:cs="宋体"/>
                <w:color w:val="auto"/>
                <w:sz w:val="21"/>
                <w:szCs w:val="21"/>
                <w:highlight w:val="none"/>
                <w:lang w:val="en-US" w:eastAsia="zh-CN"/>
              </w:rPr>
              <w:t>竞买人</w:t>
            </w:r>
            <w:r>
              <w:rPr>
                <w:rFonts w:hint="eastAsia" w:ascii="宋体" w:hAnsi="宋体" w:cs="宋体"/>
                <w:color w:val="auto"/>
                <w:sz w:val="21"/>
                <w:szCs w:val="21"/>
                <w:highlight w:val="none"/>
              </w:rPr>
              <w:t>承诺</w:t>
            </w:r>
            <w:r>
              <w:rPr>
                <w:rFonts w:hint="eastAsia" w:ascii="宋体" w:hAnsi="宋体" w:cs="宋体"/>
                <w:color w:val="auto"/>
                <w:sz w:val="21"/>
                <w:szCs w:val="21"/>
                <w:highlight w:val="none"/>
                <w:lang w:val="en-US" w:eastAsia="zh-CN"/>
              </w:rPr>
              <w:t>对</w:t>
            </w:r>
            <w:r>
              <w:rPr>
                <w:rFonts w:hint="eastAsia" w:ascii="宋体" w:hAnsi="宋体" w:cs="宋体"/>
                <w:color w:val="auto"/>
                <w:sz w:val="21"/>
                <w:szCs w:val="21"/>
                <w:highlight w:val="none"/>
                <w:lang w:eastAsia="zh-CN"/>
              </w:rPr>
              <w:t>美标公司</w:t>
            </w:r>
            <w:r>
              <w:rPr>
                <w:rFonts w:hint="eastAsia" w:ascii="宋体" w:hAnsi="宋体" w:cs="宋体"/>
                <w:color w:val="auto"/>
                <w:sz w:val="21"/>
                <w:szCs w:val="21"/>
                <w:highlight w:val="none"/>
              </w:rPr>
              <w:t>已订立的所有合同（包括书面及非书面）继续履行。</w:t>
            </w:r>
          </w:p>
          <w:p>
            <w:pPr>
              <w:ind w:firstLine="0" w:firstLineChars="0"/>
              <w:jc w:val="left"/>
              <w:rPr>
                <w:rFonts w:ascii="宋体" w:hAnsi="宋体" w:cs="宋体"/>
                <w:color w:val="auto"/>
                <w:sz w:val="18"/>
                <w:szCs w:val="18"/>
                <w:highlight w:val="none"/>
              </w:rPr>
            </w:pPr>
            <w:r>
              <w:rPr>
                <w:rFonts w:hint="eastAsia" w:ascii="宋体" w:hAnsi="宋体" w:cs="宋体"/>
                <w:color w:val="auto"/>
                <w:sz w:val="21"/>
                <w:szCs w:val="21"/>
                <w:highlight w:val="none"/>
              </w:rPr>
              <w:t>（3）本项目不接受联合体摘牌。</w:t>
            </w:r>
          </w:p>
        </w:tc>
      </w:tr>
      <w:bookmarkEnd w:id="43"/>
    </w:tbl>
    <w:p>
      <w:pPr>
        <w:ind w:firstLine="422"/>
        <w:rPr>
          <w:rFonts w:ascii="宋体" w:hAnsi="宋体" w:cs="宋体"/>
          <w:b/>
          <w:color w:val="auto"/>
          <w:szCs w:val="21"/>
          <w:highlight w:val="none"/>
        </w:rPr>
      </w:pPr>
    </w:p>
    <w:p>
      <w:pPr>
        <w:ind w:firstLine="0" w:firstLineChars="0"/>
        <w:jc w:val="center"/>
        <w:rPr>
          <w:rFonts w:hint="eastAsia" w:ascii="黑体" w:eastAsia="黑体"/>
          <w:b/>
          <w:color w:val="auto"/>
          <w:spacing w:val="12"/>
          <w:sz w:val="36"/>
          <w:szCs w:val="36"/>
          <w:highlight w:val="none"/>
        </w:rPr>
      </w:pPr>
    </w:p>
    <w:p>
      <w:pPr>
        <w:ind w:firstLine="0" w:firstLineChars="0"/>
        <w:jc w:val="center"/>
        <w:rPr>
          <w:rFonts w:hint="eastAsia" w:ascii="黑体" w:eastAsia="黑体"/>
          <w:b/>
          <w:color w:val="auto"/>
          <w:spacing w:val="12"/>
          <w:sz w:val="36"/>
          <w:szCs w:val="36"/>
          <w:highlight w:val="none"/>
        </w:rPr>
        <w:sectPr>
          <w:pgSz w:w="11906" w:h="16838"/>
          <w:pgMar w:top="1701" w:right="1474" w:bottom="1701" w:left="1587" w:header="851" w:footer="992" w:gutter="0"/>
          <w:pgNumType w:fmt="numberInDash"/>
          <w:cols w:space="425" w:num="1"/>
          <w:docGrid w:type="lines" w:linePitch="312" w:charSpace="0"/>
        </w:sectPr>
      </w:pPr>
    </w:p>
    <w:p>
      <w:pPr>
        <w:ind w:firstLine="0" w:firstLineChars="0"/>
        <w:jc w:val="center"/>
        <w:rPr>
          <w:rFonts w:hint="eastAsia"/>
          <w:color w:val="auto"/>
          <w:sz w:val="36"/>
          <w:szCs w:val="36"/>
          <w:highlight w:val="none"/>
        </w:rPr>
      </w:pPr>
      <w:r>
        <w:rPr>
          <w:rFonts w:hint="eastAsia" w:ascii="黑体" w:eastAsia="黑体"/>
          <w:b/>
          <w:color w:val="auto"/>
          <w:spacing w:val="12"/>
          <w:sz w:val="36"/>
          <w:szCs w:val="36"/>
          <w:highlight w:val="none"/>
        </w:rPr>
        <w:t>台州市产权交易所有限公司</w:t>
      </w:r>
      <w:r>
        <w:rPr>
          <w:rFonts w:hint="eastAsia"/>
          <w:color w:val="auto"/>
          <w:highlight w:val="none"/>
        </w:rPr>
        <w:br w:type="textWrapping"/>
      </w:r>
      <w:r>
        <w:rPr>
          <w:rFonts w:hint="eastAsia" w:ascii="黑体" w:eastAsia="黑体"/>
          <w:b/>
          <w:color w:val="auto"/>
          <w:spacing w:val="12"/>
          <w:sz w:val="36"/>
          <w:szCs w:val="36"/>
          <w:highlight w:val="none"/>
        </w:rPr>
        <w:t>简  介</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台州市产权交易所有限公司为全市各类国有资本的流动、国企采购、非上市民营企业的产权转让、公共资源交易以及其他各类产权交易提供服务。</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台州市产权交易所有限公司的业务领域为：</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1.</w:t>
      </w:r>
      <w:r>
        <w:rPr>
          <w:rFonts w:hint="eastAsia" w:ascii="宋体" w:hAnsi="宋体"/>
          <w:color w:val="auto"/>
          <w:sz w:val="24"/>
          <w:highlight w:val="none"/>
        </w:rPr>
        <w:t>国有企业、企事业单位的国有产权转让服务（股权、房屋、设备、债权、知识产权等）</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2.</w:t>
      </w:r>
      <w:r>
        <w:rPr>
          <w:rFonts w:hint="eastAsia" w:ascii="宋体" w:hAnsi="宋体"/>
          <w:color w:val="auto"/>
          <w:sz w:val="24"/>
          <w:highlight w:val="none"/>
        </w:rPr>
        <w:t>各类企业增资服务</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r>
        <w:rPr>
          <w:rFonts w:hint="eastAsia" w:ascii="宋体" w:hAnsi="宋体"/>
          <w:color w:val="auto"/>
          <w:sz w:val="24"/>
          <w:highlight w:val="none"/>
        </w:rPr>
        <w:t>非上市民营企业的产权转让服务（股权、房屋、设备、债权、知识产权等）</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4.</w:t>
      </w:r>
      <w:r>
        <w:rPr>
          <w:rFonts w:hint="eastAsia" w:ascii="宋体" w:hAnsi="宋体"/>
          <w:color w:val="auto"/>
          <w:sz w:val="24"/>
          <w:highlight w:val="none"/>
        </w:rPr>
        <w:t>房屋租赁服务</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5.</w:t>
      </w:r>
      <w:r>
        <w:rPr>
          <w:rFonts w:hint="eastAsia" w:ascii="宋体" w:hAnsi="宋体"/>
          <w:color w:val="auto"/>
          <w:sz w:val="24"/>
          <w:highlight w:val="none"/>
        </w:rPr>
        <w:t>国企采购服务</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6.</w:t>
      </w:r>
      <w:r>
        <w:rPr>
          <w:rFonts w:hint="eastAsia" w:ascii="宋体" w:hAnsi="宋体"/>
          <w:color w:val="auto"/>
          <w:sz w:val="24"/>
          <w:highlight w:val="none"/>
        </w:rPr>
        <w:t>招商引资服务</w:t>
      </w:r>
      <w:r>
        <w:rPr>
          <w:rFonts w:hint="eastAsia" w:ascii="宋体" w:hAnsi="宋体"/>
          <w:color w:val="auto"/>
          <w:sz w:val="24"/>
          <w:highlight w:val="none"/>
          <w:lang w:eastAsia="zh-CN"/>
        </w:rPr>
        <w:t>；</w:t>
      </w:r>
    </w:p>
    <w:p>
      <w:pPr>
        <w:spacing w:line="348" w:lineRule="auto"/>
        <w:ind w:firstLine="480"/>
        <w:rPr>
          <w:rFonts w:hint="eastAsia" w:ascii="宋体" w:hAnsi="宋体"/>
          <w:color w:val="auto"/>
          <w:sz w:val="24"/>
          <w:highlight w:val="none"/>
          <w:lang w:eastAsia="zh-CN"/>
        </w:rPr>
      </w:pPr>
      <w:r>
        <w:rPr>
          <w:rFonts w:hint="eastAsia" w:ascii="宋体" w:hAnsi="宋体"/>
          <w:color w:val="auto"/>
          <w:sz w:val="24"/>
          <w:highlight w:val="none"/>
          <w:lang w:val="en-US" w:eastAsia="zh-CN"/>
        </w:rPr>
        <w:t>7.</w:t>
      </w:r>
      <w:r>
        <w:rPr>
          <w:rFonts w:hint="eastAsia" w:ascii="宋体" w:hAnsi="宋体"/>
          <w:color w:val="auto"/>
          <w:sz w:val="24"/>
          <w:highlight w:val="none"/>
        </w:rPr>
        <w:t>项目合作及投融资服务</w:t>
      </w:r>
      <w:r>
        <w:rPr>
          <w:rFonts w:hint="eastAsia" w:ascii="宋体" w:hAnsi="宋体"/>
          <w:color w:val="auto"/>
          <w:sz w:val="24"/>
          <w:highlight w:val="none"/>
          <w:lang w:eastAsia="zh-CN"/>
        </w:rPr>
        <w:t>；</w:t>
      </w:r>
    </w:p>
    <w:p>
      <w:pPr>
        <w:numPr>
          <w:ilvl w:val="0"/>
          <w:numId w:val="0"/>
        </w:numPr>
        <w:spacing w:line="348" w:lineRule="auto"/>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8.</w:t>
      </w:r>
      <w:r>
        <w:rPr>
          <w:rFonts w:hint="eastAsia" w:ascii="宋体" w:hAnsi="宋体"/>
          <w:color w:val="auto"/>
          <w:sz w:val="24"/>
          <w:highlight w:val="none"/>
        </w:rPr>
        <w:t>各种相关的培训、咨询业务。</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台州市产权交易所通过对产权交易的成功运作，事实证明产权“阳光交易”，程序规范化，操作市场化，</w:t>
      </w:r>
      <w:r>
        <w:rPr>
          <w:rFonts w:hint="eastAsia" w:ascii="宋体" w:hAnsi="宋体"/>
          <w:color w:val="auto"/>
          <w:sz w:val="24"/>
          <w:highlight w:val="none"/>
          <w:lang w:val="en-US" w:eastAsia="zh-CN"/>
        </w:rPr>
        <w:t>能</w:t>
      </w:r>
      <w:r>
        <w:rPr>
          <w:rFonts w:hint="eastAsia" w:ascii="宋体" w:hAnsi="宋体"/>
          <w:color w:val="auto"/>
          <w:sz w:val="24"/>
          <w:highlight w:val="none"/>
        </w:rPr>
        <w:t>更好地满足企业在资产盘活、增资扩股、资源引进、融资等多方面的需求</w:t>
      </w:r>
      <w:r>
        <w:rPr>
          <w:rFonts w:hint="eastAsia" w:ascii="宋体" w:hAnsi="宋体"/>
          <w:color w:val="auto"/>
          <w:sz w:val="24"/>
          <w:highlight w:val="none"/>
          <w:lang w:eastAsia="zh-CN"/>
        </w:rPr>
        <w:t>，</w:t>
      </w:r>
      <w:r>
        <w:rPr>
          <w:rFonts w:hint="eastAsia" w:ascii="宋体" w:hAnsi="宋体"/>
          <w:color w:val="auto"/>
          <w:sz w:val="24"/>
          <w:highlight w:val="none"/>
        </w:rPr>
        <w:t>实现国有资产的保值增值。</w:t>
      </w:r>
    </w:p>
    <w:p>
      <w:pPr>
        <w:spacing w:line="348" w:lineRule="auto"/>
        <w:ind w:firstLine="480"/>
        <w:rPr>
          <w:color w:val="auto"/>
        </w:rPr>
      </w:pPr>
      <w:r>
        <w:rPr>
          <w:rFonts w:hint="eastAsia" w:ascii="宋体" w:hAnsi="宋体"/>
          <w:color w:val="auto"/>
          <w:sz w:val="24"/>
          <w:highlight w:val="none"/>
        </w:rPr>
        <w:t>台州市产权交易所有限公司位于台州市市府大道777号浙江民泰商业银行五楼，邮编：318000，电话：0576-88685180，传真：0576-88685177，网址:www.tzpre.com。</w:t>
      </w:r>
    </w:p>
    <w:p>
      <w:pPr>
        <w:keepNext w:val="0"/>
        <w:keepLines w:val="0"/>
        <w:pageBreakBefore w:val="0"/>
        <w:widowControl w:val="0"/>
        <w:kinsoku/>
        <w:wordWrap/>
        <w:overflowPunct/>
        <w:topLinePunct w:val="0"/>
        <w:autoSpaceDE/>
        <w:autoSpaceDN/>
        <w:bidi w:val="0"/>
        <w:adjustRightInd/>
        <w:snapToGrid/>
        <w:spacing w:line="336" w:lineRule="auto"/>
        <w:ind w:firstLine="0" w:firstLineChars="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附件：宏诚</w:t>
      </w:r>
      <w:r>
        <w:rPr>
          <w:rFonts w:hint="eastAsia" w:ascii="黑体" w:hAnsi="黑体" w:eastAsia="黑体" w:cs="黑体"/>
          <w:color w:val="auto"/>
          <w:sz w:val="32"/>
          <w:szCs w:val="32"/>
        </w:rPr>
        <w:t>评报</w:t>
      </w:r>
      <w:r>
        <w:rPr>
          <w:rFonts w:hint="eastAsia" w:ascii="黑体" w:hAnsi="黑体" w:eastAsia="黑体" w:cs="黑体"/>
          <w:color w:val="auto"/>
          <w:sz w:val="32"/>
          <w:szCs w:val="32"/>
          <w:lang w:val="en-US" w:eastAsia="zh-CN"/>
        </w:rPr>
        <w:t>字</w:t>
      </w:r>
      <w:r>
        <w:rPr>
          <w:rFonts w:hint="eastAsia" w:ascii="黑体" w:hAnsi="黑体" w:eastAsia="黑体" w:cs="黑体"/>
          <w:color w:val="auto"/>
          <w:sz w:val="32"/>
          <w:szCs w:val="32"/>
        </w:rPr>
        <w:t>[2021]第0</w:t>
      </w:r>
      <w:r>
        <w:rPr>
          <w:rFonts w:hint="eastAsia" w:ascii="黑体" w:hAnsi="黑体" w:eastAsia="黑体" w:cs="黑体"/>
          <w:color w:val="auto"/>
          <w:sz w:val="32"/>
          <w:szCs w:val="32"/>
          <w:lang w:val="en-US" w:eastAsia="zh-CN"/>
        </w:rPr>
        <w:t>38</w:t>
      </w:r>
      <w:r>
        <w:rPr>
          <w:rFonts w:hint="eastAsia" w:ascii="黑体" w:hAnsi="黑体" w:eastAsia="黑体" w:cs="黑体"/>
          <w:color w:val="auto"/>
          <w:sz w:val="32"/>
          <w:szCs w:val="32"/>
        </w:rPr>
        <w:t>号评估报告</w:t>
      </w:r>
      <w:r>
        <w:rPr>
          <w:rFonts w:hint="eastAsia" w:ascii="黑体" w:hAnsi="黑体" w:eastAsia="黑体" w:cs="黑体"/>
          <w:color w:val="auto"/>
          <w:sz w:val="32"/>
          <w:szCs w:val="32"/>
          <w:lang w:val="en-US" w:eastAsia="zh-CN"/>
        </w:rPr>
        <w:t>中第十一项特别事项说明</w:t>
      </w:r>
    </w:p>
    <w:p>
      <w:pPr>
        <w:spacing w:line="400" w:lineRule="exact"/>
        <w:ind w:firstLine="480" w:firstLineChars="200"/>
        <w:rPr>
          <w:rFonts w:hint="eastAsia" w:ascii="华文楷体" w:hAnsi="华文楷体" w:eastAsia="华文楷体"/>
          <w:b/>
          <w:color w:val="auto"/>
          <w:sz w:val="24"/>
        </w:rPr>
      </w:pPr>
      <w:r>
        <w:rPr>
          <w:rFonts w:hint="eastAsia" w:ascii="华文楷体" w:hAnsi="华文楷体" w:eastAsia="华文楷体"/>
          <w:color w:val="auto"/>
          <w:sz w:val="24"/>
        </w:rPr>
        <w:t>(一)本评估机构及资产评估师于2021年4月1日执行现场调查程序，美标水泥相关负责人能给予配合。</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二)评估报告中涉及的有关权属证明文件及相关资料由委托人玉环市国有资产投资经营集团和被评估单位台州美标水泥有限公司提供，委托人和被评估单位对其提供的有关权属证明文件及相关资料的真实性、合法性承担法律责任。</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(三)本次评估根据被评估</w:t>
      </w:r>
      <w:r>
        <w:rPr>
          <w:rFonts w:ascii="华文楷体" w:hAnsi="华文楷体" w:eastAsia="华文楷体"/>
          <w:color w:val="auto"/>
          <w:sz w:val="24"/>
        </w:rPr>
        <w:t>单位</w:t>
      </w:r>
      <w:r>
        <w:rPr>
          <w:rFonts w:hint="eastAsia" w:ascii="华文楷体" w:hAnsi="华文楷体" w:eastAsia="华文楷体"/>
          <w:color w:val="auto"/>
          <w:sz w:val="24"/>
        </w:rPr>
        <w:t>账面数（已经审计）进行评估。</w:t>
      </w:r>
    </w:p>
    <w:p>
      <w:pPr>
        <w:spacing w:line="400" w:lineRule="exact"/>
        <w:ind w:firstLine="480"/>
        <w:jc w:val="left"/>
        <w:rPr>
          <w:rFonts w:hint="eastAsia" w:ascii="华文楷体" w:hAnsi="华文楷体" w:eastAsia="华文楷体"/>
          <w:color w:val="auto"/>
          <w:sz w:val="24"/>
        </w:rPr>
      </w:pPr>
      <w:r>
        <w:rPr>
          <w:rFonts w:hint="eastAsia" w:ascii="华文楷体" w:hAnsi="华文楷体" w:eastAsia="华文楷体"/>
          <w:color w:val="auto"/>
          <w:sz w:val="24"/>
        </w:rPr>
        <w:t>(四)郑茜持有美标水泥80.0%股权于2021年3月24日经台州市椒江区市场监督管理局变更为玉环市国有资产投资经营集团有限公司持有美标水泥80.0%股权。</w:t>
      </w:r>
    </w:p>
    <w:p>
      <w:pPr>
        <w:spacing w:line="400" w:lineRule="exact"/>
        <w:ind w:firstLine="480"/>
        <w:jc w:val="left"/>
        <w:rPr>
          <w:rFonts w:hint="eastAsia" w:ascii="华文楷体" w:hAnsi="华文楷体" w:eastAsia="华文楷体"/>
          <w:color w:val="auto"/>
          <w:sz w:val="24"/>
        </w:rPr>
      </w:pPr>
      <w:r>
        <w:rPr>
          <w:rFonts w:hint="eastAsia" w:ascii="华文楷体" w:hAnsi="华文楷体" w:eastAsia="华文楷体"/>
          <w:color w:val="auto"/>
          <w:sz w:val="24"/>
        </w:rPr>
        <w:t>(五)美标水泥对台州四强投资200万元，投资比例10.0%。因郑官顺案件事宜涉及，美标水泥对台州四强的投资于2021年3月24日变更为玉环市国有资产投资经营集团有限公司对台州四强投资200万元股权比例10.0%。因此，美标水泥在评估基准日2021年2月28日长期股权投资所代表的权益因3月24日该股权变更丧失对台州四强享有的权益，评估值为0.00元。</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 xml:space="preserve"> (六)土地使用权共1宗，证载土地使用权面积计9506.11平方米(折合约14.26亩)，</w:t>
      </w:r>
      <w:r>
        <w:rPr>
          <w:rFonts w:hint="eastAsia" w:ascii="华文楷体" w:hAnsi="华文楷体" w:eastAsia="华文楷体" w:cs="宋体"/>
          <w:color w:val="auto"/>
          <w:kern w:val="0"/>
          <w:sz w:val="24"/>
        </w:rPr>
        <w:t>位于</w:t>
      </w:r>
      <w:r>
        <w:rPr>
          <w:rFonts w:hint="eastAsia" w:ascii="华文楷体" w:hAnsi="华文楷体" w:eastAsia="华文楷体"/>
          <w:color w:val="auto"/>
          <w:sz w:val="24"/>
        </w:rPr>
        <w:t>椒江区葭沚三山沿江路285号、287号，系椒江区“一江两岸”西部区块。 2017年9月26日，接葭沚街道办事处《通知》，要求在2017年12月底前搬迁。</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(七) “其他应收款”中，“台州市强盛混凝土有限公司”账面余额1,171,177.74元、“台州市椒江美江物资经营部” 账面余额32,530,000.00元 、“台州市万博贸易有限公司” 账面余额7,224,000.00元，“其他—莫灵娟”账面余额305,837.69元线，均系2016年前发生的项目。按照郑官顺要求转出。因郑官顺本人已被司法刑拘丧失人身自由，无法对以上事项进行确认。其中：</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(1)“台州市强盛混凝土有限公司”账面余额1,171,177.74元，经发函至强盛混凝土，已回函确认，本次评估以核实后账面余额确定为评估值；</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(2)“台州市椒江美江物资经营部” 账面余额32,530,000.00元。根据美标水泥出具的“往来账款情况说明”，台州市椒江美江物资经营部等多家经营部均是郑官顺经营企业和个人使用资金时的一个“资金池”，各公司需要资金，均通过这些经营部来调用资金。该账户资金来源为2014年5月9日、13日美标水泥从广发银行分别借入资金2000万元和2500万元，将其中4000万元转至台州市椒江三海建材经营部(财务上挂往来款项)，然后立即于2014年5月9日、12日、13日分笔转到郑官顺个人账户计3550万元(美标水泥财务上未反映)，用于购买台州市广场南路房产，该房产登记在其妻莫灵娟名下。后于2015年1月将台州市椒江三海建材经营部的上述款项过渡至台州市场椒江健标建材经营部，又于2016年底过渡到台州市椒江美江物资经营部。所以台州市椒江美江物资经营部所欠美标水泥款项32,530,000.00元，实质上是郑官顺个人使用了美标公司资金，按照郑官顺要求转入“台州市椒江美江物资经营部”账户，系郑官顺进行资金调度而借用本公司资金往来所致。因郑官顺本人已被司法刑拘丧失人身自由，无法对以上事项进行确认。</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截至评估基准日，“台州市椒江美江物资经营部” 账面余额32,530,000.00元，经发函至“台州市椒江美江物资经营部”，因其公章已被收缴，未予回函；同时实施替代程序，抽查了款项的银行流向，并根据美标水泥出具的“往来账款情况说明”等，本次评估以核实后账面值为评估值。</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(3) “台州市万博贸易有限公司” 账面余额7,224,000.00元。美标水泥在2009年12月8日汇入台州鑫隆典当有限责任公司722.4万元用于对该公司投资占股权比例43%。经发函至万博贸易，未予回函。同时实施替代程序，抽查了美标水泥2016年12月63#凭证记录，根据2016年6月2日《浙江省高务厅行政许可决定书》（浙商务典当许可[2016]第12号）美标水泥将持有的台州鑫隆典当有限责任公司722.4万元占43%股权转让给台州市万博贸易有限公司，至今未收到转让款。并根据美标水泥出具的“往来账款情况说明”等，本次评估以核实后账面值为评估值。</w:t>
      </w:r>
    </w:p>
    <w:p>
      <w:pPr>
        <w:spacing w:line="40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(4)“其他—莫灵娟”账面余额305,837.69元。经查阅账务记录，该车系叶永华于2012年7月6日个人按揭所购，购车发票168万元提供给美标水泥入账，公司先于2012年7月16日向台州力宝行汽车销售服务公司支付111万元，并以莫灵娟（郑官顺妻子）名义按揭，叶永华如期将按揭款本息汇入莫灵娟账户。莫灵娟按揭到期后，美标水泥将车辆余款57万元于2015年12月29日汇入莫灵娟账户，并支付车购税等共计1,884,400.00元。郑官顺被告拘后，实际车辆所有人叶永华于2017年10月12日将该车通过二手车交易评估后以60万元转入罗海刚名下，账面记载收回30万元系莫灵娟家人垫付平账之用，账面挂账30万元未收回。据了解，叶永华已付清购车各款项（含按揭本息）给莫灵娟，该车辆属叶永华个人挂靠美标水泥的车辆。美标水泥为车辆支付1,884,400.00元，账面计提折旧1,827,868.00元，收莫灵娟家人垫付30万元，销售车辆税率3%减征1%计5,825.24元列入营业外收入。美标水泥垫付未收回款项计1,578,574.76元应向莫灵娟收回。</w:t>
      </w:r>
    </w:p>
    <w:p>
      <w:pPr>
        <w:spacing w:line="420" w:lineRule="exact"/>
        <w:rPr>
          <w:rFonts w:hint="eastAsia" w:ascii="华文楷体" w:hAnsi="华文楷体" w:eastAsia="华文楷体"/>
          <w:color w:val="auto"/>
          <w:sz w:val="24"/>
        </w:rPr>
      </w:pPr>
      <w:r>
        <w:rPr>
          <w:rFonts w:hint="eastAsia" w:ascii="华文楷体" w:hAnsi="华文楷体" w:eastAsia="华文楷体"/>
          <w:b/>
          <w:color w:val="auto"/>
          <w:sz w:val="24"/>
        </w:rPr>
        <w:t>　　</w:t>
      </w:r>
      <w:r>
        <w:rPr>
          <w:rFonts w:hint="eastAsia" w:ascii="华文楷体" w:hAnsi="华文楷体" w:eastAsia="华文楷体"/>
          <w:color w:val="auto"/>
          <w:sz w:val="24"/>
        </w:rPr>
        <w:t>(八)“其他应付款”</w:t>
      </w:r>
      <w:r>
        <w:rPr>
          <w:rFonts w:ascii="华文楷体" w:hAnsi="华文楷体" w:eastAsia="华文楷体"/>
          <w:color w:val="auto"/>
          <w:sz w:val="24"/>
        </w:rPr>
        <w:t xml:space="preserve"> </w:t>
      </w:r>
      <w:r>
        <w:rPr>
          <w:rFonts w:hint="eastAsia" w:ascii="华文楷体" w:hAnsi="华文楷体" w:eastAsia="华文楷体"/>
          <w:color w:val="auto"/>
          <w:sz w:val="24"/>
        </w:rPr>
        <w:t>中，(1)台州正坤造地工程有限公司账面余额13,300,000.00元，经发函至正坤造地工程，已回函确认，本次评估以核实后账面余额确定为评估值。(2)台州市强盛建材贸易有限公司账面余额2,040,085.36元。强盛建材贸易系与郑官顺有关联公司，经发函至强盛建材贸易、回函账面挂账应收美标水泥3,540,085.36元，与美标水泥应付款项差异1,500,000.00元。据前期强盛建材贸易财务人员反馈，差异发生在2011年前，因未及时核对拖延至今。目前强盛建材贸易账册等财务资料被公安侦查调走未归还，无法核查。本次评估以美标水泥账面余额确定评估值。(3)莫林富账面余额</w:t>
      </w:r>
      <w:r>
        <w:rPr>
          <w:rFonts w:ascii="华文楷体" w:hAnsi="华文楷体" w:eastAsia="华文楷体"/>
          <w:color w:val="auto"/>
          <w:sz w:val="24"/>
        </w:rPr>
        <w:t>8</w:t>
      </w:r>
      <w:r>
        <w:rPr>
          <w:rFonts w:hint="eastAsia" w:ascii="华文楷体" w:hAnsi="华文楷体" w:eastAsia="华文楷体"/>
          <w:color w:val="auto"/>
          <w:sz w:val="24"/>
        </w:rPr>
        <w:t>,</w:t>
      </w:r>
      <w:r>
        <w:rPr>
          <w:rFonts w:ascii="华文楷体" w:hAnsi="华文楷体" w:eastAsia="华文楷体"/>
          <w:color w:val="auto"/>
          <w:sz w:val="24"/>
        </w:rPr>
        <w:t>600</w:t>
      </w:r>
      <w:r>
        <w:rPr>
          <w:rFonts w:hint="eastAsia" w:ascii="华文楷体" w:hAnsi="华文楷体" w:eastAsia="华文楷体"/>
          <w:color w:val="auto"/>
          <w:sz w:val="24"/>
        </w:rPr>
        <w:t>,</w:t>
      </w:r>
      <w:r>
        <w:rPr>
          <w:rFonts w:ascii="华文楷体" w:hAnsi="华文楷体" w:eastAsia="华文楷体"/>
          <w:color w:val="auto"/>
          <w:sz w:val="24"/>
        </w:rPr>
        <w:t>000</w:t>
      </w:r>
      <w:r>
        <w:rPr>
          <w:rFonts w:hint="eastAsia" w:ascii="华文楷体" w:hAnsi="华文楷体" w:eastAsia="华文楷体"/>
          <w:color w:val="auto"/>
          <w:sz w:val="24"/>
        </w:rPr>
        <w:t>.00元，经发函至莫林富，已回函确认，本次评估以核实后账面余额确定为评估值。</w:t>
      </w:r>
    </w:p>
    <w:p>
      <w:pPr>
        <w:spacing w:line="420" w:lineRule="exact"/>
        <w:ind w:firstLine="480"/>
        <w:jc w:val="left"/>
        <w:rPr>
          <w:rFonts w:hint="eastAsia" w:ascii="华文楷体" w:hAnsi="华文楷体" w:eastAsia="华文楷体"/>
          <w:color w:val="auto"/>
          <w:sz w:val="24"/>
        </w:rPr>
      </w:pPr>
      <w:r>
        <w:rPr>
          <w:rFonts w:hint="eastAsia" w:ascii="华文楷体" w:hAnsi="华文楷体" w:eastAsia="华文楷体"/>
          <w:color w:val="auto"/>
          <w:sz w:val="24"/>
        </w:rPr>
        <w:t>本次评估因上述事项金额的不确定性，未考虑该事项金额对评估结论的影响。</w:t>
      </w:r>
    </w:p>
    <w:p>
      <w:pPr>
        <w:spacing w:line="42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九)本次评估结论是被评估单位股东全部权益价值，股东部分权益价值并不必然等于股东全部权益价值与股权比例的乘积。特提请报告使用者在引用本评估报告结论作为控股权或少数股权交易参考时，需在本评估结论基础上考虑可能存在的控股权和少数股权等因素产生的溢价或折价的影响</w:t>
      </w:r>
    </w:p>
    <w:p>
      <w:pPr>
        <w:spacing w:line="42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十)本次评估对被评估单位可能存在的其他影响评估结论的瑕疵事项，在进行资产评估时被评估单位未作特别说明而评估专业人员根据其执业经验一般不能获取的情况下，评估机构和评估专业人员不承担相关责任。</w:t>
      </w:r>
    </w:p>
    <w:p>
      <w:pPr>
        <w:spacing w:line="42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(十一)本次评估未考虑资产评估增减值可能涉及的纳税准备及因股权资产处置所需缴纳的相关税金和处置费用，委托方在使用本报告时应当仔细考虑税赋问题并按照国家有关规定处理。</w:t>
      </w:r>
    </w:p>
    <w:p>
      <w:pPr>
        <w:spacing w:line="420" w:lineRule="exact"/>
        <w:ind w:firstLine="480" w:firstLineChars="200"/>
        <w:rPr>
          <w:rFonts w:hint="eastAsia" w:ascii="华文楷体" w:hAnsi="华文楷体" w:eastAsia="华文楷体"/>
          <w:color w:val="auto"/>
          <w:sz w:val="24"/>
        </w:rPr>
      </w:pPr>
      <w:r>
        <w:rPr>
          <w:rFonts w:hint="eastAsia" w:ascii="华文楷体" w:hAnsi="华文楷体" w:eastAsia="华文楷体"/>
          <w:color w:val="auto"/>
          <w:sz w:val="24"/>
        </w:rPr>
        <w:t>提请资产评估报告使用人关注上述事项对评估结论和本次经济行为的影响。</w:t>
      </w:r>
    </w:p>
    <w:p>
      <w:pPr>
        <w:keepNext w:val="0"/>
        <w:keepLines w:val="0"/>
        <w:pageBreakBefore w:val="0"/>
        <w:widowControl w:val="0"/>
        <w:kinsoku/>
        <w:wordWrap/>
        <w:overflowPunct/>
        <w:topLinePunct w:val="0"/>
        <w:autoSpaceDE/>
        <w:autoSpaceDN/>
        <w:bidi w:val="0"/>
        <w:adjustRightInd/>
        <w:snapToGrid/>
        <w:spacing w:line="336" w:lineRule="auto"/>
        <w:textAlignment w:val="auto"/>
        <w:rPr>
          <w:rFonts w:hint="default" w:ascii="宋体" w:hAnsi="宋体"/>
          <w:color w:val="auto"/>
          <w:sz w:val="24"/>
          <w:highlight w:val="none"/>
          <w:lang w:val="en-US" w:eastAsia="zh-CN"/>
        </w:rPr>
      </w:pPr>
    </w:p>
    <w:sectPr>
      <w:pgSz w:w="11906" w:h="16838"/>
      <w:pgMar w:top="1701" w:right="1474" w:bottom="170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CF3C52" w:usb2="00000016" w:usb3="00000000" w:csb0="0004001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asciiTheme="minorEastAsia" w:hAnsiTheme="minorEastAsia" w:eastAsiaTheme="minorEastAsia" w:cstheme="minorEastAsia"/>
                              <w:color w:val="auto"/>
                              <w:sz w:val="28"/>
                              <w:szCs w:val="28"/>
                              <w:lang w:eastAsia="zh-CN"/>
                            </w:rPr>
                            <w:fldChar w:fldCharType="begin"/>
                          </w:r>
                          <w:r>
                            <w:rPr>
                              <w:rFonts w:hint="eastAsia" w:asciiTheme="minorEastAsia" w:hAnsiTheme="minorEastAsia" w:eastAsiaTheme="minorEastAsia" w:cstheme="minorEastAsia"/>
                              <w:color w:val="auto"/>
                              <w:sz w:val="28"/>
                              <w:szCs w:val="28"/>
                              <w:lang w:eastAsia="zh-CN"/>
                            </w:rPr>
                            <w:instrText xml:space="preserve"> PAGE  \* MERGEFORMAT </w:instrText>
                          </w:r>
                          <w:r>
                            <w:rPr>
                              <w:rFonts w:hint="eastAsia" w:asciiTheme="minorEastAsia" w:hAnsiTheme="minorEastAsia" w:eastAsiaTheme="minorEastAsia" w:cstheme="minorEastAsia"/>
                              <w:color w:val="auto"/>
                              <w:sz w:val="28"/>
                              <w:szCs w:val="28"/>
                              <w:lang w:eastAsia="zh-CN"/>
                            </w:rPr>
                            <w:fldChar w:fldCharType="separate"/>
                          </w:r>
                          <w:r>
                            <w:rPr>
                              <w:rFonts w:hint="eastAsia" w:asciiTheme="minorEastAsia" w:hAnsiTheme="minorEastAsia" w:eastAsiaTheme="minorEastAsia" w:cstheme="minorEastAsia"/>
                              <w:color w:val="auto"/>
                              <w:sz w:val="28"/>
                              <w:szCs w:val="28"/>
                              <w:lang w:eastAsia="zh-CN"/>
                            </w:rPr>
                            <w:t>2</w:t>
                          </w:r>
                          <w:r>
                            <w:rPr>
                              <w:rFonts w:hint="eastAsia" w:asciiTheme="minorEastAsia" w:hAnsiTheme="minorEastAsia" w:eastAsiaTheme="minorEastAsia" w:cstheme="minorEastAsia"/>
                              <w:color w:val="auto"/>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asciiTheme="minorEastAsia" w:hAnsiTheme="minorEastAsia" w:eastAsiaTheme="minorEastAsia" w:cstheme="minorEastAsia"/>
                        <w:color w:val="auto"/>
                        <w:sz w:val="28"/>
                        <w:szCs w:val="28"/>
                        <w:lang w:eastAsia="zh-CN"/>
                      </w:rPr>
                      <w:fldChar w:fldCharType="begin"/>
                    </w:r>
                    <w:r>
                      <w:rPr>
                        <w:rFonts w:hint="eastAsia" w:asciiTheme="minorEastAsia" w:hAnsiTheme="minorEastAsia" w:eastAsiaTheme="minorEastAsia" w:cstheme="minorEastAsia"/>
                        <w:color w:val="auto"/>
                        <w:sz w:val="28"/>
                        <w:szCs w:val="28"/>
                        <w:lang w:eastAsia="zh-CN"/>
                      </w:rPr>
                      <w:instrText xml:space="preserve"> PAGE  \* MERGEFORMAT </w:instrText>
                    </w:r>
                    <w:r>
                      <w:rPr>
                        <w:rFonts w:hint="eastAsia" w:asciiTheme="minorEastAsia" w:hAnsiTheme="minorEastAsia" w:eastAsiaTheme="minorEastAsia" w:cstheme="minorEastAsia"/>
                        <w:color w:val="auto"/>
                        <w:sz w:val="28"/>
                        <w:szCs w:val="28"/>
                        <w:lang w:eastAsia="zh-CN"/>
                      </w:rPr>
                      <w:fldChar w:fldCharType="separate"/>
                    </w:r>
                    <w:r>
                      <w:rPr>
                        <w:rFonts w:hint="eastAsia" w:asciiTheme="minorEastAsia" w:hAnsiTheme="minorEastAsia" w:eastAsiaTheme="minorEastAsia" w:cstheme="minorEastAsia"/>
                        <w:color w:val="auto"/>
                        <w:sz w:val="28"/>
                        <w:szCs w:val="28"/>
                        <w:lang w:eastAsia="zh-CN"/>
                      </w:rPr>
                      <w:t>2</w:t>
                    </w:r>
                    <w:r>
                      <w:rPr>
                        <w:rFonts w:hint="eastAsia" w:asciiTheme="minorEastAsia" w:hAnsiTheme="minorEastAsia" w:eastAsiaTheme="minorEastAsia" w:cstheme="minorEastAsia"/>
                        <w:color w:val="auto"/>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ACB610"/>
    <w:multiLevelType w:val="singleLevel"/>
    <w:tmpl w:val="ABACB610"/>
    <w:lvl w:ilvl="0" w:tentative="0">
      <w:start w:val="1"/>
      <w:numFmt w:val="chineseCounting"/>
      <w:suff w:val="nothing"/>
      <w:lvlText w:val="%1、"/>
      <w:lvlJc w:val="left"/>
      <w:rPr>
        <w:rFonts w:hint="eastAsia"/>
      </w:rPr>
    </w:lvl>
  </w:abstractNum>
  <w:abstractNum w:abstractNumId="1">
    <w:nsid w:val="C6A7A4A0"/>
    <w:multiLevelType w:val="singleLevel"/>
    <w:tmpl w:val="C6A7A4A0"/>
    <w:lvl w:ilvl="0" w:tentative="0">
      <w:start w:val="2"/>
      <w:numFmt w:val="decimal"/>
      <w:suff w:val="nothing"/>
      <w:lvlText w:val="%1、"/>
      <w:lvlJc w:val="left"/>
    </w:lvl>
  </w:abstractNum>
  <w:abstractNum w:abstractNumId="2">
    <w:nsid w:val="D585185B"/>
    <w:multiLevelType w:val="singleLevel"/>
    <w:tmpl w:val="D585185B"/>
    <w:lvl w:ilvl="0" w:tentative="0">
      <w:start w:val="1"/>
      <w:numFmt w:val="decimal"/>
      <w:lvlText w:val="%1."/>
      <w:lvlJc w:val="left"/>
      <w:pPr>
        <w:ind w:left="425" w:hanging="425"/>
      </w:pPr>
      <w:rPr>
        <w:rFonts w:hint="default"/>
      </w:rPr>
    </w:lvl>
  </w:abstractNum>
  <w:abstractNum w:abstractNumId="3">
    <w:nsid w:val="FBB175B6"/>
    <w:multiLevelType w:val="singleLevel"/>
    <w:tmpl w:val="FBB175B6"/>
    <w:lvl w:ilvl="0" w:tentative="0">
      <w:start w:val="2"/>
      <w:numFmt w:val="chineseCounting"/>
      <w:suff w:val="space"/>
      <w:lvlText w:val="第%1条"/>
      <w:lvlJc w:val="left"/>
      <w:rPr>
        <w:rFonts w:hint="eastAsia"/>
      </w:rPr>
    </w:lvl>
  </w:abstractNum>
  <w:abstractNum w:abstractNumId="4">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4A4A7152"/>
    <w:multiLevelType w:val="singleLevel"/>
    <w:tmpl w:val="4A4A7152"/>
    <w:lvl w:ilvl="0" w:tentative="0">
      <w:start w:val="4"/>
      <w:numFmt w:val="chineseCounting"/>
      <w:suff w:val="nothing"/>
      <w:lvlText w:val="%1、"/>
      <w:lvlJc w:val="left"/>
      <w:rPr>
        <w:rFonts w:hint="eastAsia"/>
      </w:rPr>
    </w:lvl>
  </w:abstractNum>
  <w:abstractNum w:abstractNumId="6">
    <w:nsid w:val="63631DC9"/>
    <w:multiLevelType w:val="multilevel"/>
    <w:tmpl w:val="63631DC9"/>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73B11575"/>
    <w:multiLevelType w:val="multilevel"/>
    <w:tmpl w:val="73B1157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4"/>
  </w:num>
  <w:num w:numId="2">
    <w:abstractNumId w:val="2"/>
  </w:num>
  <w:num w:numId="3">
    <w:abstractNumId w:val="5"/>
  </w:num>
  <w:num w:numId="4">
    <w:abstractNumId w:val="1"/>
  </w:num>
  <w:num w:numId="5">
    <w:abstractNumId w:val="0"/>
  </w:num>
  <w:num w:numId="6">
    <w:abstractNumId w:val="7"/>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2C5D10"/>
    <w:rsid w:val="00470372"/>
    <w:rsid w:val="00605A87"/>
    <w:rsid w:val="01685AF7"/>
    <w:rsid w:val="0170224E"/>
    <w:rsid w:val="02D6035B"/>
    <w:rsid w:val="03E24074"/>
    <w:rsid w:val="068A5993"/>
    <w:rsid w:val="0691258A"/>
    <w:rsid w:val="0ACF0BAC"/>
    <w:rsid w:val="0AE33940"/>
    <w:rsid w:val="0B7504B1"/>
    <w:rsid w:val="0D3967C6"/>
    <w:rsid w:val="0E0D1BBA"/>
    <w:rsid w:val="0E6F102E"/>
    <w:rsid w:val="0FD1141F"/>
    <w:rsid w:val="102C5D10"/>
    <w:rsid w:val="11D32B00"/>
    <w:rsid w:val="1294727F"/>
    <w:rsid w:val="12E96774"/>
    <w:rsid w:val="138534E8"/>
    <w:rsid w:val="13A03AEB"/>
    <w:rsid w:val="14225C64"/>
    <w:rsid w:val="145024B5"/>
    <w:rsid w:val="14DE1746"/>
    <w:rsid w:val="16E4349E"/>
    <w:rsid w:val="17A74645"/>
    <w:rsid w:val="1929365C"/>
    <w:rsid w:val="19865506"/>
    <w:rsid w:val="1B205AEE"/>
    <w:rsid w:val="1C812CBE"/>
    <w:rsid w:val="1D812B67"/>
    <w:rsid w:val="1E2A7F9E"/>
    <w:rsid w:val="1E8E16A4"/>
    <w:rsid w:val="20A306A9"/>
    <w:rsid w:val="20B25632"/>
    <w:rsid w:val="211D009C"/>
    <w:rsid w:val="248D7FA2"/>
    <w:rsid w:val="24C155BB"/>
    <w:rsid w:val="27391C47"/>
    <w:rsid w:val="275A4453"/>
    <w:rsid w:val="277427C9"/>
    <w:rsid w:val="286A41BD"/>
    <w:rsid w:val="2A881EF5"/>
    <w:rsid w:val="2C491D5B"/>
    <w:rsid w:val="2CF72DFA"/>
    <w:rsid w:val="2D3F5027"/>
    <w:rsid w:val="2FD46BE0"/>
    <w:rsid w:val="337B464D"/>
    <w:rsid w:val="34124E23"/>
    <w:rsid w:val="351040A3"/>
    <w:rsid w:val="389C4947"/>
    <w:rsid w:val="38AB7698"/>
    <w:rsid w:val="390C3A65"/>
    <w:rsid w:val="393A648D"/>
    <w:rsid w:val="3E565CBB"/>
    <w:rsid w:val="3EC13D03"/>
    <w:rsid w:val="425C1690"/>
    <w:rsid w:val="43271AF9"/>
    <w:rsid w:val="45F34191"/>
    <w:rsid w:val="47DD4B2F"/>
    <w:rsid w:val="4C0A37D5"/>
    <w:rsid w:val="4CD91A7B"/>
    <w:rsid w:val="4CD9638C"/>
    <w:rsid w:val="4DEE5642"/>
    <w:rsid w:val="4EA95470"/>
    <w:rsid w:val="4EC939B0"/>
    <w:rsid w:val="4FCC37AE"/>
    <w:rsid w:val="4FE84498"/>
    <w:rsid w:val="515F2FBB"/>
    <w:rsid w:val="516412F9"/>
    <w:rsid w:val="51ED13A1"/>
    <w:rsid w:val="542A5155"/>
    <w:rsid w:val="553E60B9"/>
    <w:rsid w:val="57AF0415"/>
    <w:rsid w:val="57D44F14"/>
    <w:rsid w:val="595E5BFE"/>
    <w:rsid w:val="5A77050D"/>
    <w:rsid w:val="5AD24EF5"/>
    <w:rsid w:val="5DCB7713"/>
    <w:rsid w:val="5F8D512B"/>
    <w:rsid w:val="5F952071"/>
    <w:rsid w:val="6051475F"/>
    <w:rsid w:val="62204571"/>
    <w:rsid w:val="637D11C4"/>
    <w:rsid w:val="651D3EF1"/>
    <w:rsid w:val="6639151E"/>
    <w:rsid w:val="66E53E53"/>
    <w:rsid w:val="68635F5C"/>
    <w:rsid w:val="693623B6"/>
    <w:rsid w:val="6B3878AF"/>
    <w:rsid w:val="6B8E4376"/>
    <w:rsid w:val="6D601360"/>
    <w:rsid w:val="723E5384"/>
    <w:rsid w:val="7443464E"/>
    <w:rsid w:val="74F126D2"/>
    <w:rsid w:val="77ED1F3E"/>
    <w:rsid w:val="78F77EE0"/>
    <w:rsid w:val="79214191"/>
    <w:rsid w:val="7E271A86"/>
    <w:rsid w:val="7EAB1513"/>
    <w:rsid w:val="7F855FDB"/>
    <w:rsid w:val="7FFE7D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jc w:val="center"/>
      <w:outlineLvl w:val="0"/>
    </w:pPr>
    <w:rPr>
      <w:b/>
      <w:kern w:val="44"/>
      <w:sz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qFormat/>
    <w:uiPriority w:val="0"/>
    <w:pPr>
      <w:widowControl w:val="0"/>
      <w:spacing w:line="440" w:lineRule="exact"/>
      <w:ind w:firstLine="720" w:firstLineChars="300"/>
      <w:jc w:val="both"/>
    </w:pPr>
    <w:rPr>
      <w:rFonts w:ascii="Times New Roman" w:hAnsi="Times New Roman" w:eastAsia="宋体" w:cs="Times New Roman"/>
      <w:kern w:val="2"/>
      <w:sz w:val="24"/>
      <w:szCs w:val="24"/>
      <w:lang w:val="en-US" w:eastAsia="zh-CN" w:bidi="ar-SA"/>
    </w:rPr>
  </w:style>
  <w:style w:type="paragraph" w:styleId="5">
    <w:name w:val="Plain Text"/>
    <w:basedOn w:val="1"/>
    <w:qFormat/>
    <w:uiPriority w:val="0"/>
    <w:pPr>
      <w:ind w:firstLine="0" w:firstLineChars="0"/>
    </w:pPr>
    <w:rPr>
      <w:rFonts w:ascii="宋体" w:hAnsi="Courier New"/>
    </w:rPr>
  </w:style>
  <w:style w:type="paragraph" w:styleId="6">
    <w:name w:val="footer"/>
    <w:basedOn w:val="1"/>
    <w:qFormat/>
    <w:uiPriority w:val="0"/>
    <w:pPr>
      <w:widowControl w:val="0"/>
      <w:tabs>
        <w:tab w:val="center" w:pos="4153"/>
        <w:tab w:val="right" w:pos="8306"/>
      </w:tabs>
      <w:snapToGrid w:val="0"/>
      <w:ind w:firstLine="200" w:firstLineChars="200"/>
      <w:jc w:val="left"/>
    </w:pPr>
    <w:rPr>
      <w:rFonts w:ascii="Times New Roman" w:hAnsi="Times New Roman" w:eastAsia="宋体" w:cs="Times New Roman"/>
      <w:kern w:val="2"/>
      <w:sz w:val="18"/>
      <w:szCs w:val="24"/>
      <w:lang w:val="en-US" w:eastAsia="zh-CN" w:bidi="ar-SA"/>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39"/>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列表段落1"/>
    <w:qFormat/>
    <w:uiPriority w:val="34"/>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13">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2021-05-25T01:22:00Z</dcterms:created>
  <dc:creator>黄小蕾</dc:creator>
  <cp:lastModifiedBy>多年以后</cp:lastModifiedBy>
  <cp:lastPrinted>2021-09-16T00:47:58Z</cp:lastPrinted>
  <dcterms:modified xsi:type="dcterms:W3CDTF">2021-09-16T00:49:55Z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726F721EEAA84549B6F058CA862E4B48</vt:lpwstr>
  </property>
</Properties>
</file>