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pPr>
    </w:p>
    <w:p>
      <w:pPr>
        <w:adjustRightInd w:val="0"/>
        <w:snapToGrid w:val="0"/>
        <w:spacing w:line="600" w:lineRule="exact"/>
      </w:pPr>
    </w:p>
    <w:p>
      <w:pPr>
        <w:adjustRightInd w:val="0"/>
        <w:snapToGrid w:val="0"/>
        <w:spacing w:line="600" w:lineRule="exact"/>
      </w:pPr>
    </w:p>
    <w:p>
      <w:pPr>
        <w:adjustRightInd w:val="0"/>
        <w:snapToGrid w:val="0"/>
        <w:spacing w:line="600" w:lineRule="exact"/>
        <w:rPr>
          <w:b/>
          <w:bCs/>
          <w:sz w:val="44"/>
          <w:szCs w:val="44"/>
        </w:rPr>
      </w:pPr>
    </w:p>
    <w:p>
      <w:pPr>
        <w:spacing w:line="360" w:lineRule="auto"/>
        <w:jc w:val="center"/>
        <w:rPr>
          <w:rFonts w:ascii="黑体" w:eastAsia="黑体"/>
          <w:b/>
          <w:bCs/>
          <w:spacing w:val="4"/>
          <w:sz w:val="48"/>
          <w:szCs w:val="48"/>
        </w:rPr>
      </w:pPr>
      <w:bookmarkStart w:id="0" w:name="_Hlk527636170"/>
      <w:r>
        <w:rPr>
          <w:rFonts w:hint="eastAsia" w:ascii="黑体" w:eastAsia="黑体"/>
          <w:b/>
          <w:bCs/>
          <w:spacing w:val="4"/>
          <w:sz w:val="48"/>
          <w:szCs w:val="48"/>
        </w:rPr>
        <w:t>北京北航天宇长鹰无人机科技有限公司</w:t>
      </w:r>
    </w:p>
    <w:p>
      <w:pPr>
        <w:spacing w:line="360" w:lineRule="auto"/>
        <w:jc w:val="center"/>
        <w:rPr>
          <w:rFonts w:ascii="黑体" w:eastAsia="黑体"/>
          <w:b/>
          <w:bCs/>
          <w:spacing w:val="4"/>
          <w:sz w:val="48"/>
          <w:szCs w:val="48"/>
        </w:rPr>
      </w:pPr>
      <w:r>
        <w:rPr>
          <w:rFonts w:hint="eastAsia" w:ascii="黑体" w:eastAsia="黑体"/>
          <w:b/>
          <w:bCs/>
          <w:spacing w:val="4"/>
          <w:sz w:val="48"/>
          <w:szCs w:val="48"/>
        </w:rPr>
        <w:t>增资</w:t>
      </w:r>
      <w:bookmarkEnd w:id="0"/>
      <w:r>
        <w:rPr>
          <w:rFonts w:hint="eastAsia" w:ascii="黑体" w:eastAsia="黑体"/>
          <w:b/>
          <w:bCs/>
          <w:spacing w:val="4"/>
          <w:sz w:val="48"/>
          <w:szCs w:val="48"/>
        </w:rPr>
        <w:t>项目</w:t>
      </w:r>
    </w:p>
    <w:p/>
    <w:p/>
    <w:p>
      <w:pPr>
        <w:spacing w:line="360" w:lineRule="auto"/>
        <w:jc w:val="center"/>
        <w:rPr>
          <w:rFonts w:ascii="黑体" w:eastAsia="黑体"/>
          <w:b/>
          <w:spacing w:val="4"/>
          <w:sz w:val="46"/>
          <w:szCs w:val="46"/>
        </w:rPr>
      </w:pPr>
    </w:p>
    <w:p>
      <w:pPr>
        <w:spacing w:line="360" w:lineRule="auto"/>
        <w:jc w:val="center"/>
        <w:rPr>
          <w:rFonts w:ascii="黑体" w:eastAsia="黑体"/>
          <w:b/>
          <w:sz w:val="2"/>
          <w:szCs w:val="52"/>
        </w:rPr>
      </w:pPr>
    </w:p>
    <w:p>
      <w:pPr>
        <w:spacing w:line="360" w:lineRule="auto"/>
        <w:jc w:val="center"/>
        <w:rPr>
          <w:rFonts w:ascii="黑体" w:eastAsia="黑体"/>
          <w:b/>
          <w:sz w:val="68"/>
          <w:szCs w:val="52"/>
        </w:rPr>
      </w:pPr>
      <w:r>
        <w:rPr>
          <w:rFonts w:hint="eastAsia" w:ascii="黑体" w:eastAsia="黑体"/>
          <w:b/>
          <w:sz w:val="68"/>
          <w:szCs w:val="52"/>
        </w:rPr>
        <w:t>增资文件</w:t>
      </w:r>
    </w:p>
    <w:p>
      <w:pPr>
        <w:spacing w:line="360" w:lineRule="auto"/>
        <w:jc w:val="center"/>
        <w:rPr>
          <w:rFonts w:ascii="黑体" w:hAnsi="宋体" w:eastAsia="黑体"/>
          <w:b/>
          <w:sz w:val="32"/>
          <w:szCs w:val="32"/>
        </w:rPr>
      </w:pPr>
    </w:p>
    <w:p>
      <w:pPr>
        <w:spacing w:line="360" w:lineRule="auto"/>
        <w:jc w:val="center"/>
        <w:rPr>
          <w:rFonts w:ascii="黑体" w:hAnsi="宋体" w:eastAsia="黑体"/>
          <w:b/>
          <w:sz w:val="32"/>
          <w:szCs w:val="32"/>
        </w:rPr>
      </w:pPr>
    </w:p>
    <w:p>
      <w:pPr>
        <w:spacing w:line="360" w:lineRule="auto"/>
        <w:jc w:val="center"/>
        <w:rPr>
          <w:rFonts w:ascii="黑体" w:hAnsi="宋体" w:eastAsia="黑体"/>
          <w:b/>
          <w:sz w:val="32"/>
          <w:szCs w:val="32"/>
        </w:rPr>
      </w:pPr>
      <w:r>
        <w:rPr>
          <w:rFonts w:hint="eastAsia" w:ascii="黑体" w:hAnsi="宋体" w:eastAsia="黑体"/>
          <w:b/>
          <w:sz w:val="32"/>
          <w:szCs w:val="32"/>
        </w:rPr>
        <w:t>台交所挂〔202</w:t>
      </w:r>
      <w:r>
        <w:rPr>
          <w:rFonts w:ascii="黑体" w:hAnsi="宋体" w:eastAsia="黑体"/>
          <w:b/>
          <w:sz w:val="32"/>
          <w:szCs w:val="32"/>
        </w:rPr>
        <w:t>1</w:t>
      </w:r>
      <w:r>
        <w:rPr>
          <w:rFonts w:hint="eastAsia" w:ascii="黑体" w:hAnsi="宋体" w:eastAsia="黑体"/>
          <w:b/>
          <w:sz w:val="32"/>
          <w:szCs w:val="32"/>
        </w:rPr>
        <w:t>〕24号</w:t>
      </w:r>
    </w:p>
    <w:p>
      <w:pPr>
        <w:adjustRightInd w:val="0"/>
        <w:snapToGrid w:val="0"/>
        <w:spacing w:line="600" w:lineRule="exact"/>
      </w:pPr>
    </w:p>
    <w:p>
      <w:pPr>
        <w:adjustRightInd w:val="0"/>
        <w:snapToGrid w:val="0"/>
        <w:spacing w:line="600" w:lineRule="exact"/>
      </w:pPr>
    </w:p>
    <w:p>
      <w:pPr>
        <w:adjustRightInd w:val="0"/>
        <w:snapToGrid w:val="0"/>
        <w:spacing w:line="600" w:lineRule="exact"/>
      </w:pPr>
    </w:p>
    <w:p>
      <w:pPr>
        <w:pStyle w:val="2"/>
        <w:adjustRightInd w:val="0"/>
        <w:snapToGrid w:val="0"/>
        <w:spacing w:after="0" w:line="600" w:lineRule="exact"/>
        <w:ind w:left="0" w:leftChars="0" w:firstLine="640"/>
      </w:pPr>
    </w:p>
    <w:p>
      <w:pPr>
        <w:adjustRightInd w:val="0"/>
        <w:snapToGrid w:val="0"/>
        <w:spacing w:line="600" w:lineRule="exact"/>
      </w:pPr>
    </w:p>
    <w:p>
      <w:pPr>
        <w:adjustRightInd w:val="0"/>
        <w:snapToGrid w:val="0"/>
        <w:spacing w:line="600" w:lineRule="exact"/>
        <w:ind w:left="309" w:hanging="309" w:hangingChars="171"/>
        <w:jc w:val="center"/>
        <w:rPr>
          <w:b/>
          <w:sz w:val="18"/>
        </w:rPr>
      </w:pPr>
      <w:r>
        <w:rPr>
          <w:rFonts w:hint="eastAsia"/>
          <w:b/>
          <w:sz w:val="18"/>
        </w:rPr>
        <w:t>台州市产权交易所有限公司地址：台州市市府大道</w:t>
      </w:r>
      <w:r>
        <w:rPr>
          <w:b/>
          <w:sz w:val="18"/>
        </w:rPr>
        <w:t>777</w:t>
      </w:r>
      <w:r>
        <w:rPr>
          <w:rFonts w:hint="eastAsia"/>
          <w:b/>
          <w:sz w:val="18"/>
        </w:rPr>
        <w:t>号浙江民泰商业银行五楼</w:t>
      </w:r>
    </w:p>
    <w:p>
      <w:pPr>
        <w:adjustRightInd w:val="0"/>
        <w:snapToGrid w:val="0"/>
        <w:spacing w:line="600" w:lineRule="exact"/>
        <w:ind w:left="309" w:hanging="309" w:hangingChars="171"/>
        <w:jc w:val="center"/>
        <w:rPr>
          <w:b/>
          <w:sz w:val="18"/>
          <w:szCs w:val="18"/>
        </w:rPr>
      </w:pPr>
      <w:r>
        <w:rPr>
          <w:rFonts w:hint="eastAsia"/>
          <w:b/>
          <w:sz w:val="18"/>
        </w:rPr>
        <w:t>◎电话：</w:t>
      </w:r>
      <w:r>
        <w:rPr>
          <w:b/>
          <w:sz w:val="18"/>
        </w:rPr>
        <w:t>88685180</w:t>
      </w:r>
      <w:r>
        <w:rPr>
          <w:rFonts w:hint="eastAsia"/>
          <w:b/>
          <w:sz w:val="18"/>
        </w:rPr>
        <w:t>、</w:t>
      </w:r>
      <w:r>
        <w:rPr>
          <w:b/>
          <w:sz w:val="18"/>
        </w:rPr>
        <w:t>88685177</w:t>
      </w:r>
      <w:r>
        <w:rPr>
          <w:rFonts w:hint="eastAsia"/>
          <w:b/>
          <w:sz w:val="18"/>
        </w:rPr>
        <w:t>网址：</w:t>
      </w:r>
      <w:r>
        <w:fldChar w:fldCharType="begin"/>
      </w:r>
      <w:r>
        <w:instrText xml:space="preserve"> HYPERLINK "http://www.tzpre.com" </w:instrText>
      </w:r>
      <w:r>
        <w:fldChar w:fldCharType="separate"/>
      </w:r>
      <w:r>
        <w:rPr>
          <w:rStyle w:val="25"/>
          <w:rFonts w:ascii="Calibri" w:hAnsi="Calibri"/>
          <w:b/>
          <w:color w:val="auto"/>
          <w:kern w:val="2"/>
          <w:sz w:val="18"/>
          <w:lang w:eastAsia="zh-CN"/>
        </w:rPr>
        <w:t>www.tzpre.com</w:t>
      </w:r>
      <w:r>
        <w:rPr>
          <w:rStyle w:val="25"/>
          <w:rFonts w:ascii="Calibri" w:hAnsi="Calibri"/>
          <w:b/>
          <w:color w:val="auto"/>
          <w:kern w:val="2"/>
          <w:sz w:val="18"/>
          <w:lang w:eastAsia="zh-CN"/>
        </w:rPr>
        <w:fldChar w:fldCharType="end"/>
      </w:r>
    </w:p>
    <w:p>
      <w:pPr>
        <w:widowControl/>
        <w:adjustRightInd w:val="0"/>
        <w:snapToGrid w:val="0"/>
        <w:spacing w:line="600" w:lineRule="exact"/>
        <w:jc w:val="center"/>
        <w:rPr>
          <w:rFonts w:ascii="黑体" w:hAnsi="黑体" w:eastAsia="黑体" w:cs="黑体"/>
          <w:b/>
          <w:bCs/>
          <w:sz w:val="36"/>
          <w:szCs w:val="36"/>
          <w:lang w:val="zh-CN"/>
        </w:rPr>
      </w:pPr>
      <w:r>
        <w:rPr>
          <w:b/>
          <w:sz w:val="18"/>
          <w:szCs w:val="18"/>
        </w:rPr>
        <w:br w:type="page"/>
      </w:r>
      <w:r>
        <w:rPr>
          <w:rFonts w:hint="eastAsia" w:ascii="黑体" w:hAnsi="黑体" w:eastAsia="黑体" w:cs="黑体"/>
          <w:b/>
          <w:bCs/>
          <w:sz w:val="36"/>
          <w:szCs w:val="36"/>
          <w:lang w:val="zh-CN"/>
        </w:rPr>
        <w:t>目  录</w:t>
      </w:r>
    </w:p>
    <w:sdt>
      <w:sdtPr>
        <w:rPr>
          <w:rFonts w:ascii="宋体" w:hAnsi="宋体"/>
        </w:rPr>
        <w:id w:val="147475392"/>
        <w:docPartObj>
          <w:docPartGallery w:val="Table of Contents"/>
          <w:docPartUnique/>
        </w:docPartObj>
      </w:sdtPr>
      <w:sdtEndPr>
        <w:rPr>
          <w:rFonts w:ascii="宋体" w:hAnsi="宋体"/>
          <w:sz w:val="20"/>
          <w:szCs w:val="20"/>
        </w:rPr>
      </w:sdtEndPr>
      <w:sdtContent>
        <w:p>
          <w:pPr>
            <w:jc w:val="center"/>
          </w:pPr>
        </w:p>
        <w:p>
          <w:pPr>
            <w:pStyle w:val="55"/>
            <w:tabs>
              <w:tab w:val="right" w:leader="dot" w:pos="8849"/>
            </w:tabs>
          </w:pPr>
        </w:p>
      </w:sdtContent>
    </w:sdt>
    <w:p>
      <w:pPr>
        <w:pStyle w:val="2"/>
        <w:adjustRightInd w:val="0"/>
        <w:snapToGrid w:val="0"/>
        <w:spacing w:after="0" w:line="600" w:lineRule="exact"/>
        <w:ind w:left="0" w:leftChars="0" w:firstLine="640"/>
        <w:rPr>
          <w:lang w:val="zh-CN"/>
        </w:rPr>
      </w:pPr>
    </w:p>
    <w:p>
      <w:pPr>
        <w:pStyle w:val="2"/>
        <w:adjustRightInd w:val="0"/>
        <w:snapToGrid w:val="0"/>
        <w:spacing w:after="0" w:line="600" w:lineRule="exact"/>
        <w:ind w:left="0" w:leftChars="0" w:firstLine="640"/>
        <w:rPr>
          <w:rFonts w:ascii="黑体" w:hAnsi="黑体" w:eastAsia="黑体" w:cs="黑体"/>
          <w:szCs w:val="32"/>
          <w:lang w:val="zh-CN"/>
        </w:rPr>
      </w:pPr>
    </w:p>
    <w:p>
      <w:pPr>
        <w:pStyle w:val="15"/>
        <w:tabs>
          <w:tab w:val="right" w:leader="dot" w:pos="8849"/>
          <w:tab w:val="clear" w:pos="8296"/>
        </w:tabs>
        <w:rPr>
          <w:rFonts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TOC \o "1-1" \h \u </w:instrText>
      </w:r>
      <w:r>
        <w:rPr>
          <w:rFonts w:hint="eastAsia" w:ascii="黑体" w:hAnsi="黑体" w:eastAsia="黑体" w:cs="黑体"/>
          <w:sz w:val="32"/>
          <w:szCs w:val="32"/>
        </w:rPr>
        <w:fldChar w:fldCharType="separate"/>
      </w:r>
      <w:r>
        <w:fldChar w:fldCharType="begin"/>
      </w:r>
      <w:r>
        <w:instrText xml:space="preserve"> HYPERLINK \l "_Toc15382" </w:instrText>
      </w:r>
      <w:r>
        <w:fldChar w:fldCharType="separate"/>
      </w:r>
      <w:r>
        <w:rPr>
          <w:rFonts w:hint="eastAsia" w:ascii="黑体" w:hAnsi="黑体" w:eastAsia="黑体" w:cs="黑体"/>
          <w:sz w:val="32"/>
          <w:szCs w:val="32"/>
        </w:rPr>
        <w:t>增资公告</w:t>
      </w:r>
      <w:r>
        <w:rPr>
          <w:rFonts w:hint="eastAsia" w:ascii="黑体" w:hAnsi="黑体" w:eastAsia="黑体" w:cs="黑体"/>
          <w:sz w:val="32"/>
          <w:szCs w:val="32"/>
        </w:rPr>
        <w:tab/>
      </w:r>
      <w:r>
        <w:rPr>
          <w:rFonts w:hint="eastAsia" w:ascii="黑体" w:hAnsi="黑体" w:eastAsia="黑体" w:cs="黑体"/>
          <w:sz w:val="32"/>
          <w:szCs w:val="32"/>
        </w:rPr>
        <w:t>3</w:t>
      </w:r>
      <w:r>
        <w:rPr>
          <w:rFonts w:hint="eastAsia" w:ascii="黑体" w:hAnsi="黑体" w:eastAsia="黑体" w:cs="黑体"/>
          <w:sz w:val="32"/>
          <w:szCs w:val="32"/>
        </w:rPr>
        <w:fldChar w:fldCharType="end"/>
      </w:r>
    </w:p>
    <w:p>
      <w:pPr>
        <w:pStyle w:val="15"/>
        <w:tabs>
          <w:tab w:val="right" w:leader="dot" w:pos="8849"/>
          <w:tab w:val="clear" w:pos="8296"/>
        </w:tabs>
        <w:rPr>
          <w:rFonts w:ascii="黑体" w:hAnsi="黑体" w:eastAsia="黑体" w:cs="黑体"/>
          <w:sz w:val="32"/>
          <w:szCs w:val="32"/>
        </w:rPr>
      </w:pPr>
      <w:r>
        <w:fldChar w:fldCharType="begin"/>
      </w:r>
      <w:r>
        <w:instrText xml:space="preserve"> HYPERLINK \l "_Toc24253" </w:instrText>
      </w:r>
      <w:r>
        <w:fldChar w:fldCharType="separate"/>
      </w:r>
      <w:r>
        <w:rPr>
          <w:rFonts w:hint="eastAsia" w:ascii="黑体" w:hAnsi="黑体" w:eastAsia="黑体" w:cs="黑体"/>
          <w:sz w:val="32"/>
          <w:szCs w:val="32"/>
        </w:rPr>
        <w:t>文件须知及相关说明</w:t>
      </w:r>
      <w:r>
        <w:rPr>
          <w:rFonts w:hint="eastAsia" w:ascii="黑体" w:hAnsi="黑体" w:eastAsia="黑体" w:cs="黑体"/>
          <w:sz w:val="32"/>
          <w:szCs w:val="32"/>
        </w:rPr>
        <w:tab/>
      </w:r>
      <w:r>
        <w:rPr>
          <w:rFonts w:hint="eastAsia" w:ascii="黑体" w:hAnsi="黑体" w:eastAsia="黑体" w:cs="黑体"/>
          <w:sz w:val="32"/>
          <w:szCs w:val="32"/>
        </w:rPr>
        <w:t>5</w:t>
      </w:r>
      <w:r>
        <w:rPr>
          <w:rFonts w:hint="eastAsia" w:ascii="黑体" w:hAnsi="黑体" w:eastAsia="黑体" w:cs="黑体"/>
          <w:sz w:val="32"/>
          <w:szCs w:val="32"/>
        </w:rPr>
        <w:fldChar w:fldCharType="end"/>
      </w:r>
    </w:p>
    <w:p>
      <w:pPr>
        <w:pStyle w:val="15"/>
        <w:tabs>
          <w:tab w:val="right" w:leader="dot" w:pos="8849"/>
          <w:tab w:val="clear" w:pos="8296"/>
        </w:tabs>
        <w:rPr>
          <w:rFonts w:ascii="黑体" w:hAnsi="黑体" w:eastAsia="黑体" w:cs="黑体"/>
          <w:sz w:val="32"/>
          <w:szCs w:val="32"/>
        </w:rPr>
      </w:pPr>
      <w:r>
        <w:fldChar w:fldCharType="begin"/>
      </w:r>
      <w:r>
        <w:instrText xml:space="preserve"> HYPERLINK \l "_Toc11613" </w:instrText>
      </w:r>
      <w:r>
        <w:fldChar w:fldCharType="separate"/>
      </w:r>
      <w:r>
        <w:rPr>
          <w:rFonts w:hint="eastAsia" w:ascii="黑体" w:hAnsi="黑体" w:eastAsia="黑体" w:cs="黑体"/>
          <w:sz w:val="32"/>
          <w:szCs w:val="32"/>
        </w:rPr>
        <w:t>增资投资申请书</w:t>
      </w:r>
      <w:r>
        <w:rPr>
          <w:rFonts w:hint="eastAsia" w:ascii="黑体" w:hAnsi="黑体" w:eastAsia="黑体" w:cs="黑体"/>
          <w:sz w:val="32"/>
          <w:szCs w:val="32"/>
        </w:rPr>
        <w:tab/>
      </w:r>
      <w:r>
        <w:rPr>
          <w:rFonts w:hint="eastAsia" w:ascii="黑体" w:hAnsi="黑体" w:eastAsia="黑体" w:cs="黑体"/>
          <w:sz w:val="32"/>
          <w:szCs w:val="32"/>
        </w:rPr>
        <w:t>1</w:t>
      </w:r>
      <w:r>
        <w:rPr>
          <w:rFonts w:hint="eastAsia" w:ascii="黑体" w:hAnsi="黑体" w:eastAsia="黑体" w:cs="黑体"/>
          <w:sz w:val="32"/>
          <w:szCs w:val="32"/>
        </w:rPr>
        <w:fldChar w:fldCharType="end"/>
      </w:r>
      <w:r>
        <w:rPr>
          <w:rFonts w:hint="eastAsia" w:ascii="黑体" w:hAnsi="黑体" w:eastAsia="黑体" w:cs="黑体"/>
          <w:sz w:val="32"/>
          <w:szCs w:val="32"/>
        </w:rPr>
        <w:t>5</w:t>
      </w:r>
    </w:p>
    <w:p>
      <w:pPr>
        <w:pStyle w:val="15"/>
        <w:tabs>
          <w:tab w:val="right" w:leader="dot" w:pos="8849"/>
          <w:tab w:val="clear" w:pos="8296"/>
        </w:tabs>
        <w:rPr>
          <w:rFonts w:ascii="黑体" w:hAnsi="黑体" w:eastAsia="黑体" w:cs="黑体"/>
          <w:sz w:val="32"/>
          <w:szCs w:val="32"/>
        </w:rPr>
      </w:pPr>
      <w:r>
        <w:fldChar w:fldCharType="begin"/>
      </w:r>
      <w:r>
        <w:instrText xml:space="preserve"> HYPERLINK \l "_Toc530" </w:instrText>
      </w:r>
      <w:r>
        <w:fldChar w:fldCharType="separate"/>
      </w:r>
      <w:r>
        <w:rPr>
          <w:rFonts w:hint="eastAsia" w:ascii="黑体" w:hAnsi="黑体" w:eastAsia="黑体" w:cs="黑体"/>
          <w:sz w:val="32"/>
          <w:szCs w:val="32"/>
        </w:rPr>
        <w:t>认购风险告知书</w:t>
      </w:r>
      <w:r>
        <w:rPr>
          <w:rFonts w:hint="eastAsia" w:ascii="黑体" w:hAnsi="黑体" w:eastAsia="黑体" w:cs="黑体"/>
          <w:sz w:val="32"/>
          <w:szCs w:val="32"/>
        </w:rPr>
        <w:tab/>
      </w:r>
      <w:r>
        <w:rPr>
          <w:rFonts w:hint="eastAsia" w:ascii="黑体" w:hAnsi="黑体" w:eastAsia="黑体" w:cs="黑体"/>
          <w:sz w:val="32"/>
          <w:szCs w:val="32"/>
        </w:rPr>
        <w:t>2</w:t>
      </w:r>
      <w:r>
        <w:rPr>
          <w:rFonts w:hint="eastAsia" w:ascii="黑体" w:hAnsi="黑体" w:eastAsia="黑体" w:cs="黑体"/>
          <w:sz w:val="32"/>
          <w:szCs w:val="32"/>
        </w:rPr>
        <w:fldChar w:fldCharType="end"/>
      </w:r>
      <w:r>
        <w:rPr>
          <w:rFonts w:hint="eastAsia" w:ascii="黑体" w:hAnsi="黑体" w:eastAsia="黑体" w:cs="黑体"/>
          <w:sz w:val="32"/>
          <w:szCs w:val="32"/>
        </w:rPr>
        <w:t>1</w:t>
      </w:r>
    </w:p>
    <w:p>
      <w:pPr>
        <w:pStyle w:val="15"/>
        <w:tabs>
          <w:tab w:val="right" w:leader="dot" w:pos="8849"/>
          <w:tab w:val="clear" w:pos="8296"/>
        </w:tabs>
        <w:rPr>
          <w:rFonts w:ascii="黑体" w:hAnsi="黑体" w:eastAsia="黑体" w:cs="黑体"/>
          <w:sz w:val="32"/>
          <w:szCs w:val="32"/>
        </w:rPr>
      </w:pPr>
      <w:r>
        <w:fldChar w:fldCharType="begin"/>
      </w:r>
      <w:r>
        <w:instrText xml:space="preserve"> HYPERLINK \l "_Toc3306" </w:instrText>
      </w:r>
      <w:r>
        <w:fldChar w:fldCharType="separate"/>
      </w:r>
      <w:r>
        <w:rPr>
          <w:rFonts w:hint="eastAsia" w:ascii="黑体" w:hAnsi="黑体" w:eastAsia="黑体" w:cs="黑体"/>
          <w:sz w:val="32"/>
          <w:szCs w:val="32"/>
        </w:rPr>
        <w:t>增资确认书</w:t>
      </w:r>
      <w:r>
        <w:rPr>
          <w:rFonts w:hint="eastAsia" w:ascii="黑体" w:hAnsi="黑体" w:eastAsia="黑体" w:cs="黑体"/>
          <w:sz w:val="32"/>
          <w:szCs w:val="32"/>
        </w:rPr>
        <w:tab/>
      </w:r>
      <w:r>
        <w:rPr>
          <w:rFonts w:hint="eastAsia" w:ascii="黑体" w:hAnsi="黑体" w:eastAsia="黑体" w:cs="黑体"/>
          <w:sz w:val="32"/>
          <w:szCs w:val="32"/>
        </w:rPr>
        <w:t>2</w:t>
      </w:r>
      <w:r>
        <w:rPr>
          <w:rFonts w:hint="eastAsia" w:ascii="黑体" w:hAnsi="黑体" w:eastAsia="黑体" w:cs="黑体"/>
          <w:sz w:val="32"/>
          <w:szCs w:val="32"/>
        </w:rPr>
        <w:fldChar w:fldCharType="end"/>
      </w:r>
      <w:r>
        <w:rPr>
          <w:rFonts w:hint="eastAsia" w:ascii="黑体" w:hAnsi="黑体" w:eastAsia="黑体" w:cs="黑体"/>
          <w:sz w:val="32"/>
          <w:szCs w:val="32"/>
        </w:rPr>
        <w:t>3</w:t>
      </w:r>
    </w:p>
    <w:p>
      <w:pPr>
        <w:pStyle w:val="15"/>
        <w:adjustRightInd w:val="0"/>
        <w:snapToGrid w:val="0"/>
        <w:spacing w:line="600" w:lineRule="exact"/>
        <w:jc w:val="center"/>
      </w:pPr>
      <w:r>
        <w:rPr>
          <w:rFonts w:hint="eastAsia" w:ascii="黑体" w:hAnsi="黑体" w:eastAsia="黑体" w:cs="黑体"/>
          <w:sz w:val="32"/>
          <w:szCs w:val="32"/>
        </w:rPr>
        <w:fldChar w:fldCharType="end"/>
      </w:r>
    </w:p>
    <w:p>
      <w:pPr>
        <w:pStyle w:val="17"/>
        <w:adjustRightInd w:val="0"/>
        <w:snapToGrid w:val="0"/>
        <w:spacing w:before="0" w:after="0" w:line="600" w:lineRule="exact"/>
        <w:rPr>
          <w:rFonts w:ascii="黑体" w:hAnsi="黑体" w:eastAsia="黑体"/>
          <w:sz w:val="44"/>
          <w:szCs w:val="44"/>
        </w:rPr>
      </w:pPr>
      <w:r>
        <w:br w:type="page"/>
      </w:r>
      <w:bookmarkStart w:id="1" w:name="_Toc30264_WPSOffice_Level1"/>
      <w:bookmarkStart w:id="2" w:name="_Toc15382"/>
      <w:bookmarkStart w:id="3" w:name="_Toc48252217"/>
      <w:r>
        <w:rPr>
          <w:rFonts w:hint="eastAsia" w:ascii="黑体" w:hAnsi="黑体" w:eastAsia="黑体"/>
          <w:sz w:val="44"/>
          <w:szCs w:val="44"/>
        </w:rPr>
        <w:t>增资公告</w:t>
      </w:r>
      <w:bookmarkEnd w:id="1"/>
      <w:bookmarkEnd w:id="2"/>
      <w:bookmarkEnd w:id="3"/>
    </w:p>
    <w:p>
      <w:pPr>
        <w:widowControl/>
        <w:adjustRightInd w:val="0"/>
        <w:snapToGrid w:val="0"/>
        <w:spacing w:line="600" w:lineRule="exact"/>
        <w:jc w:val="center"/>
        <w:rPr>
          <w:rFonts w:ascii="黑体" w:hAnsi="黑体" w:eastAsia="黑体" w:cs="黑体"/>
          <w:sz w:val="28"/>
          <w:szCs w:val="28"/>
        </w:rPr>
      </w:pPr>
      <w:r>
        <w:rPr>
          <w:rFonts w:hint="eastAsia" w:ascii="黑体" w:hAnsi="黑体" w:eastAsia="黑体" w:cs="黑体"/>
          <w:sz w:val="28"/>
          <w:szCs w:val="28"/>
        </w:rPr>
        <w:t>台交所挂【2021】24号</w:t>
      </w:r>
    </w:p>
    <w:p>
      <w:pPr>
        <w:adjustRightInd w:val="0"/>
        <w:snapToGrid w:val="0"/>
        <w:spacing w:line="58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受有关单位委托，台州市产权交易所有限公司（以下简称“台交所”）对北京北航天宇长鹰无人机科技有限公司（以下简称“天宇长鹰”）增资项目公开引进投资方，具体事宜公告如下：</w:t>
      </w:r>
    </w:p>
    <w:p>
      <w:pPr>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一、标的、底价及保证金</w:t>
      </w:r>
    </w:p>
    <w:p>
      <w:pPr>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本次增资融资方为北京北航天宇长鹰无人机科技有限公司，增资金额不低于8亿元人民币（其中</w:t>
      </w:r>
      <w:r>
        <w:rPr>
          <w:rFonts w:asciiTheme="minorEastAsia" w:hAnsiTheme="minorEastAsia" w:eastAsiaTheme="minorEastAsia" w:cstheme="minorEastAsia"/>
          <w:sz w:val="28"/>
          <w:szCs w:val="28"/>
        </w:rPr>
        <w:t>3098.477486</w:t>
      </w:r>
      <w:r>
        <w:rPr>
          <w:rFonts w:hint="eastAsia" w:asciiTheme="minorEastAsia" w:hAnsiTheme="minorEastAsia" w:eastAsiaTheme="minorEastAsia" w:cstheme="minorEastAsia"/>
          <w:sz w:val="28"/>
          <w:szCs w:val="28"/>
        </w:rPr>
        <w:t>万元计入注册资本，超出部分计入资本公积），报名时交纳</w:t>
      </w:r>
      <w:r>
        <w:rPr>
          <w:rFonts w:asciiTheme="minorEastAsia" w:hAnsiTheme="minorEastAsia" w:eastAsiaTheme="minorEastAsia" w:cstheme="minorEastAsia"/>
          <w:sz w:val="28"/>
          <w:szCs w:val="28"/>
        </w:rPr>
        <w:t>80</w:t>
      </w:r>
      <w:r>
        <w:rPr>
          <w:rFonts w:hint="eastAsia" w:asciiTheme="minorEastAsia" w:hAnsiTheme="minorEastAsia" w:eastAsiaTheme="minorEastAsia" w:cstheme="minorEastAsia"/>
          <w:bCs/>
          <w:kern w:val="0"/>
          <w:sz w:val="28"/>
          <w:szCs w:val="28"/>
        </w:rPr>
        <w:t>00万元人民币</w:t>
      </w:r>
      <w:r>
        <w:rPr>
          <w:rFonts w:hint="eastAsia" w:asciiTheme="minorEastAsia" w:hAnsiTheme="minorEastAsia" w:eastAsiaTheme="minorEastAsia" w:cstheme="minorEastAsia"/>
          <w:sz w:val="28"/>
          <w:szCs w:val="28"/>
        </w:rPr>
        <w:t>增资保证金。</w:t>
      </w:r>
    </w:p>
    <w:p>
      <w:pPr>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二、增资方式</w:t>
      </w:r>
    </w:p>
    <w:p>
      <w:pPr>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征集到一家合格意向投资方且增资额不低于8亿元的，经融资方确认后本次增资达成；合格意向投资方有二家及以上的，则采用竞争性谈判结合综合评议（实施时间另行通知）择优选定投资方。</w:t>
      </w:r>
    </w:p>
    <w:p>
      <w:pPr>
        <w:pStyle w:val="46"/>
        <w:numPr>
          <w:ilvl w:val="255"/>
          <w:numId w:val="0"/>
        </w:numPr>
        <w:adjustRightInd w:val="0"/>
        <w:snapToGrid w:val="0"/>
        <w:spacing w:line="58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三、付款方式</w:t>
      </w:r>
    </w:p>
    <w:p>
      <w:pPr>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投资方应在签署《北京北航天宇长鹰无人机科技有限公司增资协议》后十日内一次性支付全部增资款。</w:t>
      </w:r>
    </w:p>
    <w:p>
      <w:pPr>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四、投资方条件</w:t>
      </w:r>
    </w:p>
    <w:p>
      <w:pPr>
        <w:numPr>
          <w:ilvl w:val="255"/>
          <w:numId w:val="0"/>
        </w:numPr>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意向投资方须为中国境内（不含港澳台地区）依法注册并有效存续的央企或央企与金融机构组成的联合体。央企需为国务院国有资产监督管理委员会制定的中央企业名录及下属企业,经审计最新一期资产总额不低于300亿元，且净资产不低于200亿元；如果意向投资方为私募基金或信托计划,须是央企二级全资或控股子公司及以上的直接投资人；</w:t>
      </w:r>
    </w:p>
    <w:p>
      <w:pPr>
        <w:numPr>
          <w:ilvl w:val="255"/>
          <w:numId w:val="0"/>
        </w:numPr>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2.意向投资方应具有良好的商业信用，近三年无重大违法违规；</w:t>
      </w:r>
    </w:p>
    <w:p>
      <w:pPr>
        <w:numPr>
          <w:ilvl w:val="255"/>
          <w:numId w:val="0"/>
        </w:numPr>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3.本项目接受联合体参加,联合体中投资方不超过2家；单一意向投资方拟投资总额不低于2亿元；</w:t>
      </w:r>
    </w:p>
    <w:p>
      <w:pPr>
        <w:numPr>
          <w:ilvl w:val="255"/>
          <w:numId w:val="0"/>
        </w:numPr>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4.本次引进意向投资方中具备无人机及相关产业投资经验，投资无人机及其相关产业链项目不低于5家，联合体中至少一家符合本条件；</w:t>
      </w:r>
    </w:p>
    <w:p>
      <w:pPr>
        <w:numPr>
          <w:ilvl w:val="255"/>
          <w:numId w:val="0"/>
        </w:numPr>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5.符合国家有关法律法规及规范性文件规定的其它条件。</w:t>
      </w:r>
    </w:p>
    <w:p>
      <w:pPr>
        <w:numPr>
          <w:ilvl w:val="255"/>
          <w:numId w:val="0"/>
        </w:numPr>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五、报名须知</w:t>
      </w:r>
    </w:p>
    <w:p>
      <w:pPr>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1.意向投资方增资金额不低于</w:t>
      </w:r>
      <w:r>
        <w:rPr>
          <w:rFonts w:asciiTheme="minorEastAsia" w:hAnsiTheme="minorEastAsia" w:eastAsiaTheme="minorEastAsia" w:cstheme="minorEastAsia"/>
          <w:sz w:val="28"/>
          <w:szCs w:val="28"/>
        </w:rPr>
        <w:t>8</w:t>
      </w:r>
      <w:r>
        <w:rPr>
          <w:rFonts w:hint="eastAsia" w:asciiTheme="minorEastAsia" w:hAnsiTheme="minorEastAsia" w:eastAsiaTheme="minorEastAsia" w:cstheme="minorEastAsia"/>
          <w:sz w:val="28"/>
          <w:szCs w:val="28"/>
        </w:rPr>
        <w:t>亿元人民币。</w:t>
      </w:r>
    </w:p>
    <w:p>
      <w:pPr>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t>.凡报名者须持营业执照（或者其他注册证明文件）复印件、《增资投资申请书》、法定代表人身份证（委托书、委托人身份证、受托人身份证）、公司章程、相关决议、投资方条件要求的相关材料，上述材料须全部加盖公章。报名时须足额缴付增资保证金（开户单位：台州市产权交易所有限公司，开户行：浙江民泰商业银行股份有限公司椒江市府大道支行，账号：583016260800015）。</w:t>
      </w:r>
    </w:p>
    <w:p>
      <w:pPr>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六、报名时间：2021年8月30日至2021年10月29日下午4：00前（上午8：30－11：30，下午14：00－16：00时，节假日除外）。</w:t>
      </w:r>
    </w:p>
    <w:p>
      <w:pPr>
        <w:widowControl/>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地址：台州市产权交易所有限公司（台州市市府大道777号浙江民泰商业银行五楼511室）。</w:t>
      </w:r>
    </w:p>
    <w:p>
      <w:pPr>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七、联系人：潘女士     电话（传真）：0576-88685180</w:t>
      </w:r>
    </w:p>
    <w:p>
      <w:pPr>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八、具体情况详见须知及相关说明。</w:t>
      </w:r>
    </w:p>
    <w:p>
      <w:pPr>
        <w:adjustRightInd w:val="0"/>
        <w:snapToGrid w:val="0"/>
        <w:spacing w:line="58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详情登陆 www.tzpre.com   </w:t>
      </w:r>
      <w:r>
        <w:fldChar w:fldCharType="begin"/>
      </w:r>
      <w:r>
        <w:instrText xml:space="preserve"> HYPERLINK "https://tzztb.zjtz.gov.cn/tzcms/" </w:instrText>
      </w:r>
      <w:r>
        <w:fldChar w:fldCharType="separate"/>
      </w:r>
      <w:r>
        <w:rPr>
          <w:rStyle w:val="25"/>
          <w:rFonts w:hint="eastAsia" w:asciiTheme="minorEastAsia" w:hAnsiTheme="minorEastAsia" w:eastAsiaTheme="minorEastAsia" w:cstheme="minorEastAsia"/>
          <w:color w:val="auto"/>
          <w:sz w:val="28"/>
          <w:szCs w:val="28"/>
          <w:u w:val="none"/>
          <w:lang w:eastAsia="zh-CN"/>
        </w:rPr>
        <w:t>https://tzztb.zjtz.gov.cn/tzcms/</w:t>
      </w:r>
      <w:r>
        <w:rPr>
          <w:rStyle w:val="25"/>
          <w:rFonts w:hint="eastAsia" w:asciiTheme="minorEastAsia" w:hAnsiTheme="minorEastAsia" w:eastAsiaTheme="minorEastAsia" w:cstheme="minorEastAsia"/>
          <w:color w:val="auto"/>
          <w:sz w:val="28"/>
          <w:szCs w:val="28"/>
          <w:u w:val="none"/>
          <w:lang w:eastAsia="zh-CN"/>
        </w:rPr>
        <w:fldChar w:fldCharType="end"/>
      </w:r>
    </w:p>
    <w:p>
      <w:pPr>
        <w:adjustRightInd w:val="0"/>
        <w:snapToGrid w:val="0"/>
        <w:spacing w:line="580" w:lineRule="exact"/>
        <w:ind w:firstLine="560" w:firstLineChars="200"/>
        <w:jc w:val="righ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台州市产权交易所有限公司</w:t>
      </w:r>
    </w:p>
    <w:p>
      <w:pPr>
        <w:adjustRightInd w:val="0"/>
        <w:snapToGrid w:val="0"/>
        <w:spacing w:line="580" w:lineRule="exact"/>
        <w:ind w:firstLine="560" w:firstLineChars="200"/>
        <w:jc w:val="right"/>
        <w:rPr>
          <w:rFonts w:ascii="黑体" w:hAnsi="黑体" w:eastAsia="黑体" w:cs="黑体"/>
          <w:b/>
          <w:sz w:val="36"/>
          <w:szCs w:val="36"/>
        </w:rPr>
      </w:pPr>
      <w:r>
        <w:rPr>
          <w:rFonts w:hint="eastAsia" w:asciiTheme="minorEastAsia" w:hAnsiTheme="minorEastAsia" w:eastAsiaTheme="minorEastAsia" w:cstheme="minorEastAsia"/>
          <w:sz w:val="28"/>
          <w:szCs w:val="28"/>
        </w:rPr>
        <w:t xml:space="preserve">2021年8月30日 </w:t>
      </w:r>
    </w:p>
    <w:p>
      <w:pPr>
        <w:widowControl/>
        <w:adjustRightInd w:val="0"/>
        <w:snapToGrid w:val="0"/>
        <w:spacing w:line="600" w:lineRule="exact"/>
        <w:jc w:val="left"/>
        <w:rPr>
          <w:rFonts w:ascii="黑体" w:hAnsi="黑体" w:eastAsia="黑体" w:cs="黑体"/>
          <w:b/>
          <w:sz w:val="36"/>
          <w:szCs w:val="36"/>
        </w:rPr>
      </w:pPr>
      <w:r>
        <w:rPr>
          <w:rFonts w:ascii="黑体" w:hAnsi="黑体" w:eastAsia="黑体" w:cs="黑体"/>
          <w:b/>
          <w:sz w:val="36"/>
          <w:szCs w:val="36"/>
        </w:rPr>
        <w:br w:type="page"/>
      </w:r>
    </w:p>
    <w:p>
      <w:pPr>
        <w:pStyle w:val="17"/>
        <w:adjustRightInd w:val="0"/>
        <w:snapToGrid w:val="0"/>
        <w:spacing w:before="0" w:after="0" w:line="600" w:lineRule="exact"/>
        <w:rPr>
          <w:rFonts w:ascii="黑体" w:hAnsi="黑体" w:eastAsia="黑体"/>
          <w:sz w:val="36"/>
          <w:szCs w:val="36"/>
        </w:rPr>
      </w:pPr>
      <w:bookmarkStart w:id="4" w:name="_Toc18337"/>
      <w:r>
        <w:rPr>
          <w:rFonts w:hint="eastAsia" w:ascii="黑体" w:hAnsi="黑体" w:eastAsia="黑体"/>
          <w:sz w:val="36"/>
          <w:szCs w:val="36"/>
        </w:rPr>
        <w:t>北京北航天宇长鹰无人机科技有限公司增资项目</w:t>
      </w:r>
      <w:bookmarkEnd w:id="4"/>
    </w:p>
    <w:p>
      <w:pPr>
        <w:pStyle w:val="17"/>
        <w:adjustRightInd w:val="0"/>
        <w:snapToGrid w:val="0"/>
        <w:spacing w:before="0" w:after="0" w:line="600" w:lineRule="exact"/>
        <w:rPr>
          <w:rFonts w:ascii="黑体" w:hAnsi="黑体" w:eastAsia="黑体"/>
          <w:sz w:val="44"/>
          <w:szCs w:val="44"/>
        </w:rPr>
      </w:pPr>
      <w:bookmarkStart w:id="5" w:name="_Toc24253"/>
      <w:bookmarkStart w:id="6" w:name="_Toc20034_WPSOffice_Level1"/>
      <w:r>
        <w:rPr>
          <w:rFonts w:hint="eastAsia" w:ascii="黑体" w:hAnsi="黑体" w:eastAsia="黑体"/>
          <w:sz w:val="44"/>
          <w:szCs w:val="44"/>
        </w:rPr>
        <w:t>文件须知及相关说明</w:t>
      </w:r>
      <w:bookmarkEnd w:id="5"/>
      <w:bookmarkEnd w:id="6"/>
    </w:p>
    <w:p>
      <w:pPr>
        <w:adjustRightInd w:val="0"/>
        <w:snapToGrid w:val="0"/>
        <w:spacing w:line="600" w:lineRule="exact"/>
        <w:ind w:firstLine="560" w:firstLineChars="200"/>
        <w:rPr>
          <w:rFonts w:ascii="宋体" w:hAnsi="宋体"/>
          <w:sz w:val="28"/>
          <w:szCs w:val="28"/>
        </w:rPr>
      </w:pP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受北京北航天宇长鹰无人机科技有限公司的委托，台交所对</w:t>
      </w:r>
      <w:r>
        <w:rPr>
          <w:rFonts w:hint="eastAsia" w:asciiTheme="minorEastAsia" w:hAnsiTheme="minorEastAsia" w:eastAsiaTheme="minorEastAsia" w:cstheme="minorEastAsia"/>
          <w:sz w:val="28"/>
          <w:szCs w:val="28"/>
        </w:rPr>
        <w:t>天宇长鹰</w:t>
      </w:r>
      <w:r>
        <w:rPr>
          <w:rFonts w:hint="eastAsia" w:asciiTheme="minorEastAsia" w:hAnsiTheme="minorEastAsia" w:eastAsiaTheme="minorEastAsia"/>
          <w:sz w:val="28"/>
          <w:szCs w:val="28"/>
        </w:rPr>
        <w:t>增资项目公开引进投资方。为切实保障各参与当事人的权利和义务，根据《中华人民共和国民法典》、《中华人民共和国企业国有资产法》和《企业国有资产交易监督管理办法》（</w:t>
      </w:r>
      <w:r>
        <w:rPr>
          <w:rFonts w:asciiTheme="minorEastAsia" w:hAnsiTheme="minorEastAsia" w:eastAsiaTheme="minorEastAsia"/>
          <w:sz w:val="28"/>
          <w:szCs w:val="28"/>
        </w:rPr>
        <w:t>32号令），本着公开、公平、公正、诚实信用的原则，特制定须知及</w:t>
      </w:r>
      <w:r>
        <w:rPr>
          <w:rFonts w:hint="eastAsia" w:asciiTheme="minorEastAsia" w:hAnsiTheme="minorEastAsia" w:eastAsiaTheme="minorEastAsia"/>
          <w:sz w:val="28"/>
          <w:szCs w:val="28"/>
        </w:rPr>
        <w:t>相关说明</w:t>
      </w:r>
      <w:r>
        <w:rPr>
          <w:rFonts w:asciiTheme="minorEastAsia" w:hAnsiTheme="minorEastAsia" w:eastAsiaTheme="minorEastAsia"/>
          <w:sz w:val="28"/>
          <w:szCs w:val="28"/>
        </w:rPr>
        <w:t>如下：</w:t>
      </w:r>
    </w:p>
    <w:p>
      <w:pPr>
        <w:adjustRightInd w:val="0"/>
        <w:snapToGrid w:val="0"/>
        <w:spacing w:line="600" w:lineRule="exact"/>
        <w:ind w:left="720"/>
        <w:rPr>
          <w:rFonts w:asciiTheme="minorEastAsia" w:hAnsiTheme="minorEastAsia" w:eastAsiaTheme="minorEastAsia"/>
          <w:b/>
          <w:sz w:val="28"/>
          <w:szCs w:val="28"/>
        </w:rPr>
      </w:pPr>
      <w:bookmarkStart w:id="7" w:name="_Toc32690_WPSOffice_Level1"/>
      <w:r>
        <w:rPr>
          <w:rFonts w:hint="eastAsia" w:asciiTheme="minorEastAsia" w:hAnsiTheme="minorEastAsia" w:eastAsiaTheme="minorEastAsia"/>
          <w:b/>
          <w:sz w:val="28"/>
          <w:szCs w:val="28"/>
        </w:rPr>
        <w:t>一、定义和释义</w:t>
      </w:r>
      <w:bookmarkEnd w:id="7"/>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（一）定义</w:t>
      </w:r>
    </w:p>
    <w:p>
      <w:pPr>
        <w:tabs>
          <w:tab w:val="left" w:pos="680"/>
        </w:tabs>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1.本项目：北京北航天宇长鹰无人机科技有限公司增资项目。</w:t>
      </w:r>
    </w:p>
    <w:p>
      <w:pPr>
        <w:tabs>
          <w:tab w:val="left" w:pos="680"/>
        </w:tabs>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2.投资金额及方式：拟增资额不低于</w:t>
      </w:r>
      <w:r>
        <w:rPr>
          <w:rFonts w:hint="eastAsia" w:asciiTheme="minorEastAsia" w:hAnsiTheme="minorEastAsia" w:eastAsiaTheme="minorEastAsia"/>
          <w:color w:val="000000" w:themeColor="text1"/>
          <w:sz w:val="28"/>
          <w:szCs w:val="28"/>
        </w:rPr>
        <w:t>8亿元</w:t>
      </w:r>
      <w:r>
        <w:rPr>
          <w:rFonts w:hint="eastAsia" w:asciiTheme="minorEastAsia" w:hAnsiTheme="minorEastAsia" w:eastAsiaTheme="minorEastAsia"/>
          <w:sz w:val="28"/>
          <w:szCs w:val="28"/>
        </w:rPr>
        <w:t>，其中3098.477486万元计入注册资本，超出部分计入资本公积。</w:t>
      </w:r>
    </w:p>
    <w:p>
      <w:pPr>
        <w:tabs>
          <w:tab w:val="left" w:pos="680"/>
        </w:tabs>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3.募集资金用途：用于台州基地建设、新型无人机研发、下代技术及产业链投资等。</w:t>
      </w:r>
    </w:p>
    <w:p>
      <w:pPr>
        <w:tabs>
          <w:tab w:val="left" w:pos="680"/>
        </w:tabs>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4</w:t>
      </w:r>
      <w:r>
        <w:rPr>
          <w:rFonts w:asciiTheme="minorEastAsia" w:hAnsiTheme="minorEastAsia" w:eastAsiaTheme="minorEastAsia"/>
          <w:sz w:val="28"/>
          <w:szCs w:val="28"/>
        </w:rPr>
        <w:t>.</w:t>
      </w:r>
      <w:r>
        <w:rPr>
          <w:rFonts w:hint="eastAsia" w:asciiTheme="minorEastAsia" w:hAnsiTheme="minorEastAsia" w:eastAsiaTheme="minorEastAsia"/>
          <w:sz w:val="28"/>
          <w:szCs w:val="28"/>
        </w:rPr>
        <w:t>标的公司：北京北航天宇长鹰无人机科技有限公司（以下简称“天宇长鹰”）。</w:t>
      </w:r>
    </w:p>
    <w:p>
      <w:pPr>
        <w:tabs>
          <w:tab w:val="left" w:pos="680"/>
        </w:tabs>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w:t>
      </w:r>
      <w:r>
        <w:rPr>
          <w:rFonts w:asciiTheme="minorEastAsia" w:hAnsiTheme="minorEastAsia" w:eastAsiaTheme="minorEastAsia"/>
          <w:sz w:val="28"/>
          <w:szCs w:val="28"/>
        </w:rPr>
        <w:t>.</w:t>
      </w:r>
      <w:r>
        <w:rPr>
          <w:rFonts w:hint="eastAsia" w:asciiTheme="minorEastAsia" w:hAnsiTheme="minorEastAsia" w:eastAsiaTheme="minorEastAsia"/>
          <w:sz w:val="28"/>
          <w:szCs w:val="28"/>
        </w:rPr>
        <w:t>申请方：北京北航天宇长鹰无人机科技有限公司（也称融资方）。</w:t>
      </w:r>
    </w:p>
    <w:p>
      <w:pPr>
        <w:tabs>
          <w:tab w:val="left" w:pos="680"/>
        </w:tabs>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6</w:t>
      </w:r>
      <w:r>
        <w:rPr>
          <w:rFonts w:asciiTheme="minorEastAsia" w:hAnsiTheme="minorEastAsia" w:eastAsiaTheme="minorEastAsia"/>
          <w:sz w:val="28"/>
          <w:szCs w:val="28"/>
        </w:rPr>
        <w:t>.</w:t>
      </w:r>
      <w:r>
        <w:rPr>
          <w:rFonts w:hint="eastAsia" w:asciiTheme="minorEastAsia" w:hAnsiTheme="minorEastAsia" w:eastAsiaTheme="minorEastAsia"/>
          <w:sz w:val="28"/>
          <w:szCs w:val="28"/>
        </w:rPr>
        <w:t>组织人：指台州市产权交易所有限公司（以下简称“台交所”）。</w:t>
      </w:r>
    </w:p>
    <w:p>
      <w:pPr>
        <w:tabs>
          <w:tab w:val="left" w:pos="680"/>
        </w:tabs>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7</w:t>
      </w:r>
      <w:r>
        <w:rPr>
          <w:rFonts w:asciiTheme="minorEastAsia" w:hAnsiTheme="minorEastAsia" w:eastAsiaTheme="minorEastAsia"/>
          <w:sz w:val="28"/>
          <w:szCs w:val="28"/>
        </w:rPr>
        <w:t>.</w:t>
      </w:r>
      <w:r>
        <w:rPr>
          <w:rFonts w:hint="eastAsia" w:asciiTheme="minorEastAsia" w:hAnsiTheme="minorEastAsia" w:eastAsiaTheme="minorEastAsia"/>
          <w:sz w:val="28"/>
          <w:szCs w:val="28"/>
        </w:rPr>
        <w:t>意向投资方：指参与本项目并经资格确认，且按时交纳足额增资保证金的意向投资主体。</w:t>
      </w:r>
    </w:p>
    <w:p>
      <w:pPr>
        <w:tabs>
          <w:tab w:val="left" w:pos="680"/>
        </w:tabs>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8</w:t>
      </w:r>
      <w:r>
        <w:rPr>
          <w:rFonts w:asciiTheme="minorEastAsia" w:hAnsiTheme="minorEastAsia" w:eastAsiaTheme="minorEastAsia"/>
          <w:sz w:val="28"/>
          <w:szCs w:val="28"/>
        </w:rPr>
        <w:t>.</w:t>
      </w:r>
      <w:r>
        <w:rPr>
          <w:rFonts w:hint="eastAsia" w:asciiTheme="minorEastAsia" w:hAnsiTheme="minorEastAsia" w:eastAsiaTheme="minorEastAsia"/>
          <w:sz w:val="28"/>
          <w:szCs w:val="28"/>
        </w:rPr>
        <w:t>投资方：指本项目最终确定的投资主体。</w:t>
      </w:r>
    </w:p>
    <w:p>
      <w:pPr>
        <w:tabs>
          <w:tab w:val="left" w:pos="680"/>
        </w:tabs>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9</w:t>
      </w:r>
      <w:r>
        <w:rPr>
          <w:rFonts w:asciiTheme="minorEastAsia" w:hAnsiTheme="minorEastAsia" w:eastAsiaTheme="minorEastAsia"/>
          <w:sz w:val="28"/>
          <w:szCs w:val="28"/>
        </w:rPr>
        <w:t>.</w:t>
      </w:r>
      <w:r>
        <w:rPr>
          <w:rFonts w:hint="eastAsia" w:asciiTheme="minorEastAsia" w:hAnsiTheme="minorEastAsia" w:eastAsiaTheme="minorEastAsia"/>
          <w:sz w:val="28"/>
          <w:szCs w:val="28"/>
        </w:rPr>
        <w:t>增资协议：指融资方、融资方现股东与投资方就本项目签订的《</w:t>
      </w:r>
      <w:bookmarkStart w:id="8" w:name="_Hlk80113289"/>
      <w:r>
        <w:rPr>
          <w:rFonts w:hint="eastAsia" w:asciiTheme="minorEastAsia" w:hAnsiTheme="minorEastAsia" w:eastAsiaTheme="minorEastAsia"/>
          <w:sz w:val="28"/>
          <w:szCs w:val="28"/>
        </w:rPr>
        <w:t>北京北航天宇长鹰无人机科技有限公司</w:t>
      </w:r>
      <w:bookmarkEnd w:id="8"/>
      <w:r>
        <w:rPr>
          <w:rFonts w:hint="eastAsia" w:asciiTheme="minorEastAsia" w:hAnsiTheme="minorEastAsia" w:eastAsiaTheme="minorEastAsia"/>
          <w:sz w:val="28"/>
          <w:szCs w:val="28"/>
        </w:rPr>
        <w:t>增资协议》。</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10</w:t>
      </w:r>
      <w:r>
        <w:rPr>
          <w:rFonts w:asciiTheme="minorEastAsia" w:hAnsiTheme="minorEastAsia" w:eastAsiaTheme="minorEastAsia"/>
          <w:sz w:val="28"/>
          <w:szCs w:val="28"/>
        </w:rPr>
        <w:t>.增资文件：指《北京北航天宇长鹰无人机科技有限公司增资文件》。</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11</w:t>
      </w:r>
      <w:r>
        <w:rPr>
          <w:rFonts w:asciiTheme="minorEastAsia" w:hAnsiTheme="minorEastAsia" w:eastAsiaTheme="minorEastAsia"/>
          <w:sz w:val="28"/>
          <w:szCs w:val="28"/>
        </w:rPr>
        <w:t>.报名截止时间：2021年10月29日下午4时整。</w:t>
      </w:r>
    </w:p>
    <w:p>
      <w:pPr>
        <w:adjustRightInd w:val="0"/>
        <w:snapToGrid w:val="0"/>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w:t>
      </w:r>
      <w:r>
        <w:rPr>
          <w:rFonts w:hint="eastAsia" w:asciiTheme="minorEastAsia" w:hAnsiTheme="minorEastAsia" w:eastAsiaTheme="minorEastAsia"/>
          <w:sz w:val="28"/>
          <w:szCs w:val="28"/>
        </w:rPr>
        <w:t>2</w:t>
      </w:r>
      <w:r>
        <w:rPr>
          <w:rFonts w:asciiTheme="minorEastAsia" w:hAnsiTheme="minorEastAsia" w:eastAsiaTheme="minorEastAsia"/>
          <w:sz w:val="28"/>
          <w:szCs w:val="28"/>
        </w:rPr>
        <w:t>.</w:t>
      </w:r>
      <w:r>
        <w:rPr>
          <w:rFonts w:hint="eastAsia" w:asciiTheme="minorEastAsia" w:hAnsiTheme="minorEastAsia" w:eastAsiaTheme="minorEastAsia"/>
          <w:sz w:val="28"/>
          <w:szCs w:val="28"/>
        </w:rPr>
        <w:t>增资</w:t>
      </w:r>
      <w:r>
        <w:rPr>
          <w:rFonts w:asciiTheme="minorEastAsia" w:hAnsiTheme="minorEastAsia" w:eastAsiaTheme="minorEastAsia"/>
          <w:sz w:val="28"/>
          <w:szCs w:val="28"/>
        </w:rPr>
        <w:t>保证金到账截止时间：指意向投资方的</w:t>
      </w:r>
      <w:r>
        <w:rPr>
          <w:rFonts w:hint="eastAsia" w:asciiTheme="minorEastAsia" w:hAnsiTheme="minorEastAsia" w:eastAsiaTheme="minorEastAsia"/>
          <w:sz w:val="28"/>
          <w:szCs w:val="28"/>
        </w:rPr>
        <w:t>增资</w:t>
      </w:r>
      <w:r>
        <w:rPr>
          <w:rFonts w:asciiTheme="minorEastAsia" w:hAnsiTheme="minorEastAsia" w:eastAsiaTheme="minorEastAsia"/>
          <w:sz w:val="28"/>
          <w:szCs w:val="28"/>
        </w:rPr>
        <w:t>保证金到达组织人指定账户的截止时间，以银行到账为准</w:t>
      </w:r>
      <w:r>
        <w:rPr>
          <w:rFonts w:hint="eastAsia" w:asciiTheme="minorEastAsia" w:hAnsiTheme="minorEastAsia" w:eastAsiaTheme="minorEastAsia" w:cstheme="minorEastAsia"/>
          <w:sz w:val="28"/>
          <w:szCs w:val="28"/>
        </w:rPr>
        <w:t>（开户单位：台州市产权交易所有限公司，开户行：浙江民泰商业银行股份有限公司椒江市府大道支行，账号：583016260800015）</w:t>
      </w:r>
      <w:r>
        <w:rPr>
          <w:rFonts w:asciiTheme="minorEastAsia" w:hAnsiTheme="minorEastAsia" w:eastAsiaTheme="minorEastAsia"/>
          <w:sz w:val="28"/>
          <w:szCs w:val="28"/>
        </w:rPr>
        <w:t>。</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（二）释义</w:t>
      </w:r>
    </w:p>
    <w:p>
      <w:pPr>
        <w:tabs>
          <w:tab w:val="left" w:pos="780"/>
        </w:tabs>
        <w:adjustRightInd w:val="0"/>
        <w:snapToGrid w:val="0"/>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w:t>
      </w:r>
      <w:r>
        <w:rPr>
          <w:rFonts w:hint="eastAsia" w:asciiTheme="minorEastAsia" w:hAnsiTheme="minorEastAsia" w:eastAsiaTheme="minorEastAsia"/>
          <w:sz w:val="28"/>
          <w:szCs w:val="28"/>
        </w:rPr>
        <w:t>除非上下文另有所指，所提及的条款指本增资文件的条款。</w:t>
      </w:r>
    </w:p>
    <w:p>
      <w:pPr>
        <w:tabs>
          <w:tab w:val="left" w:pos="780"/>
        </w:tabs>
        <w:adjustRightInd w:val="0"/>
        <w:snapToGrid w:val="0"/>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w:t>
      </w:r>
      <w:r>
        <w:rPr>
          <w:rFonts w:hint="eastAsia" w:asciiTheme="minorEastAsia" w:hAnsiTheme="minorEastAsia" w:eastAsiaTheme="minorEastAsia"/>
          <w:sz w:val="28"/>
          <w:szCs w:val="28"/>
        </w:rPr>
        <w:t>本增资文件提及的时间皆为北京时间，货币指人民币。</w:t>
      </w:r>
    </w:p>
    <w:p>
      <w:pPr>
        <w:tabs>
          <w:tab w:val="left" w:pos="780"/>
        </w:tabs>
        <w:adjustRightInd w:val="0"/>
        <w:snapToGrid w:val="0"/>
        <w:spacing w:line="600" w:lineRule="exact"/>
        <w:ind w:firstLine="560" w:firstLineChars="200"/>
      </w:pPr>
      <w:r>
        <w:rPr>
          <w:rFonts w:asciiTheme="minorEastAsia" w:hAnsiTheme="minorEastAsia" w:eastAsiaTheme="minorEastAsia"/>
          <w:sz w:val="28"/>
          <w:szCs w:val="28"/>
        </w:rPr>
        <w:t>3.</w:t>
      </w:r>
      <w:r>
        <w:rPr>
          <w:rFonts w:hint="eastAsia" w:asciiTheme="minorEastAsia" w:hAnsiTheme="minorEastAsia" w:eastAsiaTheme="minorEastAsia"/>
          <w:sz w:val="28"/>
          <w:szCs w:val="28"/>
        </w:rPr>
        <w:t>本增资文件提供中文文本。</w:t>
      </w:r>
    </w:p>
    <w:p>
      <w:pPr>
        <w:tabs>
          <w:tab w:val="left" w:pos="640"/>
        </w:tabs>
        <w:adjustRightInd w:val="0"/>
        <w:snapToGrid w:val="0"/>
        <w:spacing w:line="600" w:lineRule="exact"/>
        <w:ind w:firstLine="562" w:firstLineChars="200"/>
        <w:rPr>
          <w:rFonts w:asciiTheme="minorEastAsia" w:hAnsiTheme="minorEastAsia" w:eastAsiaTheme="minorEastAsia"/>
          <w:b/>
          <w:sz w:val="28"/>
          <w:szCs w:val="28"/>
        </w:rPr>
      </w:pPr>
      <w:bookmarkStart w:id="9" w:name="_Toc363_WPSOffice_Level1"/>
      <w:r>
        <w:rPr>
          <w:rFonts w:hint="eastAsia" w:asciiTheme="minorEastAsia" w:hAnsiTheme="minorEastAsia" w:eastAsiaTheme="minorEastAsia"/>
          <w:b/>
          <w:sz w:val="28"/>
          <w:szCs w:val="28"/>
        </w:rPr>
        <w:t>二、须知</w:t>
      </w:r>
      <w:bookmarkEnd w:id="9"/>
    </w:p>
    <w:p>
      <w:pPr>
        <w:adjustRightInd w:val="0"/>
        <w:snapToGrid w:val="0"/>
        <w:spacing w:line="60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（一）天宇长鹰基本情况</w:t>
      </w:r>
    </w:p>
    <w:p>
      <w:pPr>
        <w:adjustRightInd w:val="0"/>
        <w:snapToGrid w:val="0"/>
        <w:spacing w:line="600" w:lineRule="exact"/>
        <w:ind w:firstLine="560"/>
        <w:rPr>
          <w:rFonts w:ascii="宋体" w:hAnsi="宋体"/>
          <w:sz w:val="28"/>
          <w:szCs w:val="28"/>
        </w:rPr>
      </w:pPr>
      <w:r>
        <w:rPr>
          <w:rFonts w:hint="eastAsia" w:asciiTheme="minorEastAsia" w:hAnsiTheme="minorEastAsia" w:eastAsiaTheme="minorEastAsia"/>
          <w:sz w:val="28"/>
          <w:szCs w:val="28"/>
        </w:rPr>
        <w:t>北京北航天宇长鹰无人机科技有限公司是一家专门从事无人机研发、生产和销售的企业，组建于</w:t>
      </w:r>
      <w:r>
        <w:rPr>
          <w:rFonts w:asciiTheme="minorEastAsia" w:hAnsiTheme="minorEastAsia" w:eastAsiaTheme="minorEastAsia"/>
          <w:sz w:val="28"/>
          <w:szCs w:val="28"/>
        </w:rPr>
        <w:t>1988</w:t>
      </w:r>
      <w:r>
        <w:rPr>
          <w:rFonts w:hint="eastAsia" w:asciiTheme="minorEastAsia" w:hAnsiTheme="minorEastAsia" w:eastAsiaTheme="minorEastAsia"/>
          <w:sz w:val="28"/>
          <w:szCs w:val="28"/>
        </w:rPr>
        <w:t>年</w:t>
      </w:r>
      <w:r>
        <w:rPr>
          <w:rFonts w:asciiTheme="minorEastAsia" w:hAnsiTheme="minorEastAsia" w:eastAsiaTheme="minorEastAsia"/>
          <w:sz w:val="28"/>
          <w:szCs w:val="28"/>
        </w:rPr>
        <w:t>05</w:t>
      </w:r>
      <w:r>
        <w:rPr>
          <w:rFonts w:hint="eastAsia" w:asciiTheme="minorEastAsia" w:hAnsiTheme="minorEastAsia" w:eastAsiaTheme="minorEastAsia"/>
          <w:sz w:val="28"/>
          <w:szCs w:val="28"/>
        </w:rPr>
        <w:t>年</w:t>
      </w:r>
      <w:r>
        <w:rPr>
          <w:rFonts w:asciiTheme="minorEastAsia" w:hAnsiTheme="minorEastAsia" w:eastAsiaTheme="minorEastAsia"/>
          <w:sz w:val="28"/>
          <w:szCs w:val="28"/>
        </w:rPr>
        <w:t>01</w:t>
      </w:r>
      <w:r>
        <w:rPr>
          <w:rFonts w:hint="eastAsia" w:asciiTheme="minorEastAsia" w:hAnsiTheme="minorEastAsia" w:eastAsiaTheme="minorEastAsia"/>
          <w:sz w:val="28"/>
          <w:szCs w:val="28"/>
        </w:rPr>
        <w:t>日，注册资本</w:t>
      </w:r>
      <w:r>
        <w:rPr>
          <w:rFonts w:asciiTheme="minorEastAsia" w:hAnsiTheme="minorEastAsia" w:eastAsiaTheme="minorEastAsia"/>
          <w:sz w:val="28"/>
          <w:szCs w:val="28"/>
        </w:rPr>
        <w:t>5000</w:t>
      </w:r>
      <w:r>
        <w:rPr>
          <w:rFonts w:hint="eastAsia" w:asciiTheme="minorEastAsia" w:hAnsiTheme="minorEastAsia" w:eastAsiaTheme="minorEastAsia"/>
          <w:sz w:val="28"/>
          <w:szCs w:val="28"/>
        </w:rPr>
        <w:t>万元，统一社会信用代码为</w:t>
      </w:r>
      <w:r>
        <w:rPr>
          <w:rFonts w:asciiTheme="minorEastAsia" w:hAnsiTheme="minorEastAsia" w:eastAsiaTheme="minorEastAsia"/>
          <w:sz w:val="28"/>
          <w:szCs w:val="28"/>
        </w:rPr>
        <w:t>91110108101166333J</w:t>
      </w:r>
      <w:r>
        <w:rPr>
          <w:rFonts w:hint="eastAsia" w:asciiTheme="minorEastAsia" w:hAnsiTheme="minorEastAsia" w:eastAsiaTheme="minorEastAsia"/>
          <w:sz w:val="28"/>
          <w:szCs w:val="28"/>
        </w:rPr>
        <w:t>，法定代表人符俊辉。</w:t>
      </w:r>
    </w:p>
    <w:p>
      <w:pPr>
        <w:autoSpaceDE w:val="0"/>
        <w:autoSpaceDN w:val="0"/>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天宇长鹰现有股权结构如下：</w:t>
      </w:r>
    </w:p>
    <w:tbl>
      <w:tblPr>
        <w:tblStyle w:val="19"/>
        <w:tblW w:w="8789" w:type="dxa"/>
        <w:jc w:val="center"/>
        <w:tblLayout w:type="fixed"/>
        <w:tblCellMar>
          <w:top w:w="15" w:type="dxa"/>
          <w:left w:w="15" w:type="dxa"/>
          <w:bottom w:w="15" w:type="dxa"/>
          <w:right w:w="15" w:type="dxa"/>
        </w:tblCellMar>
      </w:tblPr>
      <w:tblGrid>
        <w:gridCol w:w="3398"/>
        <w:gridCol w:w="2414"/>
        <w:gridCol w:w="2977"/>
      </w:tblGrid>
      <w:tr>
        <w:tblPrEx>
          <w:tblCellMar>
            <w:top w:w="15" w:type="dxa"/>
            <w:left w:w="15" w:type="dxa"/>
            <w:bottom w:w="15" w:type="dxa"/>
            <w:right w:w="15" w:type="dxa"/>
          </w:tblCellMar>
        </w:tblPrEx>
        <w:trPr>
          <w:trHeight w:val="334" w:hRule="atLeast"/>
          <w:tblHeader/>
          <w:jc w:val="center"/>
        </w:trPr>
        <w:tc>
          <w:tcPr>
            <w:tcW w:w="339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股东名称</w:t>
            </w:r>
          </w:p>
        </w:tc>
        <w:tc>
          <w:tcPr>
            <w:tcW w:w="241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实缴出资金额</w:t>
            </w:r>
          </w:p>
          <w:p>
            <w:pPr>
              <w:adjustRightInd w:val="0"/>
              <w:snapToGrid w:val="0"/>
              <w:spacing w:line="600" w:lineRule="exact"/>
              <w:jc w:val="center"/>
              <w:rPr>
                <w:rFonts w:asciiTheme="minorEastAsia" w:hAnsiTheme="minorEastAsia" w:eastAsiaTheme="minorEastAsia"/>
                <w:b/>
                <w:sz w:val="24"/>
                <w:szCs w:val="24"/>
              </w:rPr>
            </w:pPr>
            <w:r>
              <w:rPr>
                <w:rFonts w:asciiTheme="minorEastAsia" w:hAnsiTheme="minorEastAsia" w:eastAsiaTheme="minorEastAsia"/>
                <w:b/>
                <w:sz w:val="24"/>
                <w:szCs w:val="24"/>
              </w:rPr>
              <w:t>(万元)</w:t>
            </w:r>
          </w:p>
        </w:tc>
        <w:tc>
          <w:tcPr>
            <w:tcW w:w="297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实缴出资占注册资本比例</w:t>
            </w:r>
          </w:p>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w:t>
            </w:r>
            <w:r>
              <w:rPr>
                <w:rFonts w:asciiTheme="minorEastAsia" w:hAnsiTheme="minorEastAsia" w:eastAsiaTheme="minorEastAsia"/>
                <w:b/>
                <w:sz w:val="24"/>
                <w:szCs w:val="24"/>
              </w:rPr>
              <w:t>%</w:t>
            </w:r>
            <w:r>
              <w:rPr>
                <w:rFonts w:hint="eastAsia" w:asciiTheme="minorEastAsia" w:hAnsiTheme="minorEastAsia" w:eastAsiaTheme="minorEastAsia"/>
                <w:b/>
                <w:sz w:val="24"/>
                <w:szCs w:val="24"/>
              </w:rPr>
              <w:t>）</w:t>
            </w:r>
          </w:p>
        </w:tc>
      </w:tr>
      <w:tr>
        <w:tblPrEx>
          <w:tblCellMar>
            <w:top w:w="15" w:type="dxa"/>
            <w:left w:w="15" w:type="dxa"/>
            <w:bottom w:w="15" w:type="dxa"/>
            <w:right w:w="15" w:type="dxa"/>
          </w:tblCellMar>
        </w:tblPrEx>
        <w:trPr>
          <w:trHeight w:val="334" w:hRule="atLeast"/>
          <w:jc w:val="center"/>
        </w:trPr>
        <w:tc>
          <w:tcPr>
            <w:tcW w:w="339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北航长鹰科技有限公司</w:t>
            </w:r>
          </w:p>
        </w:tc>
        <w:tc>
          <w:tcPr>
            <w:tcW w:w="241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2405.436544</w:t>
            </w:r>
          </w:p>
        </w:tc>
        <w:tc>
          <w:tcPr>
            <w:tcW w:w="297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48.11%</w:t>
            </w:r>
          </w:p>
        </w:tc>
      </w:tr>
      <w:tr>
        <w:tblPrEx>
          <w:tblCellMar>
            <w:top w:w="15" w:type="dxa"/>
            <w:left w:w="15" w:type="dxa"/>
            <w:bottom w:w="15" w:type="dxa"/>
            <w:right w:w="15" w:type="dxa"/>
          </w:tblCellMar>
        </w:tblPrEx>
        <w:trPr>
          <w:trHeight w:val="334" w:hRule="atLeast"/>
          <w:jc w:val="center"/>
        </w:trPr>
        <w:tc>
          <w:tcPr>
            <w:tcW w:w="339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台州市优化升级投资合伙企业（有限合伙）</w:t>
            </w:r>
          </w:p>
        </w:tc>
        <w:tc>
          <w:tcPr>
            <w:tcW w:w="241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1297.281728</w:t>
            </w:r>
          </w:p>
        </w:tc>
        <w:tc>
          <w:tcPr>
            <w:tcW w:w="297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25.95%</w:t>
            </w:r>
          </w:p>
        </w:tc>
      </w:tr>
      <w:tr>
        <w:tblPrEx>
          <w:tblCellMar>
            <w:top w:w="15" w:type="dxa"/>
            <w:left w:w="15" w:type="dxa"/>
            <w:bottom w:w="15" w:type="dxa"/>
            <w:right w:w="15" w:type="dxa"/>
          </w:tblCellMar>
        </w:tblPrEx>
        <w:trPr>
          <w:trHeight w:val="334" w:hRule="atLeast"/>
          <w:jc w:val="center"/>
        </w:trPr>
        <w:tc>
          <w:tcPr>
            <w:tcW w:w="339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台州产业投资有限公司</w:t>
            </w:r>
          </w:p>
        </w:tc>
        <w:tc>
          <w:tcPr>
            <w:tcW w:w="241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648.640864</w:t>
            </w:r>
          </w:p>
        </w:tc>
        <w:tc>
          <w:tcPr>
            <w:tcW w:w="297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12.97%</w:t>
            </w:r>
          </w:p>
        </w:tc>
      </w:tr>
      <w:tr>
        <w:tblPrEx>
          <w:tblCellMar>
            <w:top w:w="15" w:type="dxa"/>
            <w:left w:w="15" w:type="dxa"/>
            <w:bottom w:w="15" w:type="dxa"/>
            <w:right w:w="15" w:type="dxa"/>
          </w:tblCellMar>
        </w:tblPrEx>
        <w:trPr>
          <w:trHeight w:val="334" w:hRule="atLeast"/>
          <w:jc w:val="center"/>
        </w:trPr>
        <w:tc>
          <w:tcPr>
            <w:tcW w:w="339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台州东部投资管理有限公司</w:t>
            </w:r>
          </w:p>
        </w:tc>
        <w:tc>
          <w:tcPr>
            <w:tcW w:w="241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648.640864</w:t>
            </w:r>
          </w:p>
        </w:tc>
        <w:tc>
          <w:tcPr>
            <w:tcW w:w="297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12.97%</w:t>
            </w:r>
          </w:p>
        </w:tc>
      </w:tr>
      <w:tr>
        <w:tblPrEx>
          <w:tblCellMar>
            <w:top w:w="15" w:type="dxa"/>
            <w:left w:w="15" w:type="dxa"/>
            <w:bottom w:w="15" w:type="dxa"/>
            <w:right w:w="15" w:type="dxa"/>
          </w:tblCellMar>
        </w:tblPrEx>
        <w:trPr>
          <w:trHeight w:val="334" w:hRule="atLeast"/>
          <w:jc w:val="center"/>
        </w:trPr>
        <w:tc>
          <w:tcPr>
            <w:tcW w:w="339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合计</w:t>
            </w:r>
          </w:p>
        </w:tc>
        <w:tc>
          <w:tcPr>
            <w:tcW w:w="241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5000.00</w:t>
            </w:r>
          </w:p>
        </w:tc>
        <w:tc>
          <w:tcPr>
            <w:tcW w:w="297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100.00%</w:t>
            </w:r>
          </w:p>
        </w:tc>
      </w:tr>
    </w:tbl>
    <w:p>
      <w:pPr>
        <w:adjustRightInd w:val="0"/>
        <w:snapToGrid w:val="0"/>
        <w:spacing w:line="600" w:lineRule="exact"/>
        <w:ind w:firstLine="560" w:firstLineChars="200"/>
        <w:jc w:val="left"/>
        <w:rPr>
          <w:rFonts w:asciiTheme="minorEastAsia" w:hAnsiTheme="minorEastAsia" w:eastAsiaTheme="minorEastAsia"/>
          <w:sz w:val="28"/>
          <w:szCs w:val="28"/>
        </w:rPr>
      </w:pPr>
      <w:r>
        <w:rPr>
          <w:rFonts w:hint="eastAsia" w:ascii="宋体" w:hAnsi="宋体"/>
          <w:sz w:val="28"/>
          <w:szCs w:val="28"/>
        </w:rPr>
        <w:t>本次增资行为已经必要的内部决策和批准程序，资产评估项目已经台州市国资委核准</w:t>
      </w:r>
      <w:bookmarkStart w:id="10" w:name="待定03"/>
      <w:r>
        <w:rPr>
          <w:rFonts w:hint="eastAsia" w:ascii="宋体" w:hAnsi="宋体"/>
          <w:sz w:val="28"/>
          <w:szCs w:val="28"/>
        </w:rPr>
        <w:t>。</w:t>
      </w:r>
      <w:bookmarkEnd w:id="10"/>
    </w:p>
    <w:p>
      <w:pPr>
        <w:adjustRightInd w:val="0"/>
        <w:snapToGrid w:val="0"/>
        <w:spacing w:line="60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天宇长鹰主要财务数据（单位：人民币元）</w:t>
      </w:r>
    </w:p>
    <w:tbl>
      <w:tblPr>
        <w:tblStyle w:val="19"/>
        <w:tblW w:w="88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1"/>
        <w:gridCol w:w="2194"/>
        <w:gridCol w:w="2192"/>
        <w:gridCol w:w="2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exact"/>
          <w:jc w:val="center"/>
        </w:trPr>
        <w:tc>
          <w:tcPr>
            <w:tcW w:w="8891" w:type="dxa"/>
            <w:gridSpan w:val="4"/>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以下数据出自企业20</w:t>
            </w:r>
            <w:r>
              <w:rPr>
                <w:rFonts w:asciiTheme="minorEastAsia" w:hAnsiTheme="minorEastAsia" w:eastAsiaTheme="minorEastAsia"/>
                <w:sz w:val="24"/>
                <w:szCs w:val="24"/>
              </w:rPr>
              <w:t>18</w:t>
            </w:r>
            <w:r>
              <w:rPr>
                <w:rFonts w:hint="eastAsia" w:asciiTheme="minorEastAsia" w:hAnsiTheme="minorEastAsia" w:eastAsiaTheme="minorEastAsia"/>
                <w:sz w:val="24"/>
                <w:szCs w:val="24"/>
              </w:rPr>
              <w:t>年1-12月审计报告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jc w:val="center"/>
        </w:trPr>
        <w:tc>
          <w:tcPr>
            <w:tcW w:w="2311" w:type="dxa"/>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b/>
                <w:sz w:val="24"/>
                <w:szCs w:val="24"/>
              </w:rPr>
              <w:t>年度日期</w:t>
            </w:r>
          </w:p>
        </w:tc>
        <w:tc>
          <w:tcPr>
            <w:tcW w:w="2194"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资产总计</w:t>
            </w:r>
          </w:p>
        </w:tc>
        <w:tc>
          <w:tcPr>
            <w:tcW w:w="2192"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负债总计</w:t>
            </w:r>
          </w:p>
        </w:tc>
        <w:tc>
          <w:tcPr>
            <w:tcW w:w="2194"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atLeast"/>
          <w:jc w:val="center"/>
        </w:trPr>
        <w:tc>
          <w:tcPr>
            <w:tcW w:w="2311" w:type="dxa"/>
            <w:vMerge w:val="restart"/>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2018</w:t>
            </w:r>
            <w:r>
              <w:rPr>
                <w:rFonts w:hint="eastAsia" w:asciiTheme="minorEastAsia" w:hAnsiTheme="minorEastAsia" w:eastAsiaTheme="minorEastAsia"/>
                <w:sz w:val="24"/>
                <w:szCs w:val="24"/>
              </w:rPr>
              <w:t>年12月31日</w:t>
            </w:r>
          </w:p>
        </w:tc>
        <w:tc>
          <w:tcPr>
            <w:tcW w:w="2194" w:type="dxa"/>
            <w:vAlign w:val="center"/>
          </w:tcPr>
          <w:p>
            <w:pPr>
              <w:adjustRightInd w:val="0"/>
              <w:snapToGrid w:val="0"/>
              <w:spacing w:line="600" w:lineRule="exact"/>
              <w:jc w:val="center"/>
              <w:rPr>
                <w:rFonts w:asciiTheme="minorEastAsia" w:hAnsiTheme="minorEastAsia" w:eastAsiaTheme="minorEastAsia"/>
                <w:bCs/>
                <w:sz w:val="24"/>
                <w:szCs w:val="24"/>
              </w:rPr>
            </w:pPr>
            <w:r>
              <w:rPr>
                <w:rFonts w:asciiTheme="minorEastAsia" w:hAnsiTheme="minorEastAsia" w:eastAsiaTheme="minorEastAsia"/>
                <w:bCs/>
                <w:sz w:val="24"/>
                <w:szCs w:val="24"/>
              </w:rPr>
              <w:t>237,790,564.04</w:t>
            </w:r>
          </w:p>
        </w:tc>
        <w:tc>
          <w:tcPr>
            <w:tcW w:w="2192" w:type="dxa"/>
            <w:vAlign w:val="center"/>
          </w:tcPr>
          <w:p>
            <w:pPr>
              <w:adjustRightInd w:val="0"/>
              <w:snapToGrid w:val="0"/>
              <w:spacing w:line="600" w:lineRule="exact"/>
              <w:jc w:val="center"/>
              <w:rPr>
                <w:rFonts w:asciiTheme="minorEastAsia" w:hAnsiTheme="minorEastAsia" w:eastAsiaTheme="minorEastAsia"/>
                <w:bCs/>
                <w:sz w:val="24"/>
                <w:szCs w:val="24"/>
              </w:rPr>
            </w:pPr>
            <w:r>
              <w:rPr>
                <w:rFonts w:asciiTheme="minorEastAsia" w:hAnsiTheme="minorEastAsia" w:eastAsiaTheme="minorEastAsia"/>
                <w:bCs/>
                <w:sz w:val="24"/>
                <w:szCs w:val="24"/>
              </w:rPr>
              <w:t>64,727,254.60</w:t>
            </w:r>
          </w:p>
        </w:tc>
        <w:tc>
          <w:tcPr>
            <w:tcW w:w="2194" w:type="dxa"/>
            <w:vAlign w:val="center"/>
          </w:tcPr>
          <w:p>
            <w:pPr>
              <w:adjustRightInd w:val="0"/>
              <w:snapToGrid w:val="0"/>
              <w:spacing w:line="600" w:lineRule="exact"/>
              <w:jc w:val="center"/>
              <w:rPr>
                <w:rFonts w:asciiTheme="minorEastAsia" w:hAnsiTheme="minorEastAsia" w:eastAsiaTheme="minorEastAsia"/>
                <w:bCs/>
                <w:sz w:val="24"/>
                <w:szCs w:val="24"/>
              </w:rPr>
            </w:pPr>
            <w:r>
              <w:rPr>
                <w:rFonts w:asciiTheme="minorEastAsia" w:hAnsiTheme="minorEastAsia" w:eastAsiaTheme="minorEastAsia"/>
                <w:bCs/>
                <w:sz w:val="24"/>
                <w:szCs w:val="24"/>
              </w:rPr>
              <w:t>173,063,309.44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2311" w:type="dxa"/>
            <w:vMerge w:val="continue"/>
            <w:vAlign w:val="center"/>
          </w:tcPr>
          <w:p>
            <w:pPr>
              <w:adjustRightInd w:val="0"/>
              <w:snapToGrid w:val="0"/>
              <w:spacing w:line="600" w:lineRule="exact"/>
              <w:jc w:val="center"/>
              <w:rPr>
                <w:rFonts w:asciiTheme="minorEastAsia" w:hAnsiTheme="minorEastAsia" w:eastAsiaTheme="minorEastAsia"/>
                <w:sz w:val="24"/>
                <w:szCs w:val="24"/>
              </w:rPr>
            </w:pPr>
          </w:p>
        </w:tc>
        <w:tc>
          <w:tcPr>
            <w:tcW w:w="2194"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营业收入</w:t>
            </w:r>
          </w:p>
        </w:tc>
        <w:tc>
          <w:tcPr>
            <w:tcW w:w="2192"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利润总额</w:t>
            </w:r>
          </w:p>
        </w:tc>
        <w:tc>
          <w:tcPr>
            <w:tcW w:w="2194"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jc w:val="center"/>
        </w:trPr>
        <w:tc>
          <w:tcPr>
            <w:tcW w:w="2311" w:type="dxa"/>
            <w:vMerge w:val="continue"/>
            <w:vAlign w:val="center"/>
          </w:tcPr>
          <w:p>
            <w:pPr>
              <w:adjustRightInd w:val="0"/>
              <w:snapToGrid w:val="0"/>
              <w:spacing w:line="600" w:lineRule="exact"/>
              <w:jc w:val="center"/>
              <w:rPr>
                <w:rFonts w:asciiTheme="minorEastAsia" w:hAnsiTheme="minorEastAsia" w:eastAsiaTheme="minorEastAsia"/>
                <w:sz w:val="24"/>
                <w:szCs w:val="24"/>
              </w:rPr>
            </w:pPr>
          </w:p>
        </w:tc>
        <w:tc>
          <w:tcPr>
            <w:tcW w:w="2194" w:type="dxa"/>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138,808,985.25</w:t>
            </w:r>
          </w:p>
        </w:tc>
        <w:tc>
          <w:tcPr>
            <w:tcW w:w="2192" w:type="dxa"/>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80,430,337.84</w:t>
            </w:r>
          </w:p>
        </w:tc>
        <w:tc>
          <w:tcPr>
            <w:tcW w:w="2194" w:type="dxa"/>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69,327,163.94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2311" w:type="dxa"/>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审计机构</w:t>
            </w:r>
          </w:p>
        </w:tc>
        <w:tc>
          <w:tcPr>
            <w:tcW w:w="6580" w:type="dxa"/>
            <w:gridSpan w:val="3"/>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大华会计师事务所（特殊普通合伙）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exact"/>
          <w:jc w:val="center"/>
        </w:trPr>
        <w:tc>
          <w:tcPr>
            <w:tcW w:w="8891" w:type="dxa"/>
            <w:gridSpan w:val="4"/>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以下数据出自企业20</w:t>
            </w:r>
            <w:r>
              <w:rPr>
                <w:rFonts w:asciiTheme="minorEastAsia" w:hAnsiTheme="minorEastAsia" w:eastAsiaTheme="minorEastAsia"/>
                <w:sz w:val="24"/>
                <w:szCs w:val="24"/>
              </w:rPr>
              <w:t>19</w:t>
            </w:r>
            <w:r>
              <w:rPr>
                <w:rFonts w:hint="eastAsia" w:asciiTheme="minorEastAsia" w:hAnsiTheme="minorEastAsia" w:eastAsiaTheme="minorEastAsia"/>
                <w:sz w:val="24"/>
                <w:szCs w:val="24"/>
              </w:rPr>
              <w:t>年1-12月审计报告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2311" w:type="dxa"/>
            <w:vAlign w:val="center"/>
          </w:tcPr>
          <w:p>
            <w:pPr>
              <w:adjustRightInd w:val="0"/>
              <w:snapToGrid w:val="0"/>
              <w:spacing w:line="600" w:lineRule="exact"/>
              <w:jc w:val="center"/>
              <w:rPr>
                <w:rFonts w:asciiTheme="minorEastAsia" w:hAnsiTheme="minorEastAsia" w:eastAsiaTheme="minorEastAsia"/>
                <w:b/>
                <w:bCs/>
                <w:sz w:val="24"/>
                <w:szCs w:val="24"/>
              </w:rPr>
            </w:pPr>
            <w:r>
              <w:rPr>
                <w:rFonts w:hint="eastAsia" w:asciiTheme="minorEastAsia" w:hAnsiTheme="minorEastAsia" w:eastAsiaTheme="minorEastAsia"/>
                <w:b/>
                <w:sz w:val="24"/>
                <w:szCs w:val="24"/>
              </w:rPr>
              <w:t>年度日期</w:t>
            </w:r>
          </w:p>
        </w:tc>
        <w:tc>
          <w:tcPr>
            <w:tcW w:w="2194"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资产总计</w:t>
            </w:r>
          </w:p>
        </w:tc>
        <w:tc>
          <w:tcPr>
            <w:tcW w:w="2192"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负债总计</w:t>
            </w:r>
          </w:p>
        </w:tc>
        <w:tc>
          <w:tcPr>
            <w:tcW w:w="2194"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1" w:type="dxa"/>
            <w:vMerge w:val="restart"/>
            <w:vAlign w:val="center"/>
          </w:tcPr>
          <w:p>
            <w:pPr>
              <w:adjustRightInd w:val="0"/>
              <w:snapToGrid w:val="0"/>
              <w:spacing w:line="600" w:lineRule="exact"/>
              <w:jc w:val="center"/>
              <w:rPr>
                <w:rFonts w:asciiTheme="minorEastAsia" w:hAnsiTheme="minorEastAsia" w:eastAsiaTheme="minorEastAsia"/>
                <w:b/>
                <w:bCs/>
                <w:sz w:val="24"/>
                <w:szCs w:val="24"/>
              </w:rPr>
            </w:pPr>
            <w:r>
              <w:rPr>
                <w:rFonts w:hint="eastAsia" w:asciiTheme="minorEastAsia" w:hAnsiTheme="minorEastAsia" w:eastAsiaTheme="minorEastAsia"/>
                <w:sz w:val="24"/>
                <w:szCs w:val="24"/>
              </w:rPr>
              <w:t>2019年12月31日</w:t>
            </w:r>
          </w:p>
        </w:tc>
        <w:tc>
          <w:tcPr>
            <w:tcW w:w="2194" w:type="dxa"/>
            <w:vAlign w:val="center"/>
          </w:tcPr>
          <w:p>
            <w:pPr>
              <w:adjustRightInd w:val="0"/>
              <w:snapToGrid w:val="0"/>
              <w:spacing w:line="600" w:lineRule="exact"/>
              <w:jc w:val="center"/>
              <w:rPr>
                <w:rFonts w:asciiTheme="minorEastAsia" w:hAnsiTheme="minorEastAsia" w:eastAsiaTheme="minorEastAsia"/>
                <w:bCs/>
                <w:sz w:val="24"/>
                <w:szCs w:val="24"/>
              </w:rPr>
            </w:pPr>
            <w:r>
              <w:rPr>
                <w:rFonts w:asciiTheme="minorEastAsia" w:hAnsiTheme="minorEastAsia" w:eastAsiaTheme="minorEastAsia"/>
                <w:bCs/>
                <w:sz w:val="24"/>
                <w:szCs w:val="24"/>
              </w:rPr>
              <w:t>582,531,367.26</w:t>
            </w:r>
          </w:p>
        </w:tc>
        <w:tc>
          <w:tcPr>
            <w:tcW w:w="2192" w:type="dxa"/>
            <w:vAlign w:val="center"/>
          </w:tcPr>
          <w:p>
            <w:pPr>
              <w:adjustRightInd w:val="0"/>
              <w:snapToGrid w:val="0"/>
              <w:spacing w:line="600" w:lineRule="exact"/>
              <w:jc w:val="center"/>
              <w:rPr>
                <w:rFonts w:asciiTheme="minorEastAsia" w:hAnsiTheme="minorEastAsia" w:eastAsiaTheme="minorEastAsia"/>
                <w:bCs/>
                <w:sz w:val="24"/>
                <w:szCs w:val="24"/>
              </w:rPr>
            </w:pPr>
            <w:r>
              <w:rPr>
                <w:rFonts w:asciiTheme="minorEastAsia" w:hAnsiTheme="minorEastAsia" w:eastAsiaTheme="minorEastAsia"/>
                <w:bCs/>
                <w:sz w:val="24"/>
                <w:szCs w:val="24"/>
              </w:rPr>
              <w:t>338,095,847.88</w:t>
            </w:r>
          </w:p>
        </w:tc>
        <w:tc>
          <w:tcPr>
            <w:tcW w:w="2194" w:type="dxa"/>
            <w:vAlign w:val="center"/>
          </w:tcPr>
          <w:p>
            <w:pPr>
              <w:adjustRightInd w:val="0"/>
              <w:snapToGrid w:val="0"/>
              <w:spacing w:line="600" w:lineRule="exact"/>
              <w:jc w:val="center"/>
              <w:rPr>
                <w:rFonts w:asciiTheme="minorEastAsia" w:hAnsiTheme="minorEastAsia" w:eastAsiaTheme="minorEastAsia"/>
                <w:bCs/>
                <w:sz w:val="24"/>
                <w:szCs w:val="24"/>
              </w:rPr>
            </w:pPr>
            <w:r>
              <w:rPr>
                <w:rFonts w:asciiTheme="minorEastAsia" w:hAnsiTheme="minorEastAsia" w:eastAsiaTheme="minorEastAsia"/>
                <w:bCs/>
                <w:sz w:val="24"/>
                <w:szCs w:val="24"/>
              </w:rPr>
              <w:t>244,4</w:t>
            </w:r>
            <w:r>
              <w:rPr>
                <w:rFonts w:hint="eastAsia" w:asciiTheme="minorEastAsia" w:hAnsiTheme="minorEastAsia" w:eastAsiaTheme="minorEastAsia"/>
                <w:bCs/>
                <w:sz w:val="24"/>
                <w:szCs w:val="24"/>
              </w:rPr>
              <w:t>35</w:t>
            </w:r>
            <w:r>
              <w:rPr>
                <w:rFonts w:asciiTheme="minorEastAsia" w:hAnsiTheme="minorEastAsia" w:eastAsiaTheme="minorEastAsia"/>
                <w:bCs/>
                <w:sz w:val="24"/>
                <w:szCs w:val="24"/>
              </w:rPr>
              <w:t>,</w:t>
            </w:r>
            <w:r>
              <w:rPr>
                <w:rFonts w:hint="eastAsia" w:asciiTheme="minorEastAsia" w:hAnsiTheme="minorEastAsia" w:eastAsiaTheme="minorEastAsia"/>
                <w:bCs/>
                <w:sz w:val="24"/>
                <w:szCs w:val="24"/>
              </w:rPr>
              <w:t>519</w:t>
            </w:r>
            <w:r>
              <w:rPr>
                <w:rFonts w:asciiTheme="minorEastAsia" w:hAnsiTheme="minorEastAsia" w:eastAsiaTheme="minorEastAsia"/>
                <w:bCs/>
                <w:sz w:val="24"/>
                <w:szCs w:val="24"/>
              </w:rPr>
              <w:t>.</w:t>
            </w:r>
            <w:r>
              <w:rPr>
                <w:rFonts w:hint="eastAsia" w:asciiTheme="minorEastAsia" w:hAnsiTheme="minorEastAsia" w:eastAsiaTheme="minorEastAsia"/>
                <w:bCs/>
                <w:sz w:val="24"/>
                <w:szCs w:val="24"/>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2311" w:type="dxa"/>
            <w:vMerge w:val="continue"/>
            <w:vAlign w:val="center"/>
          </w:tcPr>
          <w:p>
            <w:pPr>
              <w:adjustRightInd w:val="0"/>
              <w:snapToGrid w:val="0"/>
              <w:spacing w:line="600" w:lineRule="exact"/>
              <w:jc w:val="center"/>
              <w:rPr>
                <w:rFonts w:asciiTheme="minorEastAsia" w:hAnsiTheme="minorEastAsia" w:eastAsiaTheme="minorEastAsia"/>
                <w:sz w:val="24"/>
                <w:szCs w:val="24"/>
              </w:rPr>
            </w:pPr>
          </w:p>
        </w:tc>
        <w:tc>
          <w:tcPr>
            <w:tcW w:w="2194"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营业收入</w:t>
            </w:r>
          </w:p>
        </w:tc>
        <w:tc>
          <w:tcPr>
            <w:tcW w:w="2192"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利润总额</w:t>
            </w:r>
          </w:p>
        </w:tc>
        <w:tc>
          <w:tcPr>
            <w:tcW w:w="2194"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jc w:val="center"/>
        </w:trPr>
        <w:tc>
          <w:tcPr>
            <w:tcW w:w="2311" w:type="dxa"/>
            <w:vMerge w:val="continue"/>
            <w:vAlign w:val="center"/>
          </w:tcPr>
          <w:p>
            <w:pPr>
              <w:adjustRightInd w:val="0"/>
              <w:snapToGrid w:val="0"/>
              <w:spacing w:line="600" w:lineRule="exact"/>
              <w:jc w:val="center"/>
              <w:rPr>
                <w:rFonts w:asciiTheme="minorEastAsia" w:hAnsiTheme="minorEastAsia" w:eastAsiaTheme="minorEastAsia"/>
                <w:sz w:val="24"/>
                <w:szCs w:val="24"/>
              </w:rPr>
            </w:pPr>
          </w:p>
        </w:tc>
        <w:tc>
          <w:tcPr>
            <w:tcW w:w="2194" w:type="dxa"/>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425,465,450.55</w:t>
            </w:r>
          </w:p>
        </w:tc>
        <w:tc>
          <w:tcPr>
            <w:tcW w:w="2192" w:type="dxa"/>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82,922,688.89</w:t>
            </w:r>
          </w:p>
        </w:tc>
        <w:tc>
          <w:tcPr>
            <w:tcW w:w="2194" w:type="dxa"/>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71,372,209.94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 w:hRule="atLeast"/>
          <w:jc w:val="center"/>
        </w:trPr>
        <w:tc>
          <w:tcPr>
            <w:tcW w:w="2311" w:type="dxa"/>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审计机构</w:t>
            </w:r>
          </w:p>
        </w:tc>
        <w:tc>
          <w:tcPr>
            <w:tcW w:w="6580" w:type="dxa"/>
            <w:gridSpan w:val="3"/>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大华会计师事务所（特殊普通合伙）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4" w:hRule="atLeast"/>
          <w:jc w:val="center"/>
        </w:trPr>
        <w:tc>
          <w:tcPr>
            <w:tcW w:w="8891" w:type="dxa"/>
            <w:gridSpan w:val="4"/>
            <w:vAlign w:val="center"/>
          </w:tcPr>
          <w:p>
            <w:pPr>
              <w:adjustRightInd w:val="0"/>
              <w:snapToGrid w:val="0"/>
              <w:spacing w:line="600" w:lineRule="exact"/>
              <w:jc w:val="center"/>
              <w:rPr>
                <w:rFonts w:asciiTheme="minorEastAsia" w:hAnsiTheme="minorEastAsia" w:eastAsiaTheme="minorEastAsia"/>
                <w:b/>
                <w:bCs/>
                <w:sz w:val="24"/>
                <w:szCs w:val="24"/>
              </w:rPr>
            </w:pPr>
            <w:r>
              <w:rPr>
                <w:rFonts w:hint="eastAsia" w:asciiTheme="minorEastAsia" w:hAnsiTheme="minorEastAsia" w:eastAsiaTheme="minorEastAsia"/>
                <w:sz w:val="24"/>
                <w:szCs w:val="24"/>
              </w:rPr>
              <w:t>以下数据出自企业2020年1-12月审计报告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exact"/>
          <w:jc w:val="center"/>
        </w:trPr>
        <w:tc>
          <w:tcPr>
            <w:tcW w:w="2311"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年度日期</w:t>
            </w:r>
          </w:p>
        </w:tc>
        <w:tc>
          <w:tcPr>
            <w:tcW w:w="2194"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资产总计</w:t>
            </w:r>
          </w:p>
        </w:tc>
        <w:tc>
          <w:tcPr>
            <w:tcW w:w="2192"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负债总计</w:t>
            </w:r>
          </w:p>
        </w:tc>
        <w:tc>
          <w:tcPr>
            <w:tcW w:w="2194"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exact"/>
          <w:jc w:val="center"/>
        </w:trPr>
        <w:tc>
          <w:tcPr>
            <w:tcW w:w="2311" w:type="dxa"/>
            <w:vMerge w:val="restart"/>
            <w:vAlign w:val="center"/>
          </w:tcPr>
          <w:p>
            <w:pPr>
              <w:adjustRightInd w:val="0"/>
              <w:snapToGrid w:val="0"/>
              <w:spacing w:line="600" w:lineRule="exact"/>
              <w:jc w:val="center"/>
              <w:rPr>
                <w:rFonts w:asciiTheme="minorEastAsia" w:hAnsiTheme="minorEastAsia" w:eastAsiaTheme="minorEastAsia"/>
                <w:sz w:val="24"/>
                <w:szCs w:val="24"/>
                <w:u w:val="single"/>
              </w:rPr>
            </w:pPr>
            <w:r>
              <w:rPr>
                <w:rFonts w:hint="eastAsia" w:asciiTheme="minorEastAsia" w:hAnsiTheme="minorEastAsia" w:eastAsiaTheme="minorEastAsia"/>
                <w:sz w:val="24"/>
                <w:szCs w:val="24"/>
              </w:rPr>
              <w:t>2020年12月31日</w:t>
            </w:r>
          </w:p>
        </w:tc>
        <w:tc>
          <w:tcPr>
            <w:tcW w:w="2194" w:type="dxa"/>
            <w:vAlign w:val="center"/>
          </w:tcPr>
          <w:p>
            <w:pPr>
              <w:adjustRightInd w:val="0"/>
              <w:snapToGrid w:val="0"/>
              <w:spacing w:line="600" w:lineRule="exact"/>
              <w:jc w:val="center"/>
              <w:rPr>
                <w:rFonts w:asciiTheme="minorEastAsia" w:hAnsiTheme="minorEastAsia" w:eastAsiaTheme="minorEastAsia"/>
                <w:bCs/>
                <w:sz w:val="24"/>
                <w:szCs w:val="24"/>
              </w:rPr>
            </w:pPr>
            <w:r>
              <w:rPr>
                <w:rFonts w:asciiTheme="minorEastAsia" w:hAnsiTheme="minorEastAsia" w:eastAsiaTheme="minorEastAsia"/>
                <w:sz w:val="24"/>
                <w:szCs w:val="24"/>
              </w:rPr>
              <w:t>737</w:t>
            </w:r>
            <w:r>
              <w:rPr>
                <w:rFonts w:hint="eastAsia" w:asciiTheme="minorEastAsia" w:hAnsiTheme="minorEastAsia" w:eastAsiaTheme="minorEastAsia"/>
                <w:sz w:val="24"/>
                <w:szCs w:val="24"/>
              </w:rPr>
              <w:t>,</w:t>
            </w:r>
            <w:r>
              <w:rPr>
                <w:rFonts w:asciiTheme="minorEastAsia" w:hAnsiTheme="minorEastAsia" w:eastAsiaTheme="minorEastAsia"/>
                <w:sz w:val="24"/>
                <w:szCs w:val="24"/>
              </w:rPr>
              <w:t>248</w:t>
            </w:r>
            <w:r>
              <w:rPr>
                <w:rFonts w:hint="eastAsia" w:asciiTheme="minorEastAsia" w:hAnsiTheme="minorEastAsia" w:eastAsiaTheme="minorEastAsia"/>
                <w:sz w:val="24"/>
                <w:szCs w:val="24"/>
              </w:rPr>
              <w:t>,</w:t>
            </w:r>
            <w:r>
              <w:rPr>
                <w:rFonts w:asciiTheme="minorEastAsia" w:hAnsiTheme="minorEastAsia" w:eastAsiaTheme="minorEastAsia"/>
                <w:sz w:val="24"/>
                <w:szCs w:val="24"/>
              </w:rPr>
              <w:t>828.96</w:t>
            </w:r>
          </w:p>
        </w:tc>
        <w:tc>
          <w:tcPr>
            <w:tcW w:w="2192" w:type="dxa"/>
            <w:vAlign w:val="center"/>
          </w:tcPr>
          <w:p>
            <w:pPr>
              <w:adjustRightInd w:val="0"/>
              <w:snapToGrid w:val="0"/>
              <w:spacing w:line="600" w:lineRule="exact"/>
              <w:jc w:val="center"/>
              <w:rPr>
                <w:rFonts w:asciiTheme="minorEastAsia" w:hAnsiTheme="minorEastAsia" w:eastAsiaTheme="minorEastAsia"/>
                <w:bCs/>
                <w:sz w:val="24"/>
                <w:szCs w:val="24"/>
              </w:rPr>
            </w:pPr>
            <w:r>
              <w:rPr>
                <w:rFonts w:asciiTheme="minorEastAsia" w:hAnsiTheme="minorEastAsia" w:eastAsiaTheme="minorEastAsia"/>
                <w:sz w:val="24"/>
                <w:szCs w:val="24"/>
              </w:rPr>
              <w:t>522</w:t>
            </w:r>
            <w:r>
              <w:rPr>
                <w:rFonts w:hint="eastAsia" w:asciiTheme="minorEastAsia" w:hAnsiTheme="minorEastAsia" w:eastAsiaTheme="minorEastAsia"/>
                <w:sz w:val="24"/>
                <w:szCs w:val="24"/>
              </w:rPr>
              <w:t>,</w:t>
            </w:r>
            <w:r>
              <w:rPr>
                <w:rFonts w:asciiTheme="minorEastAsia" w:hAnsiTheme="minorEastAsia" w:eastAsiaTheme="minorEastAsia"/>
                <w:sz w:val="24"/>
                <w:szCs w:val="24"/>
              </w:rPr>
              <w:t>043</w:t>
            </w:r>
            <w:r>
              <w:rPr>
                <w:rFonts w:hint="eastAsia" w:asciiTheme="minorEastAsia" w:hAnsiTheme="minorEastAsia" w:eastAsiaTheme="minorEastAsia"/>
                <w:sz w:val="24"/>
                <w:szCs w:val="24"/>
              </w:rPr>
              <w:t>,</w:t>
            </w:r>
            <w:r>
              <w:rPr>
                <w:rFonts w:asciiTheme="minorEastAsia" w:hAnsiTheme="minorEastAsia" w:eastAsiaTheme="minorEastAsia"/>
                <w:sz w:val="24"/>
                <w:szCs w:val="24"/>
              </w:rPr>
              <w:t>874.42</w:t>
            </w:r>
          </w:p>
        </w:tc>
        <w:tc>
          <w:tcPr>
            <w:tcW w:w="2194" w:type="dxa"/>
            <w:vAlign w:val="center"/>
          </w:tcPr>
          <w:p>
            <w:pPr>
              <w:adjustRightInd w:val="0"/>
              <w:snapToGrid w:val="0"/>
              <w:spacing w:line="600" w:lineRule="exact"/>
              <w:jc w:val="center"/>
              <w:rPr>
                <w:rFonts w:asciiTheme="minorEastAsia" w:hAnsiTheme="minorEastAsia" w:eastAsiaTheme="minorEastAsia"/>
                <w:bCs/>
                <w:sz w:val="24"/>
                <w:szCs w:val="24"/>
              </w:rPr>
            </w:pPr>
            <w:r>
              <w:rPr>
                <w:rFonts w:asciiTheme="minorEastAsia" w:hAnsiTheme="minorEastAsia" w:eastAsiaTheme="minorEastAsia"/>
                <w:sz w:val="24"/>
                <w:szCs w:val="24"/>
              </w:rPr>
              <w:t>215</w:t>
            </w:r>
            <w:r>
              <w:rPr>
                <w:rFonts w:hint="eastAsia" w:asciiTheme="minorEastAsia" w:hAnsiTheme="minorEastAsia" w:eastAsiaTheme="minorEastAsia"/>
                <w:sz w:val="24"/>
                <w:szCs w:val="24"/>
              </w:rPr>
              <w:t>,</w:t>
            </w:r>
            <w:r>
              <w:rPr>
                <w:rFonts w:asciiTheme="minorEastAsia" w:hAnsiTheme="minorEastAsia" w:eastAsiaTheme="minorEastAsia"/>
                <w:sz w:val="24"/>
                <w:szCs w:val="24"/>
              </w:rPr>
              <w:t>204</w:t>
            </w:r>
            <w:r>
              <w:rPr>
                <w:rFonts w:hint="eastAsia" w:asciiTheme="minorEastAsia" w:hAnsiTheme="minorEastAsia" w:eastAsiaTheme="minorEastAsia"/>
                <w:sz w:val="24"/>
                <w:szCs w:val="24"/>
              </w:rPr>
              <w:t>,</w:t>
            </w:r>
            <w:r>
              <w:rPr>
                <w:rFonts w:asciiTheme="minorEastAsia" w:hAnsiTheme="minorEastAsia" w:eastAsiaTheme="minorEastAsia"/>
                <w:sz w:val="24"/>
                <w:szCs w:val="24"/>
              </w:rPr>
              <w:t>954.54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exact"/>
          <w:jc w:val="center"/>
        </w:trPr>
        <w:tc>
          <w:tcPr>
            <w:tcW w:w="2311" w:type="dxa"/>
            <w:vMerge w:val="continue"/>
            <w:shd w:val="clear" w:color="auto" w:fill="auto"/>
            <w:vAlign w:val="center"/>
          </w:tcPr>
          <w:p>
            <w:pPr>
              <w:adjustRightInd w:val="0"/>
              <w:snapToGrid w:val="0"/>
              <w:spacing w:line="600" w:lineRule="exact"/>
              <w:jc w:val="center"/>
              <w:rPr>
                <w:rFonts w:asciiTheme="minorEastAsia" w:hAnsiTheme="minorEastAsia" w:eastAsiaTheme="minorEastAsia"/>
                <w:sz w:val="24"/>
                <w:szCs w:val="24"/>
                <w:u w:val="single"/>
              </w:rPr>
            </w:pPr>
          </w:p>
        </w:tc>
        <w:tc>
          <w:tcPr>
            <w:tcW w:w="2194" w:type="dxa"/>
            <w:shd w:val="clear" w:color="auto" w:fill="auto"/>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营业收入</w:t>
            </w:r>
          </w:p>
        </w:tc>
        <w:tc>
          <w:tcPr>
            <w:tcW w:w="2192" w:type="dxa"/>
            <w:shd w:val="clear" w:color="auto" w:fill="FFFFFF"/>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利润总额</w:t>
            </w:r>
          </w:p>
        </w:tc>
        <w:tc>
          <w:tcPr>
            <w:tcW w:w="2194" w:type="dxa"/>
            <w:shd w:val="clear" w:color="auto" w:fill="FFFFFF"/>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 w:hRule="exact"/>
          <w:jc w:val="center"/>
        </w:trPr>
        <w:tc>
          <w:tcPr>
            <w:tcW w:w="2311" w:type="dxa"/>
            <w:vMerge w:val="continue"/>
            <w:shd w:val="clear" w:color="auto" w:fill="auto"/>
            <w:vAlign w:val="center"/>
          </w:tcPr>
          <w:p>
            <w:pPr>
              <w:adjustRightInd w:val="0"/>
              <w:snapToGrid w:val="0"/>
              <w:spacing w:line="600" w:lineRule="exact"/>
              <w:jc w:val="center"/>
              <w:rPr>
                <w:rFonts w:asciiTheme="minorEastAsia" w:hAnsiTheme="minorEastAsia" w:eastAsiaTheme="minorEastAsia"/>
                <w:sz w:val="24"/>
                <w:szCs w:val="24"/>
                <w:u w:val="single"/>
              </w:rPr>
            </w:pPr>
          </w:p>
        </w:tc>
        <w:tc>
          <w:tcPr>
            <w:tcW w:w="2194" w:type="dxa"/>
            <w:shd w:val="clear" w:color="auto" w:fill="auto"/>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293,783,188.57</w:t>
            </w:r>
          </w:p>
        </w:tc>
        <w:tc>
          <w:tcPr>
            <w:tcW w:w="2192" w:type="dxa"/>
            <w:shd w:val="clear" w:color="auto" w:fill="FFFFFF"/>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-28,728,876.94</w:t>
            </w:r>
          </w:p>
        </w:tc>
        <w:tc>
          <w:tcPr>
            <w:tcW w:w="2194" w:type="dxa"/>
            <w:shd w:val="clear" w:color="auto" w:fill="FFFFFF"/>
            <w:vAlign w:val="center"/>
          </w:tcPr>
          <w:p>
            <w:pPr>
              <w:adjustRightInd w:val="0"/>
              <w:snapToGrid w:val="0"/>
              <w:spacing w:line="600" w:lineRule="exact"/>
              <w:ind w:firstLine="120" w:firstLineChars="50"/>
              <w:rPr>
                <w:rFonts w:asciiTheme="minorEastAsia" w:hAnsiTheme="minorEastAsia" w:eastAsiaTheme="minorEastAsia"/>
                <w:sz w:val="24"/>
                <w:szCs w:val="24"/>
              </w:rPr>
            </w:pPr>
            <w:r>
              <w:rPr>
                <w:rFonts w:asciiTheme="minorEastAsia" w:hAnsiTheme="minorEastAsia" w:eastAsiaTheme="minorEastAsia"/>
                <w:sz w:val="24"/>
                <w:szCs w:val="24"/>
              </w:rPr>
              <w:t>-29,230,564.84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exact"/>
          <w:jc w:val="center"/>
        </w:trPr>
        <w:tc>
          <w:tcPr>
            <w:tcW w:w="2311" w:type="dxa"/>
            <w:shd w:val="clear" w:color="auto" w:fill="auto"/>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审计机构</w:t>
            </w:r>
          </w:p>
        </w:tc>
        <w:tc>
          <w:tcPr>
            <w:tcW w:w="6580" w:type="dxa"/>
            <w:gridSpan w:val="3"/>
            <w:shd w:val="clear" w:color="auto" w:fill="FFFFFF"/>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大华会计师事务所（特殊普通合伙）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4" w:hRule="atLeast"/>
          <w:jc w:val="center"/>
        </w:trPr>
        <w:tc>
          <w:tcPr>
            <w:tcW w:w="8891" w:type="dxa"/>
            <w:gridSpan w:val="4"/>
            <w:vAlign w:val="center"/>
          </w:tcPr>
          <w:p>
            <w:pPr>
              <w:adjustRightInd w:val="0"/>
              <w:snapToGrid w:val="0"/>
              <w:spacing w:line="600" w:lineRule="exact"/>
              <w:jc w:val="center"/>
              <w:rPr>
                <w:rFonts w:asciiTheme="minorEastAsia" w:hAnsiTheme="minorEastAsia" w:eastAsiaTheme="minorEastAsia"/>
                <w:b/>
                <w:bCs/>
                <w:sz w:val="24"/>
                <w:szCs w:val="24"/>
              </w:rPr>
            </w:pPr>
            <w:r>
              <w:rPr>
                <w:rFonts w:hint="eastAsia" w:asciiTheme="minorEastAsia" w:hAnsiTheme="minorEastAsia" w:eastAsiaTheme="minorEastAsia"/>
                <w:sz w:val="24"/>
                <w:szCs w:val="24"/>
              </w:rPr>
              <w:t>以下数据出自企业2021年7月财务报表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exact"/>
          <w:jc w:val="center"/>
        </w:trPr>
        <w:tc>
          <w:tcPr>
            <w:tcW w:w="2311"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年度日期</w:t>
            </w:r>
          </w:p>
        </w:tc>
        <w:tc>
          <w:tcPr>
            <w:tcW w:w="2194"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资产总计</w:t>
            </w:r>
          </w:p>
        </w:tc>
        <w:tc>
          <w:tcPr>
            <w:tcW w:w="2192"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负债总计</w:t>
            </w:r>
          </w:p>
        </w:tc>
        <w:tc>
          <w:tcPr>
            <w:tcW w:w="2194" w:type="dxa"/>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exact"/>
          <w:jc w:val="center"/>
        </w:trPr>
        <w:tc>
          <w:tcPr>
            <w:tcW w:w="2311" w:type="dxa"/>
            <w:vMerge w:val="restart"/>
            <w:vAlign w:val="center"/>
          </w:tcPr>
          <w:p>
            <w:pPr>
              <w:adjustRightInd w:val="0"/>
              <w:snapToGrid w:val="0"/>
              <w:spacing w:line="600" w:lineRule="exact"/>
              <w:jc w:val="center"/>
              <w:rPr>
                <w:rFonts w:asciiTheme="minorEastAsia" w:hAnsiTheme="minorEastAsia" w:eastAsiaTheme="minorEastAsia"/>
                <w:sz w:val="24"/>
                <w:szCs w:val="24"/>
                <w:u w:val="single"/>
              </w:rPr>
            </w:pPr>
            <w:r>
              <w:rPr>
                <w:rFonts w:hint="eastAsia" w:asciiTheme="minorEastAsia" w:hAnsiTheme="minorEastAsia" w:eastAsiaTheme="minorEastAsia"/>
                <w:sz w:val="24"/>
                <w:szCs w:val="24"/>
              </w:rPr>
              <w:t>2021年7月30日</w:t>
            </w:r>
          </w:p>
        </w:tc>
        <w:tc>
          <w:tcPr>
            <w:tcW w:w="2194" w:type="dxa"/>
            <w:vAlign w:val="center"/>
          </w:tcPr>
          <w:p>
            <w:pPr>
              <w:adjustRightInd w:val="0"/>
              <w:snapToGrid w:val="0"/>
              <w:spacing w:line="600" w:lineRule="exact"/>
              <w:jc w:val="center"/>
              <w:rPr>
                <w:rFonts w:asciiTheme="minorEastAsia" w:hAnsiTheme="minorEastAsia" w:eastAsiaTheme="minorEastAsia"/>
                <w:bCs/>
                <w:sz w:val="24"/>
                <w:szCs w:val="24"/>
              </w:rPr>
            </w:pPr>
            <w:r>
              <w:rPr>
                <w:rFonts w:hint="eastAsia" w:asciiTheme="minorEastAsia" w:hAnsiTheme="minorEastAsia" w:eastAsiaTheme="minorEastAsia"/>
                <w:sz w:val="24"/>
                <w:szCs w:val="24"/>
              </w:rPr>
              <w:t>516,175,896.25</w:t>
            </w:r>
          </w:p>
        </w:tc>
        <w:tc>
          <w:tcPr>
            <w:tcW w:w="2192" w:type="dxa"/>
            <w:vAlign w:val="center"/>
          </w:tcPr>
          <w:p>
            <w:pPr>
              <w:adjustRightInd w:val="0"/>
              <w:snapToGrid w:val="0"/>
              <w:spacing w:line="600" w:lineRule="exact"/>
              <w:jc w:val="center"/>
              <w:rPr>
                <w:rFonts w:asciiTheme="minorEastAsia" w:hAnsiTheme="minorEastAsia" w:eastAsiaTheme="minorEastAsia"/>
                <w:bCs/>
                <w:sz w:val="24"/>
                <w:szCs w:val="24"/>
              </w:rPr>
            </w:pPr>
            <w:r>
              <w:rPr>
                <w:rFonts w:hint="eastAsia" w:asciiTheme="minorEastAsia" w:hAnsiTheme="minorEastAsia" w:eastAsiaTheme="minorEastAsia"/>
                <w:sz w:val="24"/>
                <w:szCs w:val="24"/>
              </w:rPr>
              <w:t>294,501,866.10</w:t>
            </w:r>
          </w:p>
        </w:tc>
        <w:tc>
          <w:tcPr>
            <w:tcW w:w="2194" w:type="dxa"/>
            <w:vAlign w:val="center"/>
          </w:tcPr>
          <w:p>
            <w:pPr>
              <w:adjustRightInd w:val="0"/>
              <w:snapToGrid w:val="0"/>
              <w:spacing w:line="600" w:lineRule="exact"/>
              <w:jc w:val="center"/>
              <w:rPr>
                <w:rFonts w:asciiTheme="minorEastAsia" w:hAnsiTheme="minorEastAsia" w:eastAsiaTheme="minorEastAsia"/>
                <w:bCs/>
                <w:sz w:val="24"/>
                <w:szCs w:val="24"/>
              </w:rPr>
            </w:pPr>
            <w:r>
              <w:rPr>
                <w:rFonts w:hint="eastAsia" w:asciiTheme="minorEastAsia" w:hAnsiTheme="minorEastAsia" w:eastAsiaTheme="minorEastAsia"/>
                <w:sz w:val="24"/>
                <w:szCs w:val="24"/>
              </w:rPr>
              <w:t>221,674,030.15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exact"/>
          <w:jc w:val="center"/>
        </w:trPr>
        <w:tc>
          <w:tcPr>
            <w:tcW w:w="2311" w:type="dxa"/>
            <w:vMerge w:val="continue"/>
            <w:shd w:val="clear" w:color="auto" w:fill="auto"/>
            <w:vAlign w:val="center"/>
          </w:tcPr>
          <w:p>
            <w:pPr>
              <w:adjustRightInd w:val="0"/>
              <w:snapToGrid w:val="0"/>
              <w:spacing w:line="600" w:lineRule="exact"/>
              <w:jc w:val="center"/>
              <w:rPr>
                <w:rFonts w:asciiTheme="minorEastAsia" w:hAnsiTheme="minorEastAsia" w:eastAsiaTheme="minorEastAsia"/>
                <w:sz w:val="24"/>
                <w:szCs w:val="24"/>
                <w:u w:val="single"/>
              </w:rPr>
            </w:pPr>
          </w:p>
        </w:tc>
        <w:tc>
          <w:tcPr>
            <w:tcW w:w="2194" w:type="dxa"/>
            <w:shd w:val="clear" w:color="auto" w:fill="auto"/>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营业收入</w:t>
            </w:r>
          </w:p>
        </w:tc>
        <w:tc>
          <w:tcPr>
            <w:tcW w:w="2192" w:type="dxa"/>
            <w:shd w:val="clear" w:color="auto" w:fill="FFFFFF"/>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利润总额</w:t>
            </w:r>
          </w:p>
        </w:tc>
        <w:tc>
          <w:tcPr>
            <w:tcW w:w="2194" w:type="dxa"/>
            <w:shd w:val="clear" w:color="auto" w:fill="FFFFFF"/>
            <w:vAlign w:val="center"/>
          </w:tcPr>
          <w:p>
            <w:pPr>
              <w:adjustRightInd w:val="0"/>
              <w:snapToGrid w:val="0"/>
              <w:spacing w:line="600" w:lineRule="exact"/>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 w:hRule="exact"/>
          <w:jc w:val="center"/>
        </w:trPr>
        <w:tc>
          <w:tcPr>
            <w:tcW w:w="2311" w:type="dxa"/>
            <w:vMerge w:val="continue"/>
            <w:shd w:val="clear" w:color="auto" w:fill="auto"/>
            <w:vAlign w:val="center"/>
          </w:tcPr>
          <w:p>
            <w:pPr>
              <w:adjustRightInd w:val="0"/>
              <w:snapToGrid w:val="0"/>
              <w:spacing w:line="600" w:lineRule="exact"/>
              <w:jc w:val="center"/>
              <w:rPr>
                <w:rFonts w:asciiTheme="minorEastAsia" w:hAnsiTheme="minorEastAsia" w:eastAsiaTheme="minorEastAsia"/>
                <w:sz w:val="24"/>
                <w:szCs w:val="24"/>
                <w:u w:val="single"/>
              </w:rPr>
            </w:pPr>
          </w:p>
        </w:tc>
        <w:tc>
          <w:tcPr>
            <w:tcW w:w="2194" w:type="dxa"/>
            <w:shd w:val="clear" w:color="auto" w:fill="auto"/>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189,043,097.43</w:t>
            </w:r>
          </w:p>
        </w:tc>
        <w:tc>
          <w:tcPr>
            <w:tcW w:w="2192" w:type="dxa"/>
            <w:shd w:val="clear" w:color="auto" w:fill="FFFFFF"/>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-4,806,073.43</w:t>
            </w:r>
          </w:p>
        </w:tc>
        <w:tc>
          <w:tcPr>
            <w:tcW w:w="2194" w:type="dxa"/>
            <w:shd w:val="clear" w:color="auto" w:fill="FFFFFF"/>
            <w:vAlign w:val="center"/>
          </w:tcPr>
          <w:p>
            <w:pPr>
              <w:adjustRightInd w:val="0"/>
              <w:snapToGrid w:val="0"/>
              <w:spacing w:line="600" w:lineRule="exact"/>
              <w:ind w:firstLine="120" w:firstLineChars="50"/>
              <w:rPr>
                <w:rFonts w:asciiTheme="minorEastAsia" w:hAnsiTheme="minorEastAsia" w:eastAsiaTheme="minorEastAsia"/>
                <w:sz w:val="24"/>
                <w:szCs w:val="24"/>
              </w:rPr>
            </w:pPr>
            <w:r>
              <w:rPr>
                <w:rFonts w:hint="eastAsia" w:asciiTheme="minorEastAsia" w:hAnsiTheme="minorEastAsia" w:eastAsiaTheme="minorEastAsia"/>
                <w:sz w:val="24"/>
                <w:szCs w:val="24"/>
              </w:rPr>
              <w:t>-4,806,073.43</w:t>
            </w:r>
          </w:p>
        </w:tc>
      </w:tr>
    </w:tbl>
    <w:p>
      <w:pPr>
        <w:pStyle w:val="40"/>
        <w:adjustRightInd w:val="0"/>
        <w:snapToGrid w:val="0"/>
        <w:spacing w:line="600" w:lineRule="exact"/>
        <w:ind w:firstLine="560"/>
        <w:rPr>
          <w:rFonts w:asciiTheme="minorEastAsia" w:hAnsiTheme="minorEastAsia" w:eastAsiaTheme="minorEastAsia"/>
          <w:sz w:val="28"/>
          <w:szCs w:val="28"/>
        </w:rPr>
      </w:pPr>
      <w:r>
        <w:rPr>
          <w:rFonts w:asciiTheme="minorEastAsia" w:hAnsiTheme="minorEastAsia" w:eastAsiaTheme="minorEastAsia"/>
          <w:sz w:val="28"/>
          <w:szCs w:val="28"/>
        </w:rPr>
        <w:t>(</w:t>
      </w:r>
      <w:r>
        <w:rPr>
          <w:rFonts w:hint="eastAsia" w:asciiTheme="minorEastAsia" w:hAnsiTheme="minorEastAsia" w:eastAsiaTheme="minorEastAsia"/>
          <w:sz w:val="28"/>
          <w:szCs w:val="28"/>
        </w:rPr>
        <w:t>二</w:t>
      </w:r>
      <w:r>
        <w:rPr>
          <w:rFonts w:asciiTheme="minorEastAsia" w:hAnsiTheme="minorEastAsia" w:eastAsiaTheme="minorEastAsia"/>
          <w:sz w:val="28"/>
          <w:szCs w:val="28"/>
        </w:rPr>
        <w:t>)</w:t>
      </w:r>
      <w:r>
        <w:rPr>
          <w:rFonts w:hint="eastAsia" w:asciiTheme="minorEastAsia" w:hAnsiTheme="minorEastAsia" w:eastAsiaTheme="minorEastAsia"/>
          <w:sz w:val="28"/>
          <w:szCs w:val="28"/>
        </w:rPr>
        <w:t>增资后的股权结构</w:t>
      </w:r>
    </w:p>
    <w:tbl>
      <w:tblPr>
        <w:tblStyle w:val="19"/>
        <w:tblpPr w:leftFromText="180" w:rightFromText="180" w:vertAnchor="text" w:horzAnchor="page" w:tblpX="1712" w:tblpY="524"/>
        <w:tblOverlap w:val="never"/>
        <w:tblW w:w="88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5"/>
        <w:gridCol w:w="2490"/>
        <w:gridCol w:w="1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4705" w:type="dxa"/>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名称</w:t>
            </w:r>
          </w:p>
        </w:tc>
        <w:tc>
          <w:tcPr>
            <w:tcW w:w="2490" w:type="dxa"/>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实缴注册资本（万元）</w:t>
            </w:r>
          </w:p>
        </w:tc>
        <w:tc>
          <w:tcPr>
            <w:tcW w:w="1665" w:type="dxa"/>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trPr>
        <w:tc>
          <w:tcPr>
            <w:tcW w:w="4705" w:type="dxa"/>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北航长鹰科技有限公司</w:t>
            </w:r>
          </w:p>
        </w:tc>
        <w:tc>
          <w:tcPr>
            <w:tcW w:w="2490" w:type="dxa"/>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2405.436544</w:t>
            </w:r>
          </w:p>
        </w:tc>
        <w:tc>
          <w:tcPr>
            <w:tcW w:w="1665" w:type="dxa"/>
            <w:vAlign w:val="center"/>
          </w:tcPr>
          <w:p>
            <w:pPr>
              <w:widowControl/>
              <w:adjustRightInd w:val="0"/>
              <w:snapToGrid w:val="0"/>
              <w:spacing w:line="600" w:lineRule="exact"/>
              <w:jc w:val="center"/>
              <w:textAlignment w:val="center"/>
              <w:rPr>
                <w:rFonts w:asciiTheme="minorEastAsia" w:hAnsiTheme="minorEastAsia" w:eastAsiaTheme="minorEastAsia"/>
                <w:sz w:val="24"/>
                <w:szCs w:val="24"/>
              </w:rPr>
            </w:pPr>
            <w:r>
              <w:rPr>
                <w:rFonts w:asciiTheme="minorEastAsia" w:hAnsiTheme="minorEastAsia" w:eastAsiaTheme="minorEastAsia"/>
                <w:sz w:val="24"/>
                <w:szCs w:val="24"/>
              </w:rPr>
              <w:t>29.70%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trPr>
        <w:tc>
          <w:tcPr>
            <w:tcW w:w="4705" w:type="dxa"/>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台州市优化升级投资合伙企业（有限合伙）</w:t>
            </w:r>
          </w:p>
        </w:tc>
        <w:tc>
          <w:tcPr>
            <w:tcW w:w="2490" w:type="dxa"/>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1297.281728</w:t>
            </w:r>
          </w:p>
        </w:tc>
        <w:tc>
          <w:tcPr>
            <w:tcW w:w="1665" w:type="dxa"/>
            <w:vAlign w:val="center"/>
          </w:tcPr>
          <w:p>
            <w:pPr>
              <w:widowControl/>
              <w:adjustRightInd w:val="0"/>
              <w:snapToGrid w:val="0"/>
              <w:spacing w:line="600" w:lineRule="exact"/>
              <w:jc w:val="center"/>
              <w:textAlignment w:val="center"/>
              <w:rPr>
                <w:rFonts w:asciiTheme="minorEastAsia" w:hAnsiTheme="minorEastAsia" w:eastAsiaTheme="minorEastAsia"/>
                <w:sz w:val="24"/>
                <w:szCs w:val="24"/>
              </w:rPr>
            </w:pPr>
            <w:r>
              <w:rPr>
                <w:rFonts w:asciiTheme="minorEastAsia" w:hAnsiTheme="minorEastAsia" w:eastAsiaTheme="minorEastAsia"/>
                <w:sz w:val="24"/>
                <w:szCs w:val="24"/>
              </w:rPr>
              <w:t>16.02%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trPr>
        <w:tc>
          <w:tcPr>
            <w:tcW w:w="4705" w:type="dxa"/>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台州产业投资有限公司</w:t>
            </w:r>
          </w:p>
        </w:tc>
        <w:tc>
          <w:tcPr>
            <w:tcW w:w="2490" w:type="dxa"/>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648.640864</w:t>
            </w:r>
          </w:p>
        </w:tc>
        <w:tc>
          <w:tcPr>
            <w:tcW w:w="1665" w:type="dxa"/>
            <w:vAlign w:val="center"/>
          </w:tcPr>
          <w:p>
            <w:pPr>
              <w:widowControl/>
              <w:adjustRightInd w:val="0"/>
              <w:snapToGrid w:val="0"/>
              <w:spacing w:line="600" w:lineRule="exact"/>
              <w:jc w:val="center"/>
              <w:textAlignment w:val="center"/>
              <w:rPr>
                <w:rFonts w:asciiTheme="minorEastAsia" w:hAnsiTheme="minorEastAsia" w:eastAsiaTheme="minorEastAsia"/>
                <w:sz w:val="24"/>
                <w:szCs w:val="24"/>
              </w:rPr>
            </w:pPr>
            <w:r>
              <w:rPr>
                <w:rFonts w:asciiTheme="minorEastAsia" w:hAnsiTheme="minorEastAsia" w:eastAsiaTheme="minorEastAsia"/>
                <w:sz w:val="24"/>
                <w:szCs w:val="24"/>
              </w:rPr>
              <w:t>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trPr>
        <w:tc>
          <w:tcPr>
            <w:tcW w:w="4705" w:type="dxa"/>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台州东部投资管理有限公司</w:t>
            </w:r>
          </w:p>
        </w:tc>
        <w:tc>
          <w:tcPr>
            <w:tcW w:w="2490" w:type="dxa"/>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648.640864</w:t>
            </w:r>
          </w:p>
        </w:tc>
        <w:tc>
          <w:tcPr>
            <w:tcW w:w="1665" w:type="dxa"/>
            <w:vAlign w:val="center"/>
          </w:tcPr>
          <w:p>
            <w:pPr>
              <w:widowControl/>
              <w:adjustRightInd w:val="0"/>
              <w:snapToGrid w:val="0"/>
              <w:spacing w:line="600" w:lineRule="exact"/>
              <w:jc w:val="center"/>
              <w:textAlignment w:val="center"/>
              <w:rPr>
                <w:rFonts w:asciiTheme="minorEastAsia" w:hAnsiTheme="minorEastAsia" w:eastAsiaTheme="minorEastAsia"/>
                <w:sz w:val="24"/>
                <w:szCs w:val="24"/>
              </w:rPr>
            </w:pPr>
            <w:r>
              <w:rPr>
                <w:rFonts w:asciiTheme="minorEastAsia" w:hAnsiTheme="minorEastAsia" w:eastAsiaTheme="minorEastAsia"/>
                <w:sz w:val="24"/>
                <w:szCs w:val="24"/>
              </w:rPr>
              <w:t>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trPr>
        <w:tc>
          <w:tcPr>
            <w:tcW w:w="4705" w:type="dxa"/>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新投资方（</w:t>
            </w:r>
            <w:bookmarkStart w:id="11" w:name="_Hlk81043190"/>
            <w:r>
              <w:rPr>
                <w:rFonts w:hint="eastAsia" w:asciiTheme="minorEastAsia" w:hAnsiTheme="minorEastAsia" w:eastAsiaTheme="minorEastAsia"/>
                <w:sz w:val="24"/>
                <w:szCs w:val="24"/>
              </w:rPr>
              <w:t>台交所挂【2021】</w:t>
            </w:r>
            <w:r>
              <w:rPr>
                <w:rFonts w:asciiTheme="minorEastAsia" w:hAnsiTheme="minorEastAsia" w:eastAsiaTheme="minorEastAsia"/>
                <w:sz w:val="24"/>
                <w:szCs w:val="24"/>
              </w:rPr>
              <w:t>24</w:t>
            </w:r>
            <w:r>
              <w:rPr>
                <w:rFonts w:hint="eastAsia" w:asciiTheme="minorEastAsia" w:hAnsiTheme="minorEastAsia" w:eastAsiaTheme="minorEastAsia"/>
                <w:sz w:val="24"/>
                <w:szCs w:val="24"/>
              </w:rPr>
              <w:t>号</w:t>
            </w:r>
            <w:bookmarkEnd w:id="11"/>
            <w:r>
              <w:rPr>
                <w:rFonts w:hint="eastAsia" w:asciiTheme="minorEastAsia" w:hAnsiTheme="minorEastAsia" w:eastAsiaTheme="minorEastAsia"/>
                <w:sz w:val="24"/>
                <w:szCs w:val="24"/>
              </w:rPr>
              <w:t>）</w:t>
            </w:r>
          </w:p>
        </w:tc>
        <w:tc>
          <w:tcPr>
            <w:tcW w:w="2490" w:type="dxa"/>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3098.477486</w:t>
            </w:r>
          </w:p>
        </w:tc>
        <w:tc>
          <w:tcPr>
            <w:tcW w:w="1665" w:type="dxa"/>
            <w:vAlign w:val="center"/>
          </w:tcPr>
          <w:p>
            <w:pPr>
              <w:widowControl/>
              <w:adjustRightInd w:val="0"/>
              <w:snapToGrid w:val="0"/>
              <w:spacing w:line="600" w:lineRule="exact"/>
              <w:jc w:val="center"/>
              <w:textAlignment w:val="center"/>
              <w:rPr>
                <w:rFonts w:asciiTheme="minorEastAsia" w:hAnsiTheme="minorEastAsia" w:eastAsiaTheme="minorEastAsia"/>
                <w:sz w:val="24"/>
                <w:szCs w:val="24"/>
              </w:rPr>
            </w:pPr>
            <w:r>
              <w:rPr>
                <w:rFonts w:asciiTheme="minorEastAsia" w:hAnsiTheme="minorEastAsia" w:eastAsiaTheme="minorEastAsia"/>
                <w:sz w:val="24"/>
                <w:szCs w:val="24"/>
              </w:rPr>
              <w:t>38.26%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trPr>
        <w:tc>
          <w:tcPr>
            <w:tcW w:w="4705" w:type="dxa"/>
            <w:vAlign w:val="center"/>
          </w:tcPr>
          <w:p>
            <w:pPr>
              <w:adjustRightInd w:val="0"/>
              <w:snapToGrid w:val="0"/>
              <w:spacing w:line="60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合计</w:t>
            </w:r>
          </w:p>
        </w:tc>
        <w:tc>
          <w:tcPr>
            <w:tcW w:w="2490" w:type="dxa"/>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8098.477486</w:t>
            </w:r>
          </w:p>
        </w:tc>
        <w:tc>
          <w:tcPr>
            <w:tcW w:w="1665" w:type="dxa"/>
            <w:vAlign w:val="center"/>
          </w:tcPr>
          <w:p>
            <w:pPr>
              <w:adjustRightInd w:val="0"/>
              <w:snapToGrid w:val="0"/>
              <w:spacing w:line="60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100%</w:t>
            </w:r>
          </w:p>
        </w:tc>
      </w:tr>
    </w:tbl>
    <w:p>
      <w:pPr>
        <w:numPr>
          <w:ilvl w:val="255"/>
          <w:numId w:val="0"/>
        </w:numPr>
        <w:adjustRightInd w:val="0"/>
        <w:snapToGrid w:val="0"/>
        <w:spacing w:line="60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（三）增资程序及时间安排</w:t>
      </w:r>
    </w:p>
    <w:p>
      <w:pPr>
        <w:numPr>
          <w:ilvl w:val="255"/>
          <w:numId w:val="0"/>
        </w:numPr>
        <w:adjustRightInd w:val="0"/>
        <w:snapToGrid w:val="0"/>
        <w:spacing w:line="60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rPr>
        <w:t>1.本次增资程序包括报名（递交</w:t>
      </w:r>
      <w:r>
        <w:rPr>
          <w:rFonts w:hint="eastAsia" w:asciiTheme="minorEastAsia" w:hAnsiTheme="minorEastAsia" w:eastAsiaTheme="minorEastAsia"/>
          <w:sz w:val="28"/>
          <w:szCs w:val="28"/>
        </w:rPr>
        <w:t>增资</w:t>
      </w:r>
      <w:r>
        <w:rPr>
          <w:rFonts w:asciiTheme="minorEastAsia" w:hAnsiTheme="minorEastAsia" w:eastAsiaTheme="minorEastAsia"/>
          <w:sz w:val="28"/>
          <w:szCs w:val="28"/>
        </w:rPr>
        <w:t>保证金）、</w:t>
      </w:r>
      <w:r>
        <w:rPr>
          <w:rFonts w:hint="eastAsia" w:asciiTheme="minorEastAsia" w:hAnsiTheme="minorEastAsia" w:eastAsiaTheme="minorEastAsia"/>
          <w:sz w:val="28"/>
          <w:szCs w:val="28"/>
        </w:rPr>
        <w:t>组织交易、确定投资方、签署《增资协议》、缴纳增资款。</w:t>
      </w:r>
    </w:p>
    <w:p>
      <w:pPr>
        <w:numPr>
          <w:ilvl w:val="255"/>
          <w:numId w:val="0"/>
        </w:numPr>
        <w:adjustRightInd w:val="0"/>
        <w:snapToGrid w:val="0"/>
        <w:spacing w:line="60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2</w:t>
      </w:r>
      <w:r>
        <w:rPr>
          <w:rFonts w:asciiTheme="minorEastAsia" w:hAnsiTheme="minorEastAsia" w:eastAsiaTheme="minorEastAsia"/>
          <w:sz w:val="28"/>
          <w:szCs w:val="28"/>
        </w:rPr>
        <w:t>.</w:t>
      </w:r>
      <w:r>
        <w:rPr>
          <w:rFonts w:hint="eastAsia" w:asciiTheme="minorEastAsia" w:hAnsiTheme="minorEastAsia" w:eastAsiaTheme="minorEastAsia"/>
          <w:sz w:val="28"/>
          <w:szCs w:val="28"/>
        </w:rPr>
        <w:t>报名主体条件：</w:t>
      </w:r>
    </w:p>
    <w:p>
      <w:pPr>
        <w:numPr>
          <w:ilvl w:val="255"/>
          <w:numId w:val="0"/>
        </w:numPr>
        <w:adjustRightInd w:val="0"/>
        <w:snapToGrid w:val="0"/>
        <w:spacing w:line="60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w:t>
      </w:r>
      <w:r>
        <w:rPr>
          <w:rFonts w:asciiTheme="minorEastAsia" w:hAnsiTheme="minorEastAsia" w:eastAsiaTheme="minorEastAsia"/>
          <w:sz w:val="28"/>
          <w:szCs w:val="28"/>
        </w:rPr>
        <w:t>意向投资方须为中国境内（不含港澳台地区）依法注册并有效存续的央企或央企与金融机构组成的联合体。央企需为国务院国有资产监督管理委员会制定的中央企业名录及下属企业,经审计最新一期资产总额不低于300亿元，且净资产不低</w:t>
      </w:r>
      <w:r>
        <w:rPr>
          <w:rFonts w:hint="eastAsia" w:asciiTheme="minorEastAsia" w:hAnsiTheme="minorEastAsia" w:eastAsiaTheme="minorEastAsia"/>
          <w:sz w:val="28"/>
          <w:szCs w:val="28"/>
        </w:rPr>
        <w:t>于</w:t>
      </w:r>
      <w:r>
        <w:rPr>
          <w:rFonts w:asciiTheme="minorEastAsia" w:hAnsiTheme="minorEastAsia" w:eastAsiaTheme="minorEastAsia"/>
          <w:sz w:val="28"/>
          <w:szCs w:val="28"/>
        </w:rPr>
        <w:t>200亿</w:t>
      </w:r>
      <w:r>
        <w:rPr>
          <w:rFonts w:hint="eastAsia" w:asciiTheme="minorEastAsia" w:hAnsiTheme="minorEastAsia" w:eastAsiaTheme="minorEastAsia"/>
          <w:sz w:val="28"/>
          <w:szCs w:val="28"/>
        </w:rPr>
        <w:t>元</w:t>
      </w:r>
      <w:r>
        <w:rPr>
          <w:rFonts w:asciiTheme="minorEastAsia" w:hAnsiTheme="minorEastAsia" w:eastAsiaTheme="minorEastAsia"/>
          <w:sz w:val="28"/>
          <w:szCs w:val="28"/>
        </w:rPr>
        <w:t>；如果意向投资方为私募基金或信托计划,须是央企二级全资或控股子公司及以上的直接投资人；</w:t>
      </w:r>
    </w:p>
    <w:p>
      <w:pPr>
        <w:numPr>
          <w:ilvl w:val="255"/>
          <w:numId w:val="0"/>
        </w:num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w:t>
      </w:r>
      <w:r>
        <w:rPr>
          <w:rFonts w:asciiTheme="minorEastAsia" w:hAnsiTheme="minorEastAsia" w:eastAsiaTheme="minorEastAsia"/>
          <w:sz w:val="28"/>
          <w:szCs w:val="28"/>
        </w:rPr>
        <w:t>意向投资方应具有良好的商业信用，近三年无重大违法违规；</w:t>
      </w:r>
    </w:p>
    <w:p>
      <w:pPr>
        <w:numPr>
          <w:ilvl w:val="255"/>
          <w:numId w:val="0"/>
        </w:num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asciiTheme="minorEastAsia" w:hAnsiTheme="minorEastAsia" w:eastAsiaTheme="minorEastAsia"/>
          <w:sz w:val="28"/>
          <w:szCs w:val="28"/>
        </w:rPr>
        <w:t>3）本项目接受联合体参加,联合体中投资方不超过2家；单一意向投资方拟投资总额不低于2亿元；</w:t>
      </w:r>
    </w:p>
    <w:p>
      <w:pPr>
        <w:numPr>
          <w:ilvl w:val="255"/>
          <w:numId w:val="0"/>
        </w:numPr>
        <w:adjustRightInd w:val="0"/>
        <w:snapToGrid w:val="0"/>
        <w:spacing w:line="60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asciiTheme="minorEastAsia" w:hAnsiTheme="minorEastAsia" w:eastAsiaTheme="minorEastAsia"/>
          <w:sz w:val="28"/>
          <w:szCs w:val="28"/>
        </w:rPr>
        <w:t>4）本次引进意向投资方中具备无人机及相关产业投资经验，投资无人机及其相关产业链项目不低于5家，联合体中至少一家符合本条件；</w:t>
      </w:r>
    </w:p>
    <w:p>
      <w:pPr>
        <w:numPr>
          <w:ilvl w:val="255"/>
          <w:numId w:val="0"/>
        </w:numPr>
        <w:adjustRightInd w:val="0"/>
        <w:snapToGrid w:val="0"/>
        <w:spacing w:line="60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asciiTheme="minorEastAsia" w:hAnsiTheme="minorEastAsia" w:eastAsiaTheme="minorEastAsia"/>
          <w:sz w:val="28"/>
          <w:szCs w:val="28"/>
        </w:rPr>
        <w:t>5）符合国家有关法律法规及规范性文件规定的其它条件。</w:t>
      </w:r>
    </w:p>
    <w:p>
      <w:pPr>
        <w:numPr>
          <w:ilvl w:val="255"/>
          <w:numId w:val="0"/>
        </w:numPr>
        <w:adjustRightInd w:val="0"/>
        <w:snapToGrid w:val="0"/>
        <w:spacing w:line="60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rPr>
        <w:t>4.特别约定：</w:t>
      </w:r>
    </w:p>
    <w:p>
      <w:pPr>
        <w:adjustRightInd w:val="0"/>
        <w:snapToGrid w:val="0"/>
        <w:spacing w:line="600" w:lineRule="exact"/>
        <w:ind w:firstLine="560" w:firstLineChars="200"/>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（1）本次投资方承担认购股份项下的全部股东义务；</w:t>
      </w:r>
    </w:p>
    <w:p>
      <w:pPr>
        <w:adjustRightInd w:val="0"/>
        <w:snapToGrid w:val="0"/>
        <w:spacing w:line="600" w:lineRule="exact"/>
        <w:ind w:firstLine="560" w:firstLineChars="200"/>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（2）本次投资方同意融资方将台州作为唯一总部基地；</w:t>
      </w:r>
    </w:p>
    <w:p>
      <w:pPr>
        <w:pStyle w:val="2"/>
        <w:adjustRightInd w:val="0"/>
        <w:snapToGrid w:val="0"/>
        <w:spacing w:after="0" w:line="600" w:lineRule="exact"/>
        <w:ind w:left="0" w:leftChars="0" w:firstLine="560"/>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 本次投资方同意不与融资方的北航方股东签署一致行动人协议；</w:t>
      </w:r>
    </w:p>
    <w:p>
      <w:pPr>
        <w:pStyle w:val="2"/>
        <w:adjustRightInd w:val="0"/>
        <w:snapToGrid w:val="0"/>
        <w:spacing w:after="0" w:line="600" w:lineRule="exact"/>
        <w:ind w:left="0" w:leftChars="0" w:firstLine="560"/>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（4）本次投资方退出，由各股东方在后续相关增资文件中进行协商约定。</w:t>
      </w:r>
    </w:p>
    <w:p>
      <w:pPr>
        <w:numPr>
          <w:ilvl w:val="255"/>
          <w:numId w:val="0"/>
        </w:numPr>
        <w:adjustRightInd w:val="0"/>
        <w:snapToGrid w:val="0"/>
        <w:spacing w:line="60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rPr>
        <w:t>5.递交</w:t>
      </w:r>
      <w:r>
        <w:rPr>
          <w:rFonts w:hint="eastAsia" w:asciiTheme="minorEastAsia" w:hAnsiTheme="minorEastAsia" w:eastAsiaTheme="minorEastAsia"/>
          <w:sz w:val="28"/>
          <w:szCs w:val="28"/>
        </w:rPr>
        <w:t>增资</w:t>
      </w:r>
      <w:r>
        <w:rPr>
          <w:rFonts w:asciiTheme="minorEastAsia" w:hAnsiTheme="minorEastAsia" w:eastAsiaTheme="minorEastAsia"/>
          <w:sz w:val="28"/>
          <w:szCs w:val="28"/>
        </w:rPr>
        <w:t>保证金：报名时交纳8000</w:t>
      </w:r>
      <w:r>
        <w:rPr>
          <w:rFonts w:hint="eastAsia" w:asciiTheme="minorEastAsia" w:hAnsiTheme="minorEastAsia" w:eastAsiaTheme="minorEastAsia"/>
          <w:sz w:val="28"/>
          <w:szCs w:val="28"/>
        </w:rPr>
        <w:t>万元人民币增资保证金，意向投资方应在报名截止时间前将增资保证金汇入组织人指定账户。</w:t>
      </w:r>
    </w:p>
    <w:p>
      <w:pPr>
        <w:adjustRightInd w:val="0"/>
        <w:snapToGrid w:val="0"/>
        <w:spacing w:line="600" w:lineRule="exact"/>
        <w:ind w:firstLine="560" w:firstLineChars="200"/>
        <w:jc w:val="left"/>
        <w:rPr>
          <w:rFonts w:asciiTheme="minorEastAsia" w:hAnsiTheme="minorEastAsia" w:eastAsiaTheme="minorEastAsia" w:cstheme="minorEastAsia"/>
          <w:sz w:val="28"/>
          <w:szCs w:val="28"/>
        </w:rPr>
      </w:pPr>
      <w:r>
        <w:rPr>
          <w:rFonts w:asciiTheme="minorEastAsia" w:hAnsiTheme="minorEastAsia" w:eastAsiaTheme="minorEastAsia"/>
          <w:sz w:val="28"/>
          <w:szCs w:val="28"/>
        </w:rPr>
        <w:t>6.确定投资方：</w:t>
      </w:r>
      <w:r>
        <w:rPr>
          <w:rFonts w:hint="eastAsia" w:asciiTheme="minorEastAsia" w:hAnsiTheme="minorEastAsia" w:eastAsiaTheme="minorEastAsia" w:cstheme="minorEastAsia"/>
          <w:sz w:val="28"/>
          <w:szCs w:val="28"/>
        </w:rPr>
        <w:t>征集到一家合格意向投资方且增资额不低于8亿元的，经融资方确认后本次增资达成；合格意向投资方有二家及以上的，则采用竞争性谈判结合综合评议（实施时间另行通知）择优选定投资方。</w:t>
      </w:r>
    </w:p>
    <w:p>
      <w:pPr>
        <w:pStyle w:val="2"/>
        <w:adjustRightInd w:val="0"/>
        <w:snapToGrid w:val="0"/>
        <w:spacing w:after="0" w:line="600" w:lineRule="exact"/>
        <w:ind w:left="0" w:leftChars="0" w:firstLine="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竞争性谈判结合综合评议方案在融资方对意向投资方资格确认后五个工作日内通知各意向投资方。</w:t>
      </w:r>
    </w:p>
    <w:p>
      <w:pPr>
        <w:pStyle w:val="2"/>
        <w:adjustRightInd w:val="0"/>
        <w:snapToGrid w:val="0"/>
        <w:spacing w:after="0" w:line="600" w:lineRule="exact"/>
        <w:ind w:left="0" w:leftChars="0" w:firstLine="56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7.签署</w:t>
      </w:r>
      <w:r>
        <w:rPr>
          <w:rFonts w:hint="eastAsia" w:asciiTheme="minorEastAsia" w:hAnsiTheme="minorEastAsia" w:eastAsiaTheme="minorEastAsia" w:cstheme="minorEastAsia"/>
          <w:sz w:val="28"/>
          <w:szCs w:val="28"/>
        </w:rPr>
        <w:t>增资协议</w:t>
      </w:r>
      <w:r>
        <w:rPr>
          <w:rFonts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rPr>
        <w:t>融资</w:t>
      </w:r>
      <w:r>
        <w:rPr>
          <w:rFonts w:asciiTheme="minorEastAsia" w:hAnsiTheme="minorEastAsia" w:eastAsiaTheme="minorEastAsia" w:cstheme="minorEastAsia"/>
          <w:sz w:val="28"/>
          <w:szCs w:val="28"/>
        </w:rPr>
        <w:t>方、</w:t>
      </w:r>
      <w:r>
        <w:rPr>
          <w:rFonts w:hint="eastAsia" w:asciiTheme="minorEastAsia" w:hAnsiTheme="minorEastAsia" w:eastAsiaTheme="minorEastAsia" w:cstheme="minorEastAsia"/>
          <w:sz w:val="28"/>
          <w:szCs w:val="28"/>
        </w:rPr>
        <w:t>融资方原股东、</w:t>
      </w:r>
      <w:r>
        <w:rPr>
          <w:rFonts w:asciiTheme="minorEastAsia" w:hAnsiTheme="minorEastAsia" w:eastAsiaTheme="minorEastAsia" w:cstheme="minorEastAsia"/>
          <w:sz w:val="28"/>
          <w:szCs w:val="28"/>
        </w:rPr>
        <w:t>投资方</w:t>
      </w:r>
      <w:r>
        <w:rPr>
          <w:rFonts w:hint="eastAsia" w:asciiTheme="minorEastAsia" w:hAnsiTheme="minorEastAsia" w:eastAsiaTheme="minorEastAsia" w:cstheme="minorEastAsia"/>
          <w:sz w:val="28"/>
          <w:szCs w:val="28"/>
        </w:rPr>
        <w:t>、组织人签署《增资协议》。</w:t>
      </w:r>
    </w:p>
    <w:p>
      <w:pPr>
        <w:numPr>
          <w:ilvl w:val="255"/>
          <w:numId w:val="0"/>
        </w:numPr>
        <w:adjustRightInd w:val="0"/>
        <w:snapToGrid w:val="0"/>
        <w:spacing w:line="60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8.时间安排：</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）报名：凡报名者须持营业执照（或者其他注册证明文件）复印件、</w:t>
      </w:r>
      <w:r>
        <w:rPr>
          <w:rFonts w:hint="eastAsia" w:asciiTheme="minorEastAsia" w:hAnsiTheme="minorEastAsia" w:eastAsiaTheme="minorEastAsia"/>
          <w:bCs/>
          <w:sz w:val="28"/>
          <w:szCs w:val="28"/>
        </w:rPr>
        <w:t>《增资投资申请书》、</w:t>
      </w:r>
      <w:r>
        <w:rPr>
          <w:rFonts w:hint="eastAsia" w:asciiTheme="minorEastAsia" w:hAnsiTheme="minorEastAsia" w:eastAsiaTheme="minorEastAsia"/>
          <w:sz w:val="28"/>
          <w:szCs w:val="28"/>
        </w:rPr>
        <w:t>法人代表身份证、（委托书与身份证、受托人身份证）、公司章程、相关决议、</w:t>
      </w:r>
      <w:r>
        <w:rPr>
          <w:rFonts w:hint="eastAsia" w:asciiTheme="minorEastAsia" w:hAnsiTheme="minorEastAsia" w:eastAsiaTheme="minorEastAsia"/>
          <w:bCs/>
          <w:sz w:val="28"/>
          <w:szCs w:val="28"/>
        </w:rPr>
        <w:t>本公告中对</w:t>
      </w:r>
      <w:r>
        <w:rPr>
          <w:rFonts w:hint="eastAsia" w:asciiTheme="minorEastAsia" w:hAnsiTheme="minorEastAsia" w:eastAsiaTheme="minorEastAsia"/>
          <w:sz w:val="28"/>
          <w:szCs w:val="28"/>
        </w:rPr>
        <w:t>投资方条件要求的相关材料。符合条件的意向投资方应在报名截止时间前向组织人递交全部报名材料（日常办理时间：工作日上午</w:t>
      </w:r>
      <w:r>
        <w:rPr>
          <w:rFonts w:asciiTheme="minorEastAsia" w:hAnsiTheme="minorEastAsia" w:eastAsiaTheme="minorEastAsia"/>
          <w:sz w:val="28"/>
          <w:szCs w:val="28"/>
        </w:rPr>
        <w:t>8</w:t>
      </w:r>
      <w:r>
        <w:rPr>
          <w:rFonts w:hint="eastAsia" w:asciiTheme="minorEastAsia" w:hAnsiTheme="minorEastAsia" w:eastAsiaTheme="minorEastAsia"/>
          <w:sz w:val="28"/>
          <w:szCs w:val="28"/>
        </w:rPr>
        <w:t>：</w:t>
      </w:r>
      <w:r>
        <w:rPr>
          <w:rFonts w:asciiTheme="minorEastAsia" w:hAnsiTheme="minorEastAsia" w:eastAsiaTheme="minorEastAsia"/>
          <w:sz w:val="28"/>
          <w:szCs w:val="28"/>
        </w:rPr>
        <w:t>30</w:t>
      </w:r>
      <w:r>
        <w:rPr>
          <w:rFonts w:hint="eastAsia" w:asciiTheme="minorEastAsia" w:hAnsiTheme="minorEastAsia" w:eastAsiaTheme="minorEastAsia"/>
          <w:sz w:val="28"/>
          <w:szCs w:val="28"/>
        </w:rPr>
        <w:t>－</w:t>
      </w:r>
      <w:r>
        <w:rPr>
          <w:rFonts w:asciiTheme="minorEastAsia" w:hAnsiTheme="minorEastAsia" w:eastAsiaTheme="minorEastAsia"/>
          <w:sz w:val="28"/>
          <w:szCs w:val="28"/>
        </w:rPr>
        <w:t>11</w:t>
      </w:r>
      <w:r>
        <w:rPr>
          <w:rFonts w:hint="eastAsia" w:asciiTheme="minorEastAsia" w:hAnsiTheme="minorEastAsia" w:eastAsiaTheme="minorEastAsia"/>
          <w:sz w:val="28"/>
          <w:szCs w:val="28"/>
        </w:rPr>
        <w:t>：</w:t>
      </w:r>
      <w:r>
        <w:rPr>
          <w:rFonts w:asciiTheme="minorEastAsia" w:hAnsiTheme="minorEastAsia" w:eastAsiaTheme="minorEastAsia"/>
          <w:sz w:val="28"/>
          <w:szCs w:val="28"/>
        </w:rPr>
        <w:t>30</w:t>
      </w:r>
      <w:r>
        <w:rPr>
          <w:rFonts w:hint="eastAsia" w:asciiTheme="minorEastAsia" w:hAnsiTheme="minorEastAsia" w:eastAsiaTheme="minorEastAsia"/>
          <w:sz w:val="28"/>
          <w:szCs w:val="28"/>
        </w:rPr>
        <w:t>，下午</w:t>
      </w:r>
      <w:r>
        <w:rPr>
          <w:rFonts w:asciiTheme="minorEastAsia" w:hAnsiTheme="minorEastAsia" w:eastAsiaTheme="minorEastAsia"/>
          <w:sz w:val="28"/>
          <w:szCs w:val="28"/>
        </w:rPr>
        <w:t>14</w:t>
      </w:r>
      <w:r>
        <w:rPr>
          <w:rFonts w:hint="eastAsia" w:asciiTheme="minorEastAsia" w:hAnsiTheme="minorEastAsia" w:eastAsiaTheme="minorEastAsia"/>
          <w:sz w:val="28"/>
          <w:szCs w:val="28"/>
        </w:rPr>
        <w:t>：</w:t>
      </w:r>
      <w:r>
        <w:rPr>
          <w:rFonts w:asciiTheme="minorEastAsia" w:hAnsiTheme="minorEastAsia" w:eastAsiaTheme="minorEastAsia"/>
          <w:sz w:val="28"/>
          <w:szCs w:val="28"/>
        </w:rPr>
        <w:t>00</w:t>
      </w:r>
      <w:r>
        <w:rPr>
          <w:rFonts w:hint="eastAsia" w:asciiTheme="minorEastAsia" w:hAnsiTheme="minorEastAsia" w:eastAsiaTheme="minorEastAsia"/>
          <w:sz w:val="28"/>
          <w:szCs w:val="28"/>
        </w:rPr>
        <w:t>－</w:t>
      </w:r>
      <w:r>
        <w:rPr>
          <w:rFonts w:asciiTheme="minorEastAsia" w:hAnsiTheme="minorEastAsia" w:eastAsiaTheme="minorEastAsia"/>
          <w:sz w:val="28"/>
          <w:szCs w:val="28"/>
        </w:rPr>
        <w:t>16：00，地点：台州市府大道777</w:t>
      </w:r>
      <w:r>
        <w:rPr>
          <w:rFonts w:hint="eastAsia" w:asciiTheme="minorEastAsia" w:hAnsiTheme="minorEastAsia" w:eastAsiaTheme="minorEastAsia"/>
          <w:sz w:val="28"/>
          <w:szCs w:val="28"/>
        </w:rPr>
        <w:t>号浙江民泰商业银行五楼</w:t>
      </w:r>
      <w:r>
        <w:rPr>
          <w:rFonts w:asciiTheme="minorEastAsia" w:hAnsiTheme="minorEastAsia" w:eastAsiaTheme="minorEastAsia"/>
          <w:sz w:val="28"/>
          <w:szCs w:val="28"/>
        </w:rPr>
        <w:t>511室</w:t>
      </w:r>
      <w:r>
        <w:rPr>
          <w:rFonts w:hint="eastAsia" w:asciiTheme="minorEastAsia" w:hAnsiTheme="minorEastAsia" w:eastAsiaTheme="minorEastAsia"/>
          <w:sz w:val="28"/>
          <w:szCs w:val="28"/>
        </w:rPr>
        <w:t>），逾期无效。组织人在收到递交全部报名材料后，办理报名登记手续，并及时反馈给融资方，由融资方对意向投资方的资格进行审核、确认。</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）递交增资保证金：意向投资方应按增资文件规定的时间和要求提交增资保证金，增资协议签订后，意向投资方先期汇入的</w:t>
      </w:r>
      <w:r>
        <w:rPr>
          <w:rFonts w:cs="Tahoma" w:asciiTheme="minorEastAsia" w:hAnsiTheme="minorEastAsia" w:eastAsiaTheme="minorEastAsia"/>
          <w:bCs/>
          <w:kern w:val="0"/>
          <w:sz w:val="28"/>
          <w:szCs w:val="28"/>
        </w:rPr>
        <w:t>8000</w:t>
      </w:r>
      <w:r>
        <w:rPr>
          <w:rFonts w:hint="eastAsia" w:cs="Tahoma" w:asciiTheme="minorEastAsia" w:hAnsiTheme="minorEastAsia" w:eastAsiaTheme="minorEastAsia"/>
          <w:bCs/>
          <w:kern w:val="0"/>
          <w:sz w:val="28"/>
          <w:szCs w:val="28"/>
        </w:rPr>
        <w:t>万元</w:t>
      </w:r>
      <w:r>
        <w:rPr>
          <w:rFonts w:hint="eastAsia" w:asciiTheme="minorEastAsia" w:hAnsiTheme="minorEastAsia" w:eastAsiaTheme="minorEastAsia"/>
          <w:sz w:val="28"/>
          <w:szCs w:val="28"/>
        </w:rPr>
        <w:t>增资保证金转作部分增资款。</w:t>
      </w:r>
    </w:p>
    <w:p>
      <w:pPr>
        <w:adjustRightInd w:val="0"/>
        <w:snapToGrid w:val="0"/>
        <w:spacing w:line="600" w:lineRule="exact"/>
        <w:ind w:firstLine="560"/>
        <w:rPr>
          <w:rFonts w:asciiTheme="minorEastAsia" w:hAnsiTheme="minorEastAsia" w:eastAsiaTheme="minorEastAsia"/>
          <w:sz w:val="28"/>
          <w:szCs w:val="28"/>
        </w:rPr>
      </w:pPr>
      <w:r>
        <w:rPr>
          <w:rFonts w:hint="eastAsia" w:asciiTheme="minorEastAsia" w:hAnsiTheme="minorEastAsia" w:eastAsiaTheme="minorEastAsia"/>
          <w:sz w:val="28"/>
          <w:szCs w:val="28"/>
        </w:rPr>
        <w:t>（3）签署增资协议：根据本增资文件的约定，确认为投资方后二个工作日内签订《增资确认书》，并</w:t>
      </w:r>
      <w:r>
        <w:rPr>
          <w:rFonts w:asciiTheme="minorEastAsia" w:hAnsiTheme="minorEastAsia" w:eastAsiaTheme="minorEastAsia"/>
          <w:sz w:val="28"/>
          <w:szCs w:val="28"/>
        </w:rPr>
        <w:t>于《增资确认书》</w:t>
      </w:r>
      <w:r>
        <w:rPr>
          <w:rFonts w:hint="eastAsia" w:asciiTheme="minorEastAsia" w:hAnsiTheme="minorEastAsia" w:eastAsiaTheme="minorEastAsia"/>
          <w:sz w:val="28"/>
          <w:szCs w:val="28"/>
        </w:rPr>
        <w:t>签署后五个工作日签署《增资协议》。</w:t>
      </w:r>
    </w:p>
    <w:p>
      <w:pPr>
        <w:adjustRightInd w:val="0"/>
        <w:snapToGrid w:val="0"/>
        <w:spacing w:line="600" w:lineRule="exact"/>
        <w:ind w:firstLine="560"/>
        <w:rPr>
          <w:rFonts w:asciiTheme="minorEastAsia" w:hAnsiTheme="minorEastAsia" w:eastAsiaTheme="minorEastAsia"/>
          <w:sz w:val="28"/>
          <w:szCs w:val="28"/>
        </w:rPr>
      </w:pPr>
      <w:r>
        <w:rPr>
          <w:rFonts w:asciiTheme="minorEastAsia" w:hAnsiTheme="minorEastAsia" w:eastAsiaTheme="minorEastAsia"/>
          <w:sz w:val="28"/>
          <w:szCs w:val="28"/>
        </w:rPr>
        <w:t>9.付款方式：</w:t>
      </w:r>
      <w:r>
        <w:rPr>
          <w:rFonts w:hint="eastAsia" w:asciiTheme="minorEastAsia" w:hAnsiTheme="minorEastAsia" w:eastAsiaTheme="minorEastAsia"/>
          <w:sz w:val="28"/>
          <w:szCs w:val="28"/>
        </w:rPr>
        <w:t>《</w:t>
      </w:r>
      <w:r>
        <w:rPr>
          <w:rFonts w:asciiTheme="minorEastAsia" w:hAnsiTheme="minorEastAsia" w:eastAsiaTheme="minorEastAsia"/>
          <w:sz w:val="28"/>
          <w:szCs w:val="28"/>
        </w:rPr>
        <w:t>增资协议</w:t>
      </w:r>
      <w:r>
        <w:rPr>
          <w:rFonts w:hint="eastAsia" w:asciiTheme="minorEastAsia" w:hAnsiTheme="minorEastAsia" w:eastAsiaTheme="minorEastAsia"/>
          <w:sz w:val="28"/>
          <w:szCs w:val="28"/>
        </w:rPr>
        <w:t>》</w:t>
      </w:r>
      <w:r>
        <w:rPr>
          <w:rFonts w:asciiTheme="minorEastAsia" w:hAnsiTheme="minorEastAsia" w:eastAsiaTheme="minorEastAsia"/>
          <w:sz w:val="28"/>
          <w:szCs w:val="28"/>
        </w:rPr>
        <w:t>签订后，投资方先期汇入的</w:t>
      </w:r>
      <w:r>
        <w:rPr>
          <w:rFonts w:cs="Tahoma" w:asciiTheme="minorEastAsia" w:hAnsiTheme="minorEastAsia" w:eastAsiaTheme="minorEastAsia"/>
          <w:bCs/>
          <w:kern w:val="0"/>
          <w:sz w:val="28"/>
          <w:szCs w:val="28"/>
        </w:rPr>
        <w:t>8000</w:t>
      </w:r>
      <w:r>
        <w:rPr>
          <w:rFonts w:hint="eastAsia" w:cs="Tahoma" w:asciiTheme="minorEastAsia" w:hAnsiTheme="minorEastAsia" w:eastAsiaTheme="minorEastAsia"/>
          <w:bCs/>
          <w:kern w:val="0"/>
          <w:sz w:val="28"/>
          <w:szCs w:val="28"/>
        </w:rPr>
        <w:t>万元人民币</w:t>
      </w:r>
      <w:r>
        <w:rPr>
          <w:rFonts w:hint="eastAsia" w:asciiTheme="minorEastAsia" w:hAnsiTheme="minorEastAsia" w:eastAsiaTheme="minorEastAsia"/>
          <w:sz w:val="28"/>
          <w:szCs w:val="28"/>
        </w:rPr>
        <w:t>增资保证金应转作抵扣最终投资方增资认购价款的一部分，投资方应在《增资协议》签署后十日内一次性支付全部剩余增资款。</w:t>
      </w:r>
    </w:p>
    <w:p>
      <w:pPr>
        <w:adjustRightInd w:val="0"/>
        <w:snapToGrid w:val="0"/>
        <w:spacing w:line="600" w:lineRule="exact"/>
        <w:ind w:firstLine="560"/>
        <w:rPr>
          <w:rFonts w:asciiTheme="minorEastAsia" w:hAnsiTheme="minorEastAsia" w:eastAsiaTheme="minorEastAsia"/>
          <w:sz w:val="28"/>
          <w:szCs w:val="28"/>
        </w:rPr>
      </w:pPr>
      <w:r>
        <w:rPr>
          <w:rFonts w:hint="eastAsia" w:asciiTheme="minorEastAsia" w:hAnsiTheme="minorEastAsia" w:eastAsiaTheme="minorEastAsia"/>
          <w:sz w:val="28"/>
          <w:szCs w:val="28"/>
        </w:rPr>
        <w:t>上述款项汇入以下账户：开户单位：台州市产权交易所有限公司，</w:t>
      </w:r>
      <w:r>
        <w:rPr>
          <w:rFonts w:asciiTheme="minorEastAsia" w:hAnsiTheme="minorEastAsia" w:eastAsiaTheme="minorEastAsia"/>
          <w:sz w:val="28"/>
          <w:szCs w:val="28"/>
        </w:rPr>
        <w:t>开户行：浙江民泰商业银行</w:t>
      </w:r>
      <w:r>
        <w:rPr>
          <w:rFonts w:hint="eastAsia" w:asciiTheme="minorEastAsia" w:hAnsiTheme="minorEastAsia" w:eastAsiaTheme="minorEastAsia"/>
          <w:sz w:val="28"/>
          <w:szCs w:val="28"/>
        </w:rPr>
        <w:t>股份有限公司</w:t>
      </w:r>
      <w:r>
        <w:rPr>
          <w:rFonts w:asciiTheme="minorEastAsia" w:hAnsiTheme="minorEastAsia" w:eastAsiaTheme="minorEastAsia"/>
          <w:sz w:val="28"/>
          <w:szCs w:val="28"/>
        </w:rPr>
        <w:t>椒江</w:t>
      </w:r>
      <w:r>
        <w:rPr>
          <w:rFonts w:hint="eastAsia" w:asciiTheme="minorEastAsia" w:hAnsiTheme="minorEastAsia" w:eastAsiaTheme="minorEastAsia"/>
          <w:sz w:val="28"/>
          <w:szCs w:val="28"/>
        </w:rPr>
        <w:t>市府大道</w:t>
      </w:r>
      <w:r>
        <w:rPr>
          <w:rFonts w:asciiTheme="minorEastAsia" w:hAnsiTheme="minorEastAsia" w:eastAsiaTheme="minorEastAsia"/>
          <w:sz w:val="28"/>
          <w:szCs w:val="28"/>
        </w:rPr>
        <w:t>支行</w:t>
      </w:r>
      <w:r>
        <w:rPr>
          <w:rFonts w:hint="eastAsia" w:asciiTheme="minorEastAsia" w:hAnsiTheme="minorEastAsia" w:eastAsiaTheme="minorEastAsia"/>
          <w:sz w:val="28"/>
          <w:szCs w:val="28"/>
        </w:rPr>
        <w:t>，</w:t>
      </w:r>
      <w:r>
        <w:rPr>
          <w:rFonts w:asciiTheme="minorEastAsia" w:hAnsiTheme="minorEastAsia" w:eastAsiaTheme="minorEastAsia"/>
          <w:sz w:val="28"/>
          <w:szCs w:val="28"/>
        </w:rPr>
        <w:t>账号：583016260800028。</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（四）本次增资活动是在</w:t>
      </w:r>
      <w:r>
        <w:rPr>
          <w:rFonts w:hint="eastAsia" w:asciiTheme="minorEastAsia" w:hAnsiTheme="minorEastAsia" w:eastAsiaTheme="minorEastAsia"/>
          <w:sz w:val="28"/>
          <w:szCs w:val="28"/>
        </w:rPr>
        <w:t>公开、公平、公正、诚实信用的原则下进行的，一切活动都具备法律效力。</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（五）意向投资方应具备并接受本次公告或有关规定中注明的投资方条件，否则不得参与增资。</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（六）意向投资方在办理报名手续时应提交下列材料：</w:t>
      </w:r>
      <w:r>
        <w:rPr>
          <w:rFonts w:asciiTheme="minorEastAsia" w:hAnsiTheme="minorEastAsia" w:eastAsiaTheme="minorEastAsia"/>
          <w:sz w:val="28"/>
          <w:szCs w:val="28"/>
        </w:rPr>
        <w:t>1、《增资</w:t>
      </w:r>
      <w:r>
        <w:rPr>
          <w:rFonts w:hint="eastAsia" w:asciiTheme="minorEastAsia" w:hAnsiTheme="minorEastAsia" w:eastAsiaTheme="minorEastAsia"/>
          <w:sz w:val="28"/>
          <w:szCs w:val="28"/>
        </w:rPr>
        <w:t>投资</w:t>
      </w:r>
      <w:r>
        <w:rPr>
          <w:rFonts w:asciiTheme="minorEastAsia" w:hAnsiTheme="minorEastAsia" w:eastAsiaTheme="minorEastAsia"/>
          <w:sz w:val="28"/>
          <w:szCs w:val="28"/>
        </w:rPr>
        <w:t>申请书》及备注清单中的材料；2、组织人认为需要提交的其他文件或资料。</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意向投资方在本项目挂牌期内，应认真阅读本增资文件。意向投资方有异议的，应在报名前提出。意向投资方完成报名手续后即表明已充分了解本项目的一切现状（包括瑕疵），接受本增资文件的全部内容和要求，并不以任何形式对本增资文件的内容提出异议。组织人不承担和担保标的品质和相关瑕疵等任何责任。投资方在竞得后，不得以事先未进行咨询等任何理由反悔，责任由投资方自负，组织人有权不予返还增资保证金。意向投资方在办理查询手续或报名登记手续后可以向组织人申请查阅标的的相关信息和材料。</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（八）意向投资方递交全部报名材料并交纳增资保证金后获得参与增资活动的资格；逾期未交纳的，视为放弃投资。</w:t>
      </w:r>
    </w:p>
    <w:p>
      <w:pPr>
        <w:pStyle w:val="2"/>
        <w:adjustRightInd w:val="0"/>
        <w:snapToGrid w:val="0"/>
        <w:spacing w:after="0" w:line="600" w:lineRule="exact"/>
        <w:ind w:left="0" w:leftChars="0" w:firstLine="56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（九）保证金处置： </w:t>
      </w:r>
    </w:p>
    <w:p>
      <w:pPr>
        <w:pStyle w:val="3"/>
        <w:tabs>
          <w:tab w:val="left" w:pos="720"/>
          <w:tab w:val="left" w:pos="1260"/>
          <w:tab w:val="left" w:pos="2160"/>
          <w:tab w:val="left" w:pos="2880"/>
          <w:tab w:val="left" w:pos="3600"/>
          <w:tab w:val="left" w:pos="4320"/>
          <w:tab w:val="left" w:pos="5040"/>
          <w:tab w:val="left" w:pos="5760"/>
        </w:tabs>
        <w:adjustRightInd w:val="0"/>
        <w:snapToGrid w:val="0"/>
        <w:spacing w:line="600" w:lineRule="exact"/>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1.意向投资方成为最终投资方的，增资保证金自动转为部分增资款。</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2.未成为最终投资方的，且不涉及增资保证金扣除情形的，其交纳的增资保证金在增资结果通知发出次日起三个工作日内原路径全额无息退还。</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（十）出现下列情形意向投资方的增资保证金不予返还（在台交所扣除交易服务费后划归融资方所有）：</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1.意向投资方存在不当行为，包括但不限于：提供的资料和信息存在虚假、不真实、不具有效力等情形；</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2.本挂牌增资项目公告期满，产生一家及以上合格意向投资方时，意向投资方未参加后续遴选的，或者意向投资方出现其他违反本增资文件内容或承诺事项情形的；</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3.被确定为最终投资方后，未按期支付增资款项的；</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4.未按期签订《增资确认书》或《增资协议》的；</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5.意向投资方在重大方面存在影响标的正常谈判、谈判公正性或其他增资程序要求的情形的。</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（十一）出现以下任何情形时，则本次公开征集终止：</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1.未征集到合格的意向投资方；</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2.其他导致本增资项目不适宜继续的情形。</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（十二）意向投资方应自行承担其参与增资活动（包括但不限于完成报名手续和递交有关文件）所涉及的一切费用，不论结果如何，在任何情况下组织人及融资方均无义务承担此费用。</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三）融资方应按增资协议规定时间提交标的企业工商变更、办证及过户所需相关资料，标的企业所涉及的工商变更、办证及过户等相关事宜过程中所产生的税、费等均由标的企业、投资方按国家规定各自承担并自行办理。</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（十四）投资方应确保自身主体资格能符合审批机关、工商管理等部门对投资方主体资格的要求，否则投资方应承担全部法律责任，且其所交增资保证金由组织人扣除交易服务费后直接支付给融资方所有。</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五）融资方有权在增资活动开始前撤回标的。若因不可抗力因素或其他特殊的重要原因融资方撤回标的，组织人有权取消或推迟本次增资活动，由此对意向投资方造成的损失由意向投资方自负，意向投资方不得</w:t>
      </w:r>
      <w:r>
        <w:rPr>
          <w:rFonts w:hint="eastAsia" w:asciiTheme="minorEastAsia" w:hAnsiTheme="minorEastAsia" w:eastAsiaTheme="minorEastAsia"/>
          <w:bCs/>
          <w:sz w:val="28"/>
          <w:szCs w:val="28"/>
        </w:rPr>
        <w:t>向</w:t>
      </w:r>
      <w:r>
        <w:rPr>
          <w:rFonts w:hint="eastAsia" w:asciiTheme="minorEastAsia" w:hAnsiTheme="minorEastAsia" w:eastAsiaTheme="minorEastAsia"/>
          <w:sz w:val="28"/>
          <w:szCs w:val="28"/>
        </w:rPr>
        <w:t>融资方</w:t>
      </w:r>
      <w:r>
        <w:rPr>
          <w:rFonts w:hint="eastAsia" w:asciiTheme="minorEastAsia" w:hAnsiTheme="minorEastAsia" w:eastAsiaTheme="minorEastAsia"/>
          <w:bCs/>
          <w:sz w:val="28"/>
          <w:szCs w:val="28"/>
        </w:rPr>
        <w:t>、组织人追索</w:t>
      </w:r>
      <w:r>
        <w:rPr>
          <w:rFonts w:hint="eastAsia" w:asciiTheme="minorEastAsia" w:hAnsiTheme="minorEastAsia" w:eastAsiaTheme="minorEastAsia"/>
          <w:sz w:val="28"/>
          <w:szCs w:val="28"/>
        </w:rPr>
        <w:t>增资</w:t>
      </w:r>
      <w:r>
        <w:rPr>
          <w:rFonts w:hint="eastAsia" w:asciiTheme="minorEastAsia" w:hAnsiTheme="minorEastAsia" w:eastAsiaTheme="minorEastAsia"/>
          <w:bCs/>
          <w:sz w:val="28"/>
          <w:szCs w:val="28"/>
        </w:rPr>
        <w:t>保证金利息及其他任何费用与责任。</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六）组织人在本增资文件中或其他材料中所作出的关于本项目的说明仅作为一般性介绍供意向投资方参考，不表明组织人做出担保，本次增资活动所提供的文件资料若因印刷、拷贝或摄影造成资料与实物或标的实际情况有误差的，以实物或标的情况现状及有效证件为准。如遇特殊情况，组织人有权对本增资文件进行修正；如有修正，将在增资活动开始前公开告知全体意向投资方。</w:t>
      </w:r>
    </w:p>
    <w:p>
      <w:pPr>
        <w:adjustRightInd w:val="0"/>
        <w:snapToGrid w:val="0"/>
        <w:spacing w:line="600" w:lineRule="exact"/>
        <w:ind w:left="-80" w:firstLine="562" w:firstLineChars="200"/>
        <w:rPr>
          <w:rFonts w:asciiTheme="minorEastAsia" w:hAnsiTheme="minorEastAsia" w:eastAsiaTheme="minorEastAsia"/>
          <w:b/>
          <w:sz w:val="28"/>
          <w:szCs w:val="28"/>
        </w:rPr>
      </w:pPr>
      <w:bookmarkStart w:id="12" w:name="_Toc8402_WPSOffice_Level1"/>
      <w:r>
        <w:rPr>
          <w:rFonts w:hint="eastAsia" w:asciiTheme="minorEastAsia" w:hAnsiTheme="minorEastAsia" w:eastAsiaTheme="minorEastAsia"/>
          <w:b/>
          <w:sz w:val="28"/>
          <w:szCs w:val="28"/>
        </w:rPr>
        <w:t>三、本项目相关情况说明</w:t>
      </w:r>
      <w:bookmarkEnd w:id="12"/>
    </w:p>
    <w:p>
      <w:pPr>
        <w:adjustRightInd w:val="0"/>
        <w:snapToGrid w:val="0"/>
        <w:spacing w:line="600" w:lineRule="exact"/>
        <w:ind w:firstLine="560" w:firstLineChars="200"/>
        <w:rPr>
          <w:rFonts w:asciiTheme="minorEastAsia" w:hAnsiTheme="minorEastAsia" w:eastAsiaTheme="minorEastAsia" w:cstheme="minorEastAsia"/>
          <w:kern w:val="0"/>
          <w:sz w:val="28"/>
          <w:szCs w:val="28"/>
        </w:rPr>
      </w:pPr>
      <w:r>
        <w:rPr>
          <w:rFonts w:hint="eastAsia" w:asciiTheme="minorEastAsia" w:hAnsiTheme="minorEastAsia" w:eastAsiaTheme="minorEastAsia"/>
          <w:sz w:val="28"/>
          <w:szCs w:val="28"/>
        </w:rPr>
        <w:t>（一）</w:t>
      </w:r>
      <w:r>
        <w:rPr>
          <w:rFonts w:hint="eastAsia" w:asciiTheme="minorEastAsia" w:hAnsiTheme="minorEastAsia" w:eastAsiaTheme="minorEastAsia" w:cstheme="minorEastAsia"/>
          <w:sz w:val="28"/>
          <w:szCs w:val="28"/>
        </w:rPr>
        <w:t>资产评估基准日（2020年9月30日）到增资工商变更完成日期间损益由新老股东共同协商承担或享有。</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（二）其他有关天宇长鹰具体情况详见审计、评估机构出具的相应《审计报告》、《评估报告》。</w:t>
      </w:r>
    </w:p>
    <w:p>
      <w:pPr>
        <w:adjustRightInd w:val="0"/>
        <w:snapToGrid w:val="0"/>
        <w:spacing w:line="6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（三）增资文件的解释权归融资方和组织人。</w:t>
      </w:r>
    </w:p>
    <w:p>
      <w:pPr>
        <w:adjustRightInd w:val="0"/>
        <w:snapToGrid w:val="0"/>
        <w:spacing w:line="600" w:lineRule="exact"/>
        <w:ind w:firstLine="560" w:firstLineChars="200"/>
        <w:rPr>
          <w:rFonts w:asciiTheme="minorEastAsia" w:hAnsiTheme="minorEastAsia" w:eastAsiaTheme="minorEastAsia"/>
          <w:sz w:val="28"/>
          <w:szCs w:val="28"/>
        </w:rPr>
      </w:pPr>
    </w:p>
    <w:p>
      <w:pPr>
        <w:adjustRightInd w:val="0"/>
        <w:snapToGrid w:val="0"/>
        <w:spacing w:line="600" w:lineRule="exact"/>
        <w:ind w:firstLine="3780" w:firstLineChars="1350"/>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台州市产权交易所有限公司</w:t>
      </w:r>
    </w:p>
    <w:p>
      <w:pPr>
        <w:adjustRightInd w:val="0"/>
        <w:snapToGrid w:val="0"/>
        <w:spacing w:line="600" w:lineRule="exact"/>
        <w:ind w:firstLine="3780" w:firstLineChars="1350"/>
        <w:jc w:val="center"/>
        <w:rPr>
          <w:rFonts w:ascii="宋体" w:hAnsi="宋体"/>
          <w:b/>
          <w:sz w:val="28"/>
          <w:szCs w:val="28"/>
        </w:rPr>
      </w:pPr>
      <w:r>
        <w:rPr>
          <w:rFonts w:hint="eastAsia" w:asciiTheme="minorEastAsia" w:hAnsiTheme="minorEastAsia" w:eastAsiaTheme="minorEastAsia"/>
          <w:sz w:val="28"/>
          <w:szCs w:val="28"/>
        </w:rPr>
        <w:t>二〇二一年八月三十日</w:t>
      </w:r>
      <w:r>
        <w:rPr>
          <w:rFonts w:ascii="宋体" w:hAnsi="宋体"/>
          <w:b/>
          <w:sz w:val="28"/>
          <w:szCs w:val="28"/>
        </w:rPr>
        <w:br w:type="page"/>
      </w:r>
    </w:p>
    <w:p>
      <w:pPr>
        <w:pStyle w:val="4"/>
        <w:adjustRightInd w:val="0"/>
        <w:snapToGrid w:val="0"/>
        <w:spacing w:before="0" w:after="0" w:line="600" w:lineRule="exact"/>
        <w:jc w:val="center"/>
        <w:rPr>
          <w:szCs w:val="32"/>
        </w:rPr>
      </w:pPr>
      <w:bookmarkStart w:id="13" w:name="_Toc11613"/>
      <w:bookmarkStart w:id="14" w:name="_Toc48252218"/>
      <w:bookmarkStart w:id="15" w:name="_Toc24791_WPSOffice_Level1"/>
      <w:r>
        <w:rPr>
          <w:rFonts w:hint="eastAsia"/>
          <w:szCs w:val="32"/>
        </w:rPr>
        <w:t>增资投资申请书</w:t>
      </w:r>
      <w:bookmarkEnd w:id="13"/>
      <w:bookmarkEnd w:id="14"/>
      <w:bookmarkEnd w:id="15"/>
    </w:p>
    <w:p>
      <w:pPr>
        <w:adjustRightInd w:val="0"/>
        <w:snapToGrid w:val="0"/>
        <w:spacing w:line="600" w:lineRule="exact"/>
        <w:jc w:val="center"/>
        <w:rPr>
          <w:rFonts w:eastAsia="仿宋_GB2312"/>
          <w:sz w:val="30"/>
        </w:rPr>
      </w:pPr>
    </w:p>
    <w:p>
      <w:pPr>
        <w:adjustRightInd w:val="0"/>
        <w:snapToGrid w:val="0"/>
        <w:spacing w:line="600" w:lineRule="exact"/>
        <w:jc w:val="center"/>
        <w:rPr>
          <w:rFonts w:eastAsia="仿宋_GB2312"/>
          <w:sz w:val="30"/>
        </w:rPr>
      </w:pPr>
    </w:p>
    <w:p>
      <w:pPr>
        <w:adjustRightInd w:val="0"/>
        <w:snapToGrid w:val="0"/>
        <w:spacing w:line="600" w:lineRule="exact"/>
        <w:ind w:firstLine="1"/>
        <w:rPr>
          <w:rFonts w:ascii="宋体"/>
          <w:sz w:val="32"/>
          <w:szCs w:val="32"/>
        </w:rPr>
      </w:pPr>
      <w:bookmarkStart w:id="16" w:name="_Toc25164_WPSOffice_Level1"/>
      <w:r>
        <w:rPr>
          <w:rFonts w:hint="eastAsia" w:ascii="宋体" w:hAnsi="宋体"/>
          <w:sz w:val="32"/>
          <w:szCs w:val="32"/>
        </w:rPr>
        <w:t>项目名称：</w:t>
      </w:r>
      <w:bookmarkEnd w:id="16"/>
    </w:p>
    <w:p>
      <w:pPr>
        <w:adjustRightInd w:val="0"/>
        <w:snapToGrid w:val="0"/>
        <w:spacing w:line="600" w:lineRule="exact"/>
        <w:ind w:firstLine="1"/>
        <w:rPr>
          <w:rFonts w:ascii="宋体"/>
          <w:sz w:val="32"/>
          <w:szCs w:val="32"/>
        </w:rPr>
      </w:pPr>
      <w:bookmarkStart w:id="17" w:name="_Toc1232_WPSOffice_Level1"/>
      <w:r>
        <w:rPr>
          <w:rFonts w:hint="eastAsia" w:ascii="宋体" w:hAnsi="宋体"/>
          <w:sz w:val="32"/>
          <w:szCs w:val="32"/>
        </w:rPr>
        <w:t>项目编号：</w:t>
      </w:r>
      <w:bookmarkEnd w:id="17"/>
    </w:p>
    <w:p>
      <w:pPr>
        <w:adjustRightInd w:val="0"/>
        <w:snapToGrid w:val="0"/>
        <w:spacing w:line="600" w:lineRule="exact"/>
        <w:rPr>
          <w:rFonts w:ascii="宋体"/>
          <w:sz w:val="32"/>
          <w:szCs w:val="32"/>
        </w:rPr>
      </w:pPr>
    </w:p>
    <w:p>
      <w:pPr>
        <w:adjustRightInd w:val="0"/>
        <w:snapToGrid w:val="0"/>
        <w:spacing w:line="600" w:lineRule="exact"/>
        <w:rPr>
          <w:rFonts w:ascii="宋体"/>
          <w:sz w:val="32"/>
          <w:szCs w:val="32"/>
        </w:rPr>
      </w:pPr>
    </w:p>
    <w:p>
      <w:pPr>
        <w:adjustRightInd w:val="0"/>
        <w:snapToGrid w:val="0"/>
        <w:spacing w:line="600" w:lineRule="exact"/>
        <w:ind w:firstLine="800" w:firstLineChars="250"/>
        <w:rPr>
          <w:rFonts w:ascii="宋体"/>
          <w:sz w:val="32"/>
          <w:szCs w:val="32"/>
        </w:rPr>
      </w:pPr>
      <w:bookmarkStart w:id="18" w:name="_Toc9801_WPSOffice_Level1"/>
      <w:r>
        <w:rPr>
          <w:rFonts w:hint="eastAsia" w:ascii="宋体" w:hAnsi="宋体"/>
          <w:sz w:val="32"/>
          <w:szCs w:val="32"/>
        </w:rPr>
        <w:t>申请人：（意向投资方盖章）</w:t>
      </w:r>
      <w:bookmarkEnd w:id="18"/>
    </w:p>
    <w:p>
      <w:pPr>
        <w:adjustRightInd w:val="0"/>
        <w:snapToGrid w:val="0"/>
        <w:spacing w:line="600" w:lineRule="exact"/>
        <w:rPr>
          <w:rFonts w:ascii="宋体"/>
          <w:sz w:val="32"/>
          <w:szCs w:val="32"/>
        </w:rPr>
      </w:pPr>
    </w:p>
    <w:p>
      <w:pPr>
        <w:adjustRightInd w:val="0"/>
        <w:snapToGrid w:val="0"/>
        <w:spacing w:line="600" w:lineRule="exact"/>
        <w:rPr>
          <w:rFonts w:ascii="宋体"/>
          <w:sz w:val="32"/>
          <w:szCs w:val="32"/>
        </w:rPr>
      </w:pPr>
    </w:p>
    <w:p>
      <w:pPr>
        <w:adjustRightInd w:val="0"/>
        <w:snapToGrid w:val="0"/>
        <w:spacing w:line="600" w:lineRule="exact"/>
        <w:ind w:firstLine="960" w:firstLineChars="300"/>
        <w:rPr>
          <w:rFonts w:ascii="宋体"/>
          <w:sz w:val="32"/>
          <w:szCs w:val="32"/>
        </w:rPr>
      </w:pPr>
      <w:bookmarkStart w:id="19" w:name="_Toc28096_WPSOffice_Level1"/>
      <w:r>
        <w:rPr>
          <w:rFonts w:hint="eastAsia" w:ascii="宋体" w:hAnsi="宋体"/>
          <w:sz w:val="32"/>
          <w:szCs w:val="32"/>
        </w:rPr>
        <w:t>法定代表人或授权代表（签字）：</w:t>
      </w:r>
      <w:bookmarkEnd w:id="19"/>
    </w:p>
    <w:p>
      <w:pPr>
        <w:adjustRightInd w:val="0"/>
        <w:snapToGrid w:val="0"/>
        <w:spacing w:line="600" w:lineRule="exact"/>
        <w:rPr>
          <w:rFonts w:ascii="宋体"/>
          <w:sz w:val="32"/>
          <w:szCs w:val="32"/>
        </w:rPr>
      </w:pPr>
    </w:p>
    <w:p>
      <w:pPr>
        <w:adjustRightInd w:val="0"/>
        <w:snapToGrid w:val="0"/>
        <w:spacing w:line="600" w:lineRule="exact"/>
        <w:rPr>
          <w:rFonts w:ascii="宋体"/>
          <w:sz w:val="32"/>
          <w:szCs w:val="32"/>
        </w:rPr>
      </w:pPr>
    </w:p>
    <w:p>
      <w:pPr>
        <w:adjustRightInd w:val="0"/>
        <w:snapToGrid w:val="0"/>
        <w:spacing w:line="600" w:lineRule="exact"/>
        <w:rPr>
          <w:rFonts w:ascii="宋体"/>
          <w:sz w:val="32"/>
          <w:szCs w:val="32"/>
        </w:rPr>
      </w:pPr>
    </w:p>
    <w:p>
      <w:pPr>
        <w:adjustRightInd w:val="0"/>
        <w:snapToGrid w:val="0"/>
        <w:spacing w:line="600" w:lineRule="exact"/>
        <w:rPr>
          <w:rFonts w:ascii="宋体"/>
          <w:sz w:val="32"/>
          <w:szCs w:val="32"/>
        </w:rPr>
      </w:pPr>
    </w:p>
    <w:p>
      <w:pPr>
        <w:adjustRightInd w:val="0"/>
        <w:snapToGrid w:val="0"/>
        <w:spacing w:line="600" w:lineRule="exact"/>
        <w:rPr>
          <w:rFonts w:ascii="宋体"/>
          <w:sz w:val="32"/>
          <w:szCs w:val="32"/>
        </w:rPr>
      </w:pPr>
    </w:p>
    <w:p>
      <w:pPr>
        <w:adjustRightInd w:val="0"/>
        <w:snapToGrid w:val="0"/>
        <w:spacing w:line="600" w:lineRule="exact"/>
        <w:rPr>
          <w:rFonts w:ascii="宋体"/>
          <w:sz w:val="32"/>
          <w:szCs w:val="32"/>
        </w:rPr>
      </w:pPr>
    </w:p>
    <w:p>
      <w:pPr>
        <w:adjustRightInd w:val="0"/>
        <w:snapToGrid w:val="0"/>
        <w:spacing w:line="600" w:lineRule="exact"/>
        <w:rPr>
          <w:rFonts w:ascii="宋体"/>
          <w:sz w:val="32"/>
          <w:szCs w:val="32"/>
        </w:rPr>
      </w:pPr>
    </w:p>
    <w:p>
      <w:pPr>
        <w:adjustRightInd w:val="0"/>
        <w:snapToGrid w:val="0"/>
        <w:spacing w:line="600" w:lineRule="exact"/>
        <w:ind w:firstLine="2700"/>
        <w:rPr>
          <w:rFonts w:ascii="宋体"/>
          <w:sz w:val="32"/>
          <w:szCs w:val="32"/>
        </w:rPr>
      </w:pPr>
      <w:bookmarkStart w:id="20" w:name="_Toc32487_WPSOffice_Level1"/>
      <w:r>
        <w:rPr>
          <w:rFonts w:hint="eastAsia" w:ascii="宋体" w:hAnsi="宋体"/>
          <w:sz w:val="32"/>
          <w:szCs w:val="32"/>
        </w:rPr>
        <w:t>申请日期：    年  月  日</w:t>
      </w:r>
      <w:bookmarkEnd w:id="20"/>
    </w:p>
    <w:p>
      <w:pPr>
        <w:adjustRightInd w:val="0"/>
        <w:snapToGrid w:val="0"/>
        <w:spacing w:line="600" w:lineRule="exact"/>
        <w:jc w:val="center"/>
        <w:rPr>
          <w:rFonts w:ascii="宋体" w:hAnsi="宋体"/>
          <w:b/>
          <w:sz w:val="32"/>
          <w:szCs w:val="32"/>
        </w:rPr>
      </w:pPr>
    </w:p>
    <w:p>
      <w:pPr>
        <w:adjustRightInd w:val="0"/>
        <w:snapToGrid w:val="0"/>
        <w:spacing w:line="600" w:lineRule="exact"/>
        <w:jc w:val="center"/>
        <w:rPr>
          <w:rFonts w:ascii="宋体" w:hAnsi="宋体"/>
          <w:b/>
          <w:sz w:val="32"/>
          <w:szCs w:val="32"/>
        </w:rPr>
      </w:pPr>
      <w:r>
        <w:rPr>
          <w:rFonts w:ascii="宋体" w:hAnsi="宋体"/>
          <w:b/>
          <w:sz w:val="32"/>
          <w:szCs w:val="32"/>
        </w:rPr>
        <w:br w:type="page"/>
      </w:r>
      <w:bookmarkStart w:id="21" w:name="_Toc4924_WPSOffice_Level1"/>
      <w:r>
        <w:rPr>
          <w:rFonts w:hint="eastAsia" w:ascii="宋体" w:hAnsi="宋体"/>
          <w:b/>
          <w:sz w:val="32"/>
          <w:szCs w:val="32"/>
        </w:rPr>
        <w:t>投资承诺和报价</w:t>
      </w:r>
      <w:bookmarkEnd w:id="21"/>
    </w:p>
    <w:p>
      <w:pPr>
        <w:pStyle w:val="2"/>
        <w:ind w:firstLine="640"/>
      </w:pPr>
    </w:p>
    <w:p>
      <w:pPr>
        <w:adjustRightInd w:val="0"/>
        <w:snapToGrid w:val="0"/>
        <w:spacing w:line="600" w:lineRule="exact"/>
        <w:rPr>
          <w:rFonts w:ascii="宋体"/>
          <w:b/>
          <w:sz w:val="28"/>
          <w:szCs w:val="28"/>
        </w:rPr>
      </w:pPr>
      <w:r>
        <w:rPr>
          <w:rFonts w:hint="eastAsia" w:ascii="宋体" w:hAnsi="宋体"/>
          <w:b/>
          <w:sz w:val="28"/>
          <w:szCs w:val="28"/>
        </w:rPr>
        <w:t>台州市产权交易所有限公司：</w:t>
      </w:r>
    </w:p>
    <w:p>
      <w:pPr>
        <w:adjustRightInd w:val="0"/>
        <w:snapToGrid w:val="0"/>
        <w:spacing w:line="600" w:lineRule="exact"/>
        <w:ind w:firstLine="548" w:firstLineChars="196"/>
        <w:rPr>
          <w:rFonts w:ascii="宋体"/>
          <w:b/>
          <w:sz w:val="28"/>
          <w:szCs w:val="28"/>
        </w:rPr>
      </w:pPr>
      <w:r>
        <w:rPr>
          <w:rFonts w:hint="eastAsia" w:ascii="宋体" w:hAnsi="宋体"/>
          <w:sz w:val="28"/>
          <w:szCs w:val="28"/>
        </w:rPr>
        <w:t>一、本意向投资方向贵所提出申请，意向投资北京北航天宇长鹰无人机科技有限公司增资项目（增资金额不低于8亿元），请予审核。本意向投资方依照公开、公平、公正、诚实信用的原则，作出如下承诺：</w:t>
      </w:r>
    </w:p>
    <w:p>
      <w:pPr>
        <w:adjustRightInd w:val="0"/>
        <w:snapToGrid w:val="0"/>
        <w:spacing w:line="600" w:lineRule="exact"/>
        <w:ind w:firstLine="560" w:firstLineChars="200"/>
        <w:jc w:val="left"/>
        <w:rPr>
          <w:rFonts w:ascii="宋体"/>
          <w:sz w:val="28"/>
          <w:szCs w:val="28"/>
        </w:rPr>
      </w:pPr>
      <w:r>
        <w:rPr>
          <w:rFonts w:ascii="宋体" w:hAnsi="宋体"/>
          <w:sz w:val="28"/>
          <w:szCs w:val="28"/>
        </w:rPr>
        <w:t>1</w:t>
      </w:r>
      <w:r>
        <w:rPr>
          <w:rFonts w:hint="eastAsia" w:ascii="宋体" w:hAnsi="宋体"/>
          <w:sz w:val="28"/>
          <w:szCs w:val="28"/>
        </w:rPr>
        <w:t>.本次投资是我方真实意愿表示，相关行为已经过有效的内部决策并得到相应的批准，所提交材料及投资申请中内容不存在虚假记载、误导性陈述或重大遗漏，我方对其真实性、完整性、合法性、有效性承担相应的法律责任。</w:t>
      </w:r>
    </w:p>
    <w:p>
      <w:pPr>
        <w:adjustRightInd w:val="0"/>
        <w:snapToGrid w:val="0"/>
        <w:spacing w:line="600" w:lineRule="exact"/>
        <w:ind w:firstLine="560" w:firstLineChars="200"/>
        <w:jc w:val="left"/>
        <w:rPr>
          <w:rFonts w:ascii="宋体" w:hAnsi="宋体"/>
          <w:sz w:val="28"/>
          <w:szCs w:val="28"/>
        </w:rPr>
      </w:pPr>
      <w:r>
        <w:rPr>
          <w:rFonts w:ascii="宋体" w:hAnsi="宋体"/>
          <w:sz w:val="28"/>
          <w:szCs w:val="28"/>
        </w:rPr>
        <w:t>2</w:t>
      </w:r>
      <w:r>
        <w:rPr>
          <w:rFonts w:hint="eastAsia" w:ascii="宋体" w:hAnsi="宋体"/>
          <w:sz w:val="28"/>
          <w:szCs w:val="28"/>
        </w:rPr>
        <w:t>.我方系合法有效存续的企业或其他组织，能独立承担民事责任，具有良好的财务状况、支付能力和商业信用，且资金来源合法，符合有关法律法规及本项目对投资方应当具备条件的规定。</w:t>
      </w:r>
    </w:p>
    <w:p>
      <w:pPr>
        <w:adjustRightInd w:val="0"/>
        <w:snapToGrid w:val="0"/>
        <w:spacing w:line="600" w:lineRule="exact"/>
        <w:ind w:firstLine="560" w:firstLineChars="200"/>
        <w:rPr>
          <w:rFonts w:ascii="宋体" w:hAnsi="宋体"/>
          <w:sz w:val="28"/>
          <w:szCs w:val="28"/>
        </w:rPr>
      </w:pPr>
      <w:r>
        <w:rPr>
          <w:rFonts w:ascii="宋体" w:hAnsi="宋体"/>
          <w:sz w:val="28"/>
          <w:szCs w:val="28"/>
        </w:rPr>
        <w:t>3</w:t>
      </w:r>
      <w:r>
        <w:rPr>
          <w:rFonts w:hint="eastAsia" w:ascii="宋体" w:hAnsi="宋体"/>
          <w:sz w:val="28"/>
          <w:szCs w:val="28"/>
        </w:rPr>
        <w:t>.我方已</w:t>
      </w:r>
      <w:r>
        <w:rPr>
          <w:rFonts w:hint="eastAsia" w:ascii="宋体" w:hAnsi="宋体"/>
          <w:bCs/>
          <w:sz w:val="28"/>
          <w:szCs w:val="28"/>
        </w:rPr>
        <w:t>充分了解并接受《增资文件》的全部内容和要求，已认真考虑了融资方</w:t>
      </w:r>
      <w:r>
        <w:rPr>
          <w:rFonts w:hint="eastAsia" w:ascii="宋体" w:hAnsi="宋体"/>
          <w:sz w:val="28"/>
          <w:szCs w:val="28"/>
        </w:rPr>
        <w:t>经营、行业、市场、政策以及其他不可预计的</w:t>
      </w:r>
      <w:r>
        <w:rPr>
          <w:rFonts w:hint="eastAsia" w:ascii="宋体" w:hAnsi="宋体"/>
          <w:bCs/>
          <w:sz w:val="28"/>
          <w:szCs w:val="28"/>
        </w:rPr>
        <w:t>各项风险因素，</w:t>
      </w:r>
      <w:r>
        <w:rPr>
          <w:rFonts w:hint="eastAsia" w:ascii="宋体" w:hAnsi="宋体"/>
          <w:sz w:val="28"/>
          <w:szCs w:val="28"/>
        </w:rPr>
        <w:t>自主判断企业的投资价值，自主做出投资决策，自行承担投资风险。</w:t>
      </w:r>
    </w:p>
    <w:p>
      <w:pPr>
        <w:adjustRightInd w:val="0"/>
        <w:snapToGrid w:val="0"/>
        <w:spacing w:line="600" w:lineRule="exact"/>
        <w:ind w:firstLine="560" w:firstLineChars="200"/>
        <w:rPr>
          <w:rFonts w:ascii="宋体" w:hAnsi="宋体"/>
          <w:sz w:val="28"/>
          <w:szCs w:val="28"/>
        </w:rPr>
      </w:pPr>
      <w:r>
        <w:rPr>
          <w:rFonts w:ascii="宋体" w:hAnsi="宋体"/>
          <w:bCs/>
          <w:sz w:val="28"/>
          <w:szCs w:val="28"/>
        </w:rPr>
        <w:t>4.</w:t>
      </w:r>
      <w:r>
        <w:rPr>
          <w:rFonts w:hint="eastAsia" w:ascii="宋体" w:hAnsi="宋体"/>
          <w:bCs/>
          <w:sz w:val="28"/>
          <w:szCs w:val="28"/>
        </w:rPr>
        <w:t>我方承诺同意按北京北航天宇长鹰无人机科技有限公司增资文件中公告的增资方式确定最终投资方。</w:t>
      </w:r>
    </w:p>
    <w:p>
      <w:pPr>
        <w:adjustRightInd w:val="0"/>
        <w:snapToGrid w:val="0"/>
        <w:spacing w:line="600" w:lineRule="exact"/>
        <w:ind w:firstLine="560" w:firstLineChars="200"/>
        <w:rPr>
          <w:rFonts w:ascii="宋体" w:hAnsi="宋体"/>
          <w:bCs/>
          <w:sz w:val="28"/>
          <w:szCs w:val="28"/>
        </w:rPr>
      </w:pPr>
      <w:r>
        <w:rPr>
          <w:rFonts w:ascii="宋体" w:hAnsi="宋体"/>
          <w:bCs/>
          <w:sz w:val="28"/>
          <w:szCs w:val="28"/>
        </w:rPr>
        <w:t>5.</w:t>
      </w:r>
      <w:r>
        <w:rPr>
          <w:rFonts w:hint="eastAsia" w:ascii="宋体" w:hAnsi="宋体"/>
          <w:bCs/>
          <w:sz w:val="28"/>
          <w:szCs w:val="28"/>
        </w:rPr>
        <w:t>我方承诺按《增资文件》的要求交纳</w:t>
      </w:r>
      <w:r>
        <w:rPr>
          <w:rFonts w:hint="eastAsia" w:asciiTheme="minorEastAsia" w:hAnsiTheme="minorEastAsia" w:eastAsiaTheme="minorEastAsia"/>
          <w:sz w:val="28"/>
          <w:szCs w:val="28"/>
        </w:rPr>
        <w:t>增资</w:t>
      </w:r>
      <w:r>
        <w:rPr>
          <w:rFonts w:hint="eastAsia" w:ascii="宋体" w:hAnsi="宋体"/>
          <w:bCs/>
          <w:sz w:val="28"/>
          <w:szCs w:val="28"/>
        </w:rPr>
        <w:t>保证金，逾期未交纳的，视为放弃投资意向。</w:t>
      </w:r>
    </w:p>
    <w:p>
      <w:pPr>
        <w:numPr>
          <w:ilvl w:val="255"/>
          <w:numId w:val="0"/>
        </w:numPr>
        <w:adjustRightInd w:val="0"/>
        <w:snapToGrid w:val="0"/>
        <w:spacing w:line="600" w:lineRule="exact"/>
        <w:ind w:firstLine="560" w:firstLineChars="200"/>
        <w:jc w:val="left"/>
        <w:rPr>
          <w:rFonts w:asciiTheme="minorEastAsia" w:hAnsiTheme="minorEastAsia" w:eastAsiaTheme="minorEastAsia"/>
          <w:sz w:val="28"/>
          <w:szCs w:val="28"/>
        </w:rPr>
      </w:pPr>
      <w:r>
        <w:rPr>
          <w:rFonts w:ascii="宋体" w:hAnsi="宋体"/>
          <w:bCs/>
          <w:sz w:val="28"/>
          <w:szCs w:val="28"/>
        </w:rPr>
        <w:t>6.若成为最终投资方，我方承诺</w:t>
      </w:r>
      <w:r>
        <w:rPr>
          <w:rFonts w:asciiTheme="minorEastAsia" w:hAnsiTheme="minorEastAsia" w:eastAsiaTheme="minorEastAsia"/>
          <w:sz w:val="28"/>
          <w:szCs w:val="28"/>
        </w:rPr>
        <w:t>：</w:t>
      </w:r>
    </w:p>
    <w:p>
      <w:pPr>
        <w:adjustRightInd w:val="0"/>
        <w:snapToGrid w:val="0"/>
        <w:spacing w:line="600" w:lineRule="exact"/>
        <w:ind w:firstLine="560" w:firstLineChars="200"/>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（1）承担认购股份项下的全部股东义务；</w:t>
      </w:r>
    </w:p>
    <w:p>
      <w:pPr>
        <w:adjustRightInd w:val="0"/>
        <w:snapToGrid w:val="0"/>
        <w:spacing w:line="600" w:lineRule="exact"/>
        <w:ind w:firstLine="560" w:firstLineChars="200"/>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（2）同意融资方将台州作为唯一总部基地；</w:t>
      </w:r>
    </w:p>
    <w:p>
      <w:pPr>
        <w:adjustRightInd w:val="0"/>
        <w:snapToGrid w:val="0"/>
        <w:spacing w:line="600" w:lineRule="exact"/>
        <w:ind w:firstLine="560" w:firstLineChars="200"/>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（3）同意不与融资方的北航方股东签署一致行动人协议；</w:t>
      </w:r>
    </w:p>
    <w:p>
      <w:pPr>
        <w:adjustRightInd w:val="0"/>
        <w:snapToGrid w:val="0"/>
        <w:spacing w:line="600" w:lineRule="exact"/>
        <w:ind w:firstLine="560" w:firstLineChars="200"/>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（4）同意投资的退出由各股东方在后续相关增资文件中进行协商约定。</w:t>
      </w:r>
    </w:p>
    <w:p>
      <w:pPr>
        <w:adjustRightInd w:val="0"/>
        <w:snapToGrid w:val="0"/>
        <w:spacing w:line="600" w:lineRule="exact"/>
        <w:ind w:firstLine="560" w:firstLineChars="200"/>
        <w:rPr>
          <w:rFonts w:ascii="宋体" w:hAnsi="宋体"/>
          <w:sz w:val="28"/>
          <w:szCs w:val="28"/>
          <w:highlight w:val="yellow"/>
        </w:rPr>
      </w:pPr>
      <w:r>
        <w:rPr>
          <w:rFonts w:ascii="宋体" w:hAnsi="宋体"/>
          <w:sz w:val="28"/>
          <w:szCs w:val="28"/>
        </w:rPr>
        <w:t>7</w:t>
      </w:r>
      <w:r>
        <w:rPr>
          <w:rFonts w:hint="eastAsia" w:ascii="宋体" w:hAnsi="宋体"/>
          <w:sz w:val="28"/>
          <w:szCs w:val="28"/>
        </w:rPr>
        <w:t>.我方承诺在增资过程中，遵守法律法规规定及产权交易机构的相关规定，按照有关程序及要求等履行我方义务。</w:t>
      </w:r>
    </w:p>
    <w:p>
      <w:pPr>
        <w:adjustRightInd w:val="0"/>
        <w:snapToGrid w:val="0"/>
        <w:spacing w:line="600" w:lineRule="exact"/>
        <w:ind w:firstLine="560" w:firstLineChars="200"/>
        <w:rPr>
          <w:rFonts w:ascii="宋体" w:hAnsi="宋体"/>
          <w:sz w:val="28"/>
          <w:szCs w:val="28"/>
        </w:rPr>
      </w:pPr>
      <w:r>
        <w:rPr>
          <w:rFonts w:hint="eastAsia" w:ascii="宋体" w:hAnsi="宋体"/>
          <w:sz w:val="28"/>
          <w:szCs w:val="28"/>
        </w:rPr>
        <w:t>8.我方保证对谈判过程中获悉的相关项目信息、技术要求，以及本次谈判过程中所形成的任何材料（包括文字及非文字资料）等负有保密义务，如有违反，我方将承担所有相关法律责任并赔偿贵方由此造成的一切损失。</w:t>
      </w:r>
    </w:p>
    <w:p>
      <w:pPr>
        <w:adjustRightInd w:val="0"/>
        <w:snapToGrid w:val="0"/>
        <w:spacing w:line="600" w:lineRule="exact"/>
        <w:ind w:firstLine="560" w:firstLineChars="200"/>
        <w:rPr>
          <w:rFonts w:ascii="宋体" w:hAnsi="宋体"/>
          <w:sz w:val="28"/>
          <w:szCs w:val="28"/>
        </w:rPr>
      </w:pPr>
      <w:r>
        <w:rPr>
          <w:rFonts w:hint="eastAsia" w:ascii="宋体" w:hAnsi="宋体"/>
          <w:sz w:val="28"/>
          <w:szCs w:val="28"/>
        </w:rPr>
        <w:t>9.我方承诺确认为合格意向投资方后,项目公告期满，产生一家及以上合格意向投资方，若我方未参加后续遴选的，或者出现其他违反本增资文件内容或承诺事项情形的，其交纳的增资保证金将不予返还。</w:t>
      </w:r>
    </w:p>
    <w:p>
      <w:pPr>
        <w:adjustRightInd w:val="0"/>
        <w:snapToGrid w:val="0"/>
        <w:spacing w:line="600" w:lineRule="exact"/>
        <w:ind w:firstLine="560" w:firstLineChars="200"/>
        <w:rPr>
          <w:rFonts w:ascii="宋体" w:hAnsi="宋体"/>
          <w:sz w:val="28"/>
          <w:szCs w:val="28"/>
        </w:rPr>
      </w:pPr>
      <w:r>
        <w:rPr>
          <w:rFonts w:hint="eastAsia" w:ascii="宋体" w:hAnsi="宋体"/>
          <w:sz w:val="28"/>
          <w:szCs w:val="28"/>
        </w:rPr>
        <w:t>10.我方保证遵守以上承诺，如违反上述承诺或有违规行为，给增资活动相关方造成损失的，我方愿意承担法律责任及经济赔偿责任。</w:t>
      </w:r>
    </w:p>
    <w:p>
      <w:pPr>
        <w:pStyle w:val="11"/>
        <w:adjustRightInd w:val="0"/>
        <w:snapToGrid w:val="0"/>
        <w:spacing w:after="0" w:line="600" w:lineRule="exact"/>
        <w:ind w:left="0" w:leftChars="0" w:firstLine="560" w:firstLineChars="200"/>
        <w:rPr>
          <w:rFonts w:ascii="宋体" w:hAnsi="宋体"/>
          <w:sz w:val="28"/>
          <w:szCs w:val="28"/>
        </w:rPr>
      </w:pPr>
      <w:r>
        <w:rPr>
          <w:rFonts w:hint="eastAsia" w:ascii="宋体" w:hAnsi="宋体"/>
          <w:sz w:val="28"/>
          <w:szCs w:val="28"/>
        </w:rPr>
        <w:t>二、一旦我方有幸成为最终投资方，我方保证：</w:t>
      </w:r>
    </w:p>
    <w:p>
      <w:pPr>
        <w:pStyle w:val="11"/>
        <w:adjustRightInd w:val="0"/>
        <w:snapToGrid w:val="0"/>
        <w:spacing w:after="0" w:line="600" w:lineRule="exact"/>
        <w:ind w:left="0" w:leftChars="0" w:firstLine="560" w:firstLineChars="200"/>
        <w:rPr>
          <w:rFonts w:ascii="宋体" w:hAnsi="宋体"/>
          <w:sz w:val="28"/>
          <w:szCs w:val="28"/>
        </w:rPr>
      </w:pPr>
      <w:r>
        <w:rPr>
          <w:rFonts w:hint="eastAsia" w:ascii="宋体" w:hAnsi="宋体"/>
          <w:sz w:val="28"/>
          <w:szCs w:val="28"/>
        </w:rPr>
        <w:t>1.我方被确定为投资方后二个工作日内签订《增资确认书》，并于《增资确认书》签署后五个工作日签署《增资协议》，协议签署后十日内一次性支付全部剩余增资款，所支付的资金来源合法。</w:t>
      </w:r>
    </w:p>
    <w:p>
      <w:pPr>
        <w:pStyle w:val="11"/>
        <w:adjustRightInd w:val="0"/>
        <w:snapToGrid w:val="0"/>
        <w:spacing w:after="0" w:line="600" w:lineRule="exact"/>
        <w:ind w:left="0" w:leftChars="0" w:firstLine="560" w:firstLineChars="200"/>
        <w:rPr>
          <w:rFonts w:ascii="宋体" w:hAnsi="宋体"/>
          <w:sz w:val="28"/>
          <w:szCs w:val="28"/>
        </w:rPr>
      </w:pPr>
      <w:r>
        <w:rPr>
          <w:rFonts w:hint="eastAsia" w:ascii="宋体" w:hAnsi="宋体"/>
          <w:sz w:val="28"/>
          <w:szCs w:val="28"/>
        </w:rPr>
        <w:t>2.自愿接受该项目公告所有内容和增资认购的全部要求和条件。</w:t>
      </w:r>
    </w:p>
    <w:p>
      <w:pPr>
        <w:pStyle w:val="11"/>
        <w:adjustRightInd w:val="0"/>
        <w:snapToGrid w:val="0"/>
        <w:spacing w:after="0" w:line="600" w:lineRule="exact"/>
        <w:ind w:left="0" w:leftChars="0" w:firstLine="560" w:firstLineChars="200"/>
        <w:rPr>
          <w:rFonts w:ascii="宋体" w:hAnsi="宋体"/>
          <w:sz w:val="28"/>
          <w:szCs w:val="28"/>
        </w:rPr>
      </w:pPr>
      <w:r>
        <w:rPr>
          <w:rFonts w:hint="eastAsia" w:ascii="宋体" w:hAnsi="宋体"/>
          <w:sz w:val="28"/>
          <w:szCs w:val="28"/>
        </w:rPr>
        <w:t>三、经审慎决策并依法合规履行公司内部程序，我司愿意按照下表填报内容参与增资认购。具体见下表：</w:t>
      </w:r>
    </w:p>
    <w:tbl>
      <w:tblPr>
        <w:tblStyle w:val="51"/>
        <w:tblpPr w:leftFromText="180" w:rightFromText="180" w:vertAnchor="text" w:horzAnchor="page" w:tblpX="1599" w:tblpY="77"/>
        <w:tblW w:w="901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09"/>
        <w:gridCol w:w="3119"/>
        <w:gridCol w:w="26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2" w:hRule="atLeast"/>
        </w:trPr>
        <w:tc>
          <w:tcPr>
            <w:tcW w:w="3209" w:type="dxa"/>
            <w:vAlign w:val="center"/>
          </w:tcPr>
          <w:p>
            <w:pPr>
              <w:pStyle w:val="53"/>
              <w:adjustRightInd w:val="0"/>
              <w:snapToGrid w:val="0"/>
              <w:spacing w:line="600" w:lineRule="exact"/>
              <w:jc w:val="center"/>
              <w:rPr>
                <w:rFonts w:ascii="Times New Roman"/>
                <w:b/>
                <w:sz w:val="28"/>
                <w:szCs w:val="28"/>
                <w:lang w:eastAsia="en-US"/>
              </w:rPr>
            </w:pPr>
            <w:r>
              <w:rPr>
                <w:rFonts w:hint="eastAsia" w:ascii="Times New Roman"/>
                <w:b/>
                <w:sz w:val="28"/>
                <w:szCs w:val="28"/>
                <w:lang w:eastAsia="en-US"/>
              </w:rPr>
              <w:t>认购新增注册资本</w:t>
            </w:r>
          </w:p>
        </w:tc>
        <w:tc>
          <w:tcPr>
            <w:tcW w:w="3119" w:type="dxa"/>
            <w:vAlign w:val="center"/>
          </w:tcPr>
          <w:p>
            <w:pPr>
              <w:pStyle w:val="53"/>
              <w:adjustRightInd w:val="0"/>
              <w:snapToGrid w:val="0"/>
              <w:spacing w:line="600" w:lineRule="exact"/>
              <w:jc w:val="center"/>
              <w:rPr>
                <w:rFonts w:ascii="Times New Roman"/>
                <w:b/>
                <w:sz w:val="28"/>
                <w:szCs w:val="28"/>
                <w:lang w:eastAsia="en-US"/>
              </w:rPr>
            </w:pPr>
            <w:r>
              <w:rPr>
                <w:rFonts w:hint="eastAsia" w:ascii="Times New Roman"/>
                <w:b/>
                <w:sz w:val="28"/>
                <w:szCs w:val="28"/>
                <w:lang w:eastAsia="en-US"/>
              </w:rPr>
              <w:t>投资金额</w:t>
            </w:r>
          </w:p>
        </w:tc>
        <w:tc>
          <w:tcPr>
            <w:tcW w:w="2688" w:type="dxa"/>
            <w:vAlign w:val="center"/>
          </w:tcPr>
          <w:p>
            <w:pPr>
              <w:pStyle w:val="53"/>
              <w:adjustRightInd w:val="0"/>
              <w:snapToGrid w:val="0"/>
              <w:spacing w:line="600" w:lineRule="exact"/>
              <w:jc w:val="center"/>
              <w:rPr>
                <w:rFonts w:ascii="Times New Roman"/>
                <w:b/>
                <w:sz w:val="28"/>
                <w:szCs w:val="28"/>
                <w:lang w:eastAsia="en-US"/>
              </w:rPr>
            </w:pPr>
            <w:r>
              <w:rPr>
                <w:rFonts w:hint="eastAsia" w:ascii="Times New Roman"/>
                <w:b/>
                <w:sz w:val="28"/>
                <w:szCs w:val="28"/>
                <w:lang w:eastAsia="en-US"/>
              </w:rPr>
              <w:t>出资形式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0" w:hRule="atLeast"/>
        </w:trPr>
        <w:tc>
          <w:tcPr>
            <w:tcW w:w="3209" w:type="dxa"/>
          </w:tcPr>
          <w:p>
            <w:pPr>
              <w:pStyle w:val="53"/>
              <w:adjustRightInd w:val="0"/>
              <w:snapToGrid w:val="0"/>
              <w:spacing w:line="600" w:lineRule="exact"/>
              <w:rPr>
                <w:sz w:val="28"/>
                <w:szCs w:val="28"/>
                <w:lang w:eastAsia="en-US"/>
              </w:rPr>
            </w:pPr>
            <w:r>
              <w:rPr>
                <w:rFonts w:hint="eastAsia"/>
                <w:sz w:val="28"/>
                <w:szCs w:val="28"/>
                <w:lang w:eastAsia="en-US"/>
              </w:rPr>
              <w:t xml:space="preserve"> 3098.477486万元</w:t>
            </w:r>
          </w:p>
          <w:p>
            <w:pPr>
              <w:pStyle w:val="53"/>
              <w:tabs>
                <w:tab w:val="left" w:pos="1891"/>
              </w:tabs>
              <w:adjustRightInd w:val="0"/>
              <w:snapToGrid w:val="0"/>
              <w:spacing w:line="600" w:lineRule="exact"/>
              <w:jc w:val="center"/>
              <w:rPr>
                <w:sz w:val="28"/>
                <w:szCs w:val="28"/>
                <w:lang w:eastAsia="en-US"/>
              </w:rPr>
            </w:pPr>
            <w:r>
              <w:rPr>
                <w:rFonts w:hint="eastAsia"/>
                <w:sz w:val="28"/>
                <w:szCs w:val="28"/>
                <w:lang w:eastAsia="en-US"/>
              </w:rPr>
              <w:t>（币种：人民币）</w:t>
            </w:r>
          </w:p>
        </w:tc>
        <w:tc>
          <w:tcPr>
            <w:tcW w:w="3119" w:type="dxa"/>
          </w:tcPr>
          <w:p>
            <w:pPr>
              <w:pStyle w:val="53"/>
              <w:adjustRightInd w:val="0"/>
              <w:snapToGrid w:val="0"/>
              <w:spacing w:line="600" w:lineRule="exact"/>
              <w:jc w:val="center"/>
              <w:rPr>
                <w:sz w:val="28"/>
                <w:szCs w:val="28"/>
                <w:lang w:eastAsia="en-US"/>
              </w:rPr>
            </w:pPr>
            <w:r>
              <w:rPr>
                <w:rFonts w:hint="eastAsia"/>
                <w:sz w:val="28"/>
                <w:szCs w:val="28"/>
                <w:lang w:eastAsia="en-US"/>
              </w:rPr>
              <w:t>万元</w:t>
            </w:r>
          </w:p>
          <w:p>
            <w:pPr>
              <w:pStyle w:val="53"/>
              <w:tabs>
                <w:tab w:val="left" w:pos="1958"/>
              </w:tabs>
              <w:adjustRightInd w:val="0"/>
              <w:snapToGrid w:val="0"/>
              <w:spacing w:line="600" w:lineRule="exact"/>
              <w:jc w:val="center"/>
              <w:rPr>
                <w:sz w:val="28"/>
                <w:szCs w:val="28"/>
                <w:lang w:eastAsia="en-US"/>
              </w:rPr>
            </w:pPr>
            <w:r>
              <w:rPr>
                <w:rFonts w:hint="eastAsia"/>
                <w:sz w:val="28"/>
                <w:szCs w:val="28"/>
                <w:lang w:eastAsia="en-US"/>
              </w:rPr>
              <w:t>（币种：人民币</w:t>
            </w:r>
            <w:r>
              <w:rPr>
                <w:sz w:val="28"/>
                <w:szCs w:val="28"/>
                <w:lang w:eastAsia="en-US"/>
              </w:rPr>
              <w:tab/>
            </w:r>
            <w:r>
              <w:rPr>
                <w:rFonts w:hint="eastAsia"/>
                <w:sz w:val="28"/>
                <w:szCs w:val="28"/>
                <w:lang w:eastAsia="en-US"/>
              </w:rPr>
              <w:t>）</w:t>
            </w:r>
          </w:p>
        </w:tc>
        <w:tc>
          <w:tcPr>
            <w:tcW w:w="2688" w:type="dxa"/>
            <w:vAlign w:val="center"/>
          </w:tcPr>
          <w:p>
            <w:pPr>
              <w:pStyle w:val="53"/>
              <w:adjustRightInd w:val="0"/>
              <w:snapToGrid w:val="0"/>
              <w:spacing w:line="600" w:lineRule="exact"/>
              <w:jc w:val="center"/>
              <w:rPr>
                <w:rFonts w:ascii="Times New Roman"/>
                <w:sz w:val="28"/>
                <w:szCs w:val="28"/>
                <w:lang w:eastAsia="en-US"/>
              </w:rPr>
            </w:pPr>
            <w:r>
              <w:rPr>
                <w:rFonts w:hint="eastAsia" w:ascii="Times New Roman"/>
                <w:sz w:val="28"/>
                <w:szCs w:val="28"/>
                <w:lang w:eastAsia="en-US"/>
              </w:rPr>
              <w:t>货币</w:t>
            </w:r>
          </w:p>
        </w:tc>
      </w:tr>
    </w:tbl>
    <w:p>
      <w:pPr>
        <w:tabs>
          <w:tab w:val="left" w:pos="690"/>
        </w:tabs>
        <w:adjustRightInd w:val="0"/>
        <w:snapToGrid w:val="0"/>
        <w:spacing w:line="600" w:lineRule="exact"/>
        <w:rPr>
          <w:b/>
          <w:sz w:val="28"/>
          <w:szCs w:val="28"/>
        </w:rPr>
      </w:pPr>
      <w:r>
        <w:tab/>
      </w:r>
      <w:r>
        <w:rPr>
          <w:rFonts w:hint="eastAsia"/>
          <w:b/>
          <w:sz w:val="28"/>
          <w:szCs w:val="28"/>
        </w:rPr>
        <w:t>如进行竞争性谈判结合综合评议方式的，我方最终投资金额以在谈判纪要中确认的报价为准。</w:t>
      </w:r>
    </w:p>
    <w:p>
      <w:pPr>
        <w:pStyle w:val="2"/>
        <w:ind w:firstLine="560"/>
        <w:rPr>
          <w:b/>
          <w:sz w:val="28"/>
          <w:szCs w:val="28"/>
        </w:rPr>
      </w:pPr>
    </w:p>
    <w:p>
      <w:pPr>
        <w:pStyle w:val="2"/>
        <w:ind w:firstLine="560"/>
        <w:rPr>
          <w:b/>
          <w:sz w:val="28"/>
          <w:szCs w:val="28"/>
        </w:rPr>
      </w:pPr>
    </w:p>
    <w:p>
      <w:pPr>
        <w:pStyle w:val="46"/>
        <w:tabs>
          <w:tab w:val="left" w:pos="1978"/>
        </w:tabs>
        <w:autoSpaceDE w:val="0"/>
        <w:autoSpaceDN w:val="0"/>
        <w:adjustRightInd w:val="0"/>
        <w:snapToGrid w:val="0"/>
        <w:spacing w:line="600" w:lineRule="exact"/>
        <w:ind w:firstLine="0" w:firstLineChars="0"/>
        <w:rPr>
          <w:rFonts w:ascii="宋体"/>
          <w:sz w:val="28"/>
        </w:rPr>
      </w:pPr>
      <w:r>
        <w:rPr>
          <w:rFonts w:hint="eastAsia" w:ascii="宋体"/>
          <w:spacing w:val="-1"/>
          <w:sz w:val="28"/>
        </w:rPr>
        <w:t>我方的正式通讯地址：</w:t>
      </w:r>
    </w:p>
    <w:p>
      <w:pPr>
        <w:adjustRightInd w:val="0"/>
        <w:snapToGrid w:val="0"/>
        <w:spacing w:line="600" w:lineRule="exact"/>
        <w:rPr>
          <w:rFonts w:ascii="宋体"/>
          <w:sz w:val="28"/>
        </w:rPr>
      </w:pPr>
      <w:r>
        <w:rPr>
          <w:rFonts w:hint="eastAsia" w:ascii="宋体"/>
          <w:sz w:val="28"/>
        </w:rPr>
        <w:t>邮编：电话：</w:t>
      </w:r>
      <w:r>
        <w:rPr>
          <w:rFonts w:hint="eastAsia" w:ascii="宋体"/>
          <w:spacing w:val="-5"/>
          <w:sz w:val="28"/>
        </w:rPr>
        <w:t>传真：</w:t>
      </w:r>
    </w:p>
    <w:p>
      <w:pPr>
        <w:pStyle w:val="9"/>
        <w:adjustRightInd w:val="0"/>
        <w:snapToGrid w:val="0"/>
        <w:spacing w:after="0" w:line="600" w:lineRule="exact"/>
        <w:rPr>
          <w:rFonts w:ascii="宋体"/>
          <w:sz w:val="28"/>
        </w:rPr>
      </w:pPr>
    </w:p>
    <w:p>
      <w:pPr>
        <w:adjustRightInd w:val="0"/>
        <w:snapToGrid w:val="0"/>
        <w:spacing w:line="600" w:lineRule="exact"/>
        <w:ind w:firstLine="3290" w:firstLineChars="1201"/>
        <w:rPr>
          <w:rFonts w:ascii="宋体"/>
          <w:spacing w:val="-7"/>
          <w:sz w:val="28"/>
        </w:rPr>
      </w:pPr>
      <w:r>
        <w:rPr>
          <w:rFonts w:hint="eastAsia" w:ascii="宋体"/>
          <w:spacing w:val="-3"/>
          <w:sz w:val="28"/>
        </w:rPr>
        <w:t>意向投资方</w:t>
      </w:r>
      <w:r>
        <w:rPr>
          <w:rFonts w:hint="eastAsia" w:ascii="宋体"/>
          <w:sz w:val="28"/>
        </w:rPr>
        <w:t>（</w:t>
      </w:r>
      <w:r>
        <w:rPr>
          <w:rFonts w:hint="eastAsia" w:ascii="宋体"/>
          <w:spacing w:val="-2"/>
          <w:sz w:val="28"/>
        </w:rPr>
        <w:t>盖章</w:t>
      </w:r>
      <w:r>
        <w:rPr>
          <w:rFonts w:hint="eastAsia" w:ascii="宋体"/>
          <w:spacing w:val="-147"/>
          <w:sz w:val="28"/>
        </w:rPr>
        <w:t>）</w:t>
      </w:r>
    </w:p>
    <w:p>
      <w:pPr>
        <w:adjustRightInd w:val="0"/>
        <w:snapToGrid w:val="0"/>
        <w:spacing w:line="600" w:lineRule="exact"/>
        <w:jc w:val="center"/>
        <w:rPr>
          <w:rFonts w:ascii="宋体"/>
          <w:sz w:val="28"/>
        </w:rPr>
      </w:pPr>
      <w:r>
        <w:rPr>
          <w:rFonts w:hint="eastAsia" w:ascii="宋体"/>
          <w:spacing w:val="-1"/>
          <w:sz w:val="28"/>
        </w:rPr>
        <w:t>法定代表人</w:t>
      </w:r>
      <w:r>
        <w:rPr>
          <w:rFonts w:hint="eastAsia" w:ascii="宋体"/>
          <w:sz w:val="28"/>
        </w:rPr>
        <w:t>（</w:t>
      </w:r>
      <w:r>
        <w:rPr>
          <w:rFonts w:hint="eastAsia" w:ascii="宋体"/>
          <w:spacing w:val="-3"/>
          <w:sz w:val="28"/>
        </w:rPr>
        <w:t>或授权代表人</w:t>
      </w:r>
      <w:r>
        <w:rPr>
          <w:rFonts w:hint="eastAsia" w:ascii="宋体"/>
          <w:spacing w:val="-140"/>
          <w:sz w:val="28"/>
        </w:rPr>
        <w:t>）</w:t>
      </w:r>
      <w:r>
        <w:rPr>
          <w:rFonts w:hint="eastAsia" w:ascii="宋体"/>
          <w:spacing w:val="-3"/>
          <w:sz w:val="28"/>
        </w:rPr>
        <w:t>（</w:t>
      </w:r>
      <w:r>
        <w:rPr>
          <w:rFonts w:hint="eastAsia" w:ascii="宋体"/>
          <w:spacing w:val="-2"/>
          <w:sz w:val="28"/>
        </w:rPr>
        <w:t>签字）</w:t>
      </w:r>
    </w:p>
    <w:p>
      <w:pPr>
        <w:tabs>
          <w:tab w:val="left" w:pos="839"/>
          <w:tab w:val="left" w:pos="1540"/>
        </w:tabs>
        <w:adjustRightInd w:val="0"/>
        <w:snapToGrid w:val="0"/>
        <w:spacing w:line="600" w:lineRule="exact"/>
        <w:jc w:val="right"/>
        <w:rPr>
          <w:rFonts w:ascii="宋体"/>
          <w:sz w:val="28"/>
        </w:rPr>
      </w:pPr>
      <w:r>
        <w:rPr>
          <w:rFonts w:hint="eastAsia" w:ascii="宋体"/>
          <w:sz w:val="28"/>
        </w:rPr>
        <w:t xml:space="preserve"> 年   月</w:t>
      </w:r>
      <w:r>
        <w:rPr>
          <w:rFonts w:hint="eastAsia" w:ascii="宋体"/>
          <w:sz w:val="28"/>
        </w:rPr>
        <w:tab/>
      </w:r>
      <w:r>
        <w:rPr>
          <w:rFonts w:hint="eastAsia" w:ascii="宋体"/>
          <w:sz w:val="28"/>
        </w:rPr>
        <w:t>日</w:t>
      </w:r>
    </w:p>
    <w:p>
      <w:pPr>
        <w:adjustRightInd w:val="0"/>
        <w:snapToGrid w:val="0"/>
        <w:spacing w:line="600" w:lineRule="exact"/>
        <w:jc w:val="right"/>
        <w:rPr>
          <w:rFonts w:ascii="宋体"/>
          <w:sz w:val="28"/>
        </w:rPr>
        <w:sectPr>
          <w:footerReference r:id="rId3" w:type="default"/>
          <w:pgSz w:w="11910" w:h="16840"/>
          <w:pgMar w:top="1701" w:right="1474" w:bottom="1701" w:left="1587" w:header="720" w:footer="720" w:gutter="0"/>
          <w:cols w:space="720" w:num="1"/>
        </w:sectPr>
      </w:pPr>
    </w:p>
    <w:p>
      <w:pPr>
        <w:adjustRightInd w:val="0"/>
        <w:snapToGrid w:val="0"/>
        <w:spacing w:line="600" w:lineRule="exact"/>
        <w:jc w:val="center"/>
        <w:rPr>
          <w:rFonts w:ascii="宋体"/>
          <w:b/>
          <w:sz w:val="32"/>
          <w:szCs w:val="32"/>
        </w:rPr>
      </w:pPr>
      <w:bookmarkStart w:id="22" w:name="_Toc17296_WPSOffice_Level1"/>
      <w:r>
        <w:rPr>
          <w:rFonts w:hint="eastAsia" w:ascii="宋体" w:hAnsi="宋体"/>
          <w:b/>
          <w:sz w:val="32"/>
          <w:szCs w:val="32"/>
        </w:rPr>
        <w:t>意向投资方基本情况</w:t>
      </w:r>
      <w:bookmarkEnd w:id="22"/>
    </w:p>
    <w:p>
      <w:pPr>
        <w:adjustRightInd w:val="0"/>
        <w:snapToGrid w:val="0"/>
        <w:spacing w:line="600" w:lineRule="exact"/>
        <w:jc w:val="right"/>
        <w:textAlignment w:val="baseline"/>
        <w:rPr>
          <w:rFonts w:ascii="宋体"/>
          <w:sz w:val="24"/>
        </w:rPr>
      </w:pPr>
    </w:p>
    <w:tbl>
      <w:tblPr>
        <w:tblStyle w:val="19"/>
        <w:tblW w:w="9160"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843"/>
        <w:gridCol w:w="2268"/>
        <w:gridCol w:w="1559"/>
        <w:gridCol w:w="221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tcBorders>
              <w:top w:val="single" w:color="auto" w:sz="12" w:space="0"/>
            </w:tcBorders>
            <w:vAlign w:val="center"/>
          </w:tcPr>
          <w:p>
            <w:pPr>
              <w:jc w:val="center"/>
              <w:rPr>
                <w:rFonts w:ascii="宋体"/>
                <w:b/>
                <w:bCs/>
                <w:sz w:val="24"/>
              </w:rPr>
            </w:pPr>
            <w:r>
              <w:rPr>
                <w:rFonts w:hint="eastAsia" w:ascii="宋体" w:hAnsi="宋体"/>
                <w:b/>
                <w:bCs/>
                <w:sz w:val="24"/>
              </w:rPr>
              <w:t>名称</w:t>
            </w:r>
          </w:p>
        </w:tc>
        <w:tc>
          <w:tcPr>
            <w:tcW w:w="7884" w:type="dxa"/>
            <w:gridSpan w:val="4"/>
            <w:tcBorders>
              <w:top w:val="single" w:color="auto" w:sz="12" w:space="0"/>
            </w:tcBorders>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2" w:hRule="atLeast"/>
        </w:trPr>
        <w:tc>
          <w:tcPr>
            <w:tcW w:w="1276" w:type="dxa"/>
            <w:vMerge w:val="restart"/>
            <w:vAlign w:val="center"/>
          </w:tcPr>
          <w:p>
            <w:pPr>
              <w:jc w:val="center"/>
              <w:rPr>
                <w:rFonts w:ascii="宋体"/>
                <w:b/>
                <w:bCs/>
                <w:sz w:val="24"/>
              </w:rPr>
            </w:pPr>
            <w:r>
              <w:rPr>
                <w:rFonts w:hint="eastAsia" w:ascii="宋体" w:hAnsi="宋体"/>
                <w:b/>
                <w:bCs/>
                <w:sz w:val="24"/>
              </w:rPr>
              <w:t>基本</w:t>
            </w:r>
          </w:p>
          <w:p>
            <w:pPr>
              <w:jc w:val="center"/>
              <w:rPr>
                <w:rFonts w:ascii="宋体"/>
                <w:b/>
                <w:bCs/>
                <w:sz w:val="24"/>
              </w:rPr>
            </w:pPr>
            <w:r>
              <w:rPr>
                <w:rFonts w:hint="eastAsia" w:ascii="宋体" w:hAnsi="宋体"/>
                <w:b/>
                <w:bCs/>
                <w:sz w:val="24"/>
              </w:rPr>
              <w:t>情况</w:t>
            </w:r>
          </w:p>
        </w:tc>
        <w:tc>
          <w:tcPr>
            <w:tcW w:w="7884" w:type="dxa"/>
            <w:gridSpan w:val="4"/>
            <w:vAlign w:val="center"/>
          </w:tcPr>
          <w:p>
            <w:pPr>
              <w:ind w:firstLine="2940" w:firstLineChars="1400"/>
              <w:rPr>
                <w:rFonts w:ascii="宋体"/>
                <w:szCs w:val="21"/>
              </w:rPr>
            </w:pPr>
            <w:r>
              <w:rPr>
                <w:rFonts w:hint="eastAsia" w:ascii="宋体" w:hAnsi="宋体"/>
                <w:szCs w:val="21"/>
              </w:rPr>
              <w:t>法人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住所</w:t>
            </w:r>
          </w:p>
        </w:tc>
        <w:tc>
          <w:tcPr>
            <w:tcW w:w="6041" w:type="dxa"/>
            <w:gridSpan w:val="3"/>
            <w:vAlign w:val="center"/>
          </w:tcPr>
          <w:p>
            <w:pP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注册资本</w:t>
            </w:r>
          </w:p>
        </w:tc>
        <w:tc>
          <w:tcPr>
            <w:tcW w:w="2268" w:type="dxa"/>
            <w:vAlign w:val="center"/>
          </w:tcPr>
          <w:p>
            <w:pPr>
              <w:rPr>
                <w:rFonts w:ascii="宋体"/>
                <w:szCs w:val="21"/>
              </w:rPr>
            </w:pPr>
          </w:p>
        </w:tc>
        <w:tc>
          <w:tcPr>
            <w:tcW w:w="1559" w:type="dxa"/>
            <w:vAlign w:val="center"/>
          </w:tcPr>
          <w:p>
            <w:pPr>
              <w:rPr>
                <w:rFonts w:ascii="宋体"/>
                <w:szCs w:val="21"/>
              </w:rPr>
            </w:pPr>
            <w:r>
              <w:rPr>
                <w:rFonts w:hint="eastAsia" w:ascii="宋体" w:hAnsi="宋体"/>
                <w:szCs w:val="21"/>
              </w:rPr>
              <w:t>法定代表人</w:t>
            </w:r>
          </w:p>
          <w:p>
            <w:pPr>
              <w:rPr>
                <w:rFonts w:ascii="宋体"/>
                <w:szCs w:val="21"/>
              </w:rPr>
            </w:pPr>
            <w:r>
              <w:rPr>
                <w:rFonts w:hint="eastAsia" w:ascii="宋体" w:hAnsi="宋体"/>
                <w:szCs w:val="21"/>
              </w:rPr>
              <w:t>（负责人）</w:t>
            </w:r>
          </w:p>
        </w:tc>
        <w:tc>
          <w:tcPr>
            <w:tcW w:w="2214" w:type="dxa"/>
            <w:vAlign w:val="center"/>
          </w:tcPr>
          <w:p>
            <w:pP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类型</w:t>
            </w:r>
          </w:p>
        </w:tc>
        <w:tc>
          <w:tcPr>
            <w:tcW w:w="6041" w:type="dxa"/>
            <w:gridSpan w:val="3"/>
            <w:vAlign w:val="center"/>
          </w:tcPr>
          <w:p>
            <w:pP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23"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经营范围</w:t>
            </w:r>
          </w:p>
        </w:tc>
        <w:tc>
          <w:tcPr>
            <w:tcW w:w="6041" w:type="dxa"/>
            <w:gridSpan w:val="3"/>
            <w:vAlign w:val="center"/>
          </w:tcPr>
          <w:p>
            <w:pP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restart"/>
            <w:vAlign w:val="center"/>
          </w:tcPr>
          <w:p>
            <w:pPr>
              <w:jc w:val="center"/>
              <w:rPr>
                <w:rFonts w:ascii="宋体"/>
                <w:b/>
                <w:sz w:val="24"/>
              </w:rPr>
            </w:pPr>
            <w:r>
              <w:rPr>
                <w:rFonts w:hint="eastAsia" w:ascii="宋体" w:hAnsi="宋体"/>
                <w:b/>
                <w:sz w:val="24"/>
              </w:rPr>
              <w:t>联系方式</w:t>
            </w:r>
          </w:p>
        </w:tc>
        <w:tc>
          <w:tcPr>
            <w:tcW w:w="1843" w:type="dxa"/>
            <w:vAlign w:val="center"/>
          </w:tcPr>
          <w:p>
            <w:pPr>
              <w:jc w:val="center"/>
              <w:rPr>
                <w:rFonts w:ascii="宋体"/>
                <w:szCs w:val="21"/>
              </w:rPr>
            </w:pPr>
            <w:r>
              <w:rPr>
                <w:rFonts w:hint="eastAsia" w:ascii="宋体" w:hAnsi="宋体"/>
                <w:szCs w:val="21"/>
              </w:rPr>
              <w:t>联系人</w:t>
            </w:r>
          </w:p>
        </w:tc>
        <w:tc>
          <w:tcPr>
            <w:tcW w:w="2268" w:type="dxa"/>
            <w:vAlign w:val="center"/>
          </w:tcPr>
          <w:p>
            <w:pPr>
              <w:jc w:val="center"/>
              <w:rPr>
                <w:rFonts w:ascii="宋体"/>
                <w:szCs w:val="21"/>
              </w:rPr>
            </w:pPr>
          </w:p>
        </w:tc>
        <w:tc>
          <w:tcPr>
            <w:tcW w:w="1559" w:type="dxa"/>
            <w:vAlign w:val="center"/>
          </w:tcPr>
          <w:p>
            <w:pPr>
              <w:jc w:val="center"/>
              <w:rPr>
                <w:rFonts w:ascii="宋体"/>
                <w:szCs w:val="21"/>
              </w:rPr>
            </w:pPr>
            <w:r>
              <w:rPr>
                <w:rFonts w:hint="eastAsia" w:ascii="宋体" w:hAnsi="宋体"/>
                <w:szCs w:val="21"/>
              </w:rPr>
              <w:t>联系电话</w:t>
            </w:r>
          </w:p>
        </w:tc>
        <w:tc>
          <w:tcPr>
            <w:tcW w:w="2214" w:type="dxa"/>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传真</w:t>
            </w:r>
          </w:p>
        </w:tc>
        <w:tc>
          <w:tcPr>
            <w:tcW w:w="2268" w:type="dxa"/>
            <w:vAlign w:val="center"/>
          </w:tcPr>
          <w:p>
            <w:pPr>
              <w:jc w:val="center"/>
              <w:rPr>
                <w:rFonts w:ascii="宋体"/>
                <w:b/>
                <w:bCs/>
                <w:szCs w:val="21"/>
              </w:rPr>
            </w:pPr>
          </w:p>
        </w:tc>
        <w:tc>
          <w:tcPr>
            <w:tcW w:w="1559" w:type="dxa"/>
            <w:vAlign w:val="center"/>
          </w:tcPr>
          <w:p>
            <w:pPr>
              <w:jc w:val="center"/>
              <w:rPr>
                <w:rFonts w:ascii="宋体"/>
                <w:szCs w:val="21"/>
              </w:rPr>
            </w:pPr>
            <w:r>
              <w:rPr>
                <w:rFonts w:hint="eastAsia" w:ascii="宋体" w:hAnsi="宋体"/>
                <w:szCs w:val="21"/>
              </w:rPr>
              <w:t>电子邮件</w:t>
            </w:r>
          </w:p>
        </w:tc>
        <w:tc>
          <w:tcPr>
            <w:tcW w:w="2214" w:type="dxa"/>
            <w:vAlign w:val="center"/>
          </w:tcPr>
          <w:p>
            <w:pPr>
              <w:jc w:val="center"/>
              <w:rPr>
                <w:rFonts w:ascii="宋体"/>
                <w:b/>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通讯地址</w:t>
            </w:r>
          </w:p>
        </w:tc>
        <w:tc>
          <w:tcPr>
            <w:tcW w:w="2268" w:type="dxa"/>
            <w:vAlign w:val="center"/>
          </w:tcPr>
          <w:p>
            <w:pPr>
              <w:jc w:val="center"/>
              <w:rPr>
                <w:rFonts w:ascii="宋体"/>
                <w:b/>
                <w:bCs/>
                <w:szCs w:val="21"/>
              </w:rPr>
            </w:pPr>
          </w:p>
        </w:tc>
        <w:tc>
          <w:tcPr>
            <w:tcW w:w="1559" w:type="dxa"/>
            <w:vAlign w:val="center"/>
          </w:tcPr>
          <w:p>
            <w:pPr>
              <w:jc w:val="center"/>
              <w:rPr>
                <w:rFonts w:ascii="宋体"/>
                <w:szCs w:val="21"/>
              </w:rPr>
            </w:pPr>
            <w:r>
              <w:rPr>
                <w:rFonts w:hint="eastAsia" w:ascii="宋体" w:hAnsi="宋体"/>
                <w:szCs w:val="21"/>
              </w:rPr>
              <w:t>邮编</w:t>
            </w:r>
          </w:p>
        </w:tc>
        <w:tc>
          <w:tcPr>
            <w:tcW w:w="2214" w:type="dxa"/>
            <w:vAlign w:val="center"/>
          </w:tcPr>
          <w:p>
            <w:pPr>
              <w:jc w:val="center"/>
              <w:rPr>
                <w:rFonts w:ascii="宋体"/>
                <w:b/>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Align w:val="center"/>
          </w:tcPr>
          <w:p>
            <w:pPr>
              <w:jc w:val="center"/>
              <w:rPr>
                <w:rFonts w:ascii="宋体"/>
                <w:b/>
                <w:bCs/>
                <w:sz w:val="24"/>
              </w:rPr>
            </w:pPr>
            <w:r>
              <w:rPr>
                <w:rFonts w:hint="eastAsia" w:ascii="宋体" w:hAnsi="宋体"/>
                <w:b/>
                <w:bCs/>
                <w:sz w:val="24"/>
              </w:rPr>
              <w:t>投资意向</w:t>
            </w:r>
          </w:p>
        </w:tc>
        <w:tc>
          <w:tcPr>
            <w:tcW w:w="1843" w:type="dxa"/>
            <w:vAlign w:val="center"/>
          </w:tcPr>
          <w:p>
            <w:pPr>
              <w:jc w:val="center"/>
              <w:rPr>
                <w:rFonts w:ascii="宋体"/>
                <w:szCs w:val="21"/>
              </w:rPr>
            </w:pPr>
            <w:r>
              <w:rPr>
                <w:rFonts w:hint="eastAsia" w:ascii="宋体" w:hAnsi="宋体"/>
                <w:szCs w:val="21"/>
              </w:rPr>
              <w:t>投资比例</w:t>
            </w:r>
          </w:p>
        </w:tc>
        <w:tc>
          <w:tcPr>
            <w:tcW w:w="2268" w:type="dxa"/>
            <w:vAlign w:val="center"/>
          </w:tcPr>
          <w:p>
            <w:pPr>
              <w:jc w:val="center"/>
              <w:rPr>
                <w:rFonts w:ascii="宋体"/>
                <w:szCs w:val="21"/>
              </w:rPr>
            </w:pPr>
          </w:p>
        </w:tc>
        <w:tc>
          <w:tcPr>
            <w:tcW w:w="1559" w:type="dxa"/>
            <w:vAlign w:val="center"/>
          </w:tcPr>
          <w:p>
            <w:pPr>
              <w:jc w:val="center"/>
              <w:rPr>
                <w:rFonts w:ascii="宋体"/>
                <w:szCs w:val="21"/>
              </w:rPr>
            </w:pPr>
            <w:r>
              <w:rPr>
                <w:rFonts w:hint="eastAsia" w:ascii="宋体" w:hAnsi="宋体"/>
                <w:szCs w:val="21"/>
              </w:rPr>
              <w:t>是否接受挂牌价格</w:t>
            </w:r>
          </w:p>
        </w:tc>
        <w:tc>
          <w:tcPr>
            <w:tcW w:w="2214" w:type="dxa"/>
            <w:vAlign w:val="center"/>
          </w:tcPr>
          <w:p>
            <w:pPr>
              <w:ind w:firstLine="210" w:firstLineChars="100"/>
              <w:rPr>
                <w:rFonts w:ascii="宋体"/>
                <w:szCs w:val="21"/>
              </w:rPr>
            </w:pPr>
            <w:r>
              <w:rPr>
                <w:rFonts w:hint="eastAsia" w:ascii="宋体" w:hAnsi="宋体"/>
                <w:szCs w:val="21"/>
              </w:rPr>
              <w:t>□是□否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10" w:hRule="atLeast"/>
        </w:trPr>
        <w:tc>
          <w:tcPr>
            <w:tcW w:w="1276" w:type="dxa"/>
            <w:tcBorders>
              <w:bottom w:val="single" w:color="auto" w:sz="12" w:space="0"/>
            </w:tcBorders>
            <w:vAlign w:val="center"/>
          </w:tcPr>
          <w:p>
            <w:pPr>
              <w:pStyle w:val="3"/>
              <w:ind w:firstLine="0" w:firstLineChars="0"/>
              <w:jc w:val="center"/>
              <w:rPr>
                <w:rFonts w:ascii="宋体" w:hAnsi="宋体"/>
              </w:rPr>
            </w:pPr>
            <w:r>
              <w:rPr>
                <w:rFonts w:hint="eastAsia" w:ascii="宋体" w:hAnsi="宋体"/>
              </w:rPr>
              <w:t>投资</w:t>
            </w:r>
          </w:p>
          <w:p>
            <w:pPr>
              <w:pStyle w:val="3"/>
              <w:ind w:firstLine="0" w:firstLineChars="0"/>
              <w:jc w:val="center"/>
              <w:rPr>
                <w:rFonts w:ascii="宋体" w:hAnsi="宋体"/>
              </w:rPr>
            </w:pPr>
            <w:r>
              <w:rPr>
                <w:rFonts w:hint="eastAsia" w:ascii="宋体" w:hAnsi="宋体"/>
              </w:rPr>
              <w:t>意向</w:t>
            </w:r>
          </w:p>
          <w:p>
            <w:pPr>
              <w:pStyle w:val="3"/>
              <w:ind w:firstLine="0" w:firstLineChars="0"/>
              <w:jc w:val="center"/>
              <w:rPr>
                <w:rFonts w:ascii="宋体" w:eastAsia="宋体"/>
              </w:rPr>
            </w:pPr>
            <w:r>
              <w:rPr>
                <w:rFonts w:hint="eastAsia" w:ascii="宋体" w:hAnsi="宋体"/>
              </w:rPr>
              <w:t>描述</w:t>
            </w:r>
          </w:p>
        </w:tc>
        <w:tc>
          <w:tcPr>
            <w:tcW w:w="7884" w:type="dxa"/>
            <w:gridSpan w:val="4"/>
            <w:tcBorders>
              <w:bottom w:val="single" w:color="auto" w:sz="12" w:space="0"/>
            </w:tcBorders>
            <w:vAlign w:val="center"/>
          </w:tcPr>
          <w:p>
            <w:pPr>
              <w:rPr>
                <w:rFonts w:ascii="宋体"/>
                <w:szCs w:val="21"/>
              </w:rPr>
            </w:pPr>
          </w:p>
        </w:tc>
      </w:tr>
    </w:tbl>
    <w:p>
      <w:pPr>
        <w:adjustRightInd w:val="0"/>
        <w:snapToGrid w:val="0"/>
        <w:spacing w:line="600" w:lineRule="exact"/>
        <w:rPr>
          <w:rFonts w:ascii="宋体" w:hAnsi="宋体"/>
          <w:b/>
          <w:sz w:val="32"/>
          <w:szCs w:val="32"/>
        </w:rPr>
      </w:pPr>
    </w:p>
    <w:p>
      <w:pPr>
        <w:adjustRightInd w:val="0"/>
        <w:snapToGrid w:val="0"/>
        <w:spacing w:line="600" w:lineRule="exact"/>
        <w:rPr>
          <w:rFonts w:ascii="宋体" w:hAnsi="宋体"/>
          <w:b/>
          <w:sz w:val="32"/>
          <w:szCs w:val="32"/>
        </w:rPr>
      </w:pPr>
    </w:p>
    <w:p>
      <w:pPr>
        <w:adjustRightInd w:val="0"/>
        <w:snapToGrid w:val="0"/>
        <w:spacing w:line="600" w:lineRule="exact"/>
        <w:rPr>
          <w:rFonts w:ascii="宋体" w:hAnsi="宋体"/>
          <w:b/>
          <w:sz w:val="32"/>
          <w:szCs w:val="32"/>
        </w:rPr>
      </w:pPr>
    </w:p>
    <w:p>
      <w:pPr>
        <w:adjustRightInd w:val="0"/>
        <w:snapToGrid w:val="0"/>
        <w:spacing w:line="600" w:lineRule="exact"/>
        <w:rPr>
          <w:rFonts w:ascii="宋体"/>
          <w:b/>
          <w:sz w:val="32"/>
          <w:szCs w:val="32"/>
        </w:rPr>
      </w:pPr>
      <w:r>
        <w:rPr>
          <w:rFonts w:hint="eastAsia" w:ascii="宋体" w:hAnsi="宋体"/>
          <w:b/>
          <w:sz w:val="32"/>
          <w:szCs w:val="32"/>
        </w:rPr>
        <w:t>备查材料</w:t>
      </w:r>
    </w:p>
    <w:tbl>
      <w:tblPr>
        <w:tblStyle w:val="19"/>
        <w:tblW w:w="91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2"/>
        <w:gridCol w:w="4617"/>
        <w:gridCol w:w="2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exact"/>
          <w:jc w:val="center"/>
        </w:trPr>
        <w:tc>
          <w:tcPr>
            <w:tcW w:w="2222" w:type="dxa"/>
            <w:tcBorders>
              <w:top w:val="single" w:color="auto" w:sz="12" w:space="0"/>
              <w:left w:val="single" w:color="auto" w:sz="12" w:space="0"/>
            </w:tcBorders>
            <w:vAlign w:val="center"/>
          </w:tcPr>
          <w:p>
            <w:pPr>
              <w:widowControl/>
              <w:adjustRightInd w:val="0"/>
              <w:snapToGrid w:val="0"/>
              <w:spacing w:line="600" w:lineRule="exact"/>
              <w:jc w:val="center"/>
              <w:rPr>
                <w:rFonts w:ascii="宋体" w:cs="宋体"/>
                <w:b/>
                <w:bCs/>
                <w:kern w:val="0"/>
                <w:sz w:val="24"/>
              </w:rPr>
            </w:pPr>
            <w:r>
              <w:rPr>
                <w:rFonts w:hint="eastAsia" w:ascii="宋体" w:hAnsi="宋体" w:cs="宋体"/>
                <w:b/>
                <w:bCs/>
                <w:kern w:val="0"/>
                <w:sz w:val="24"/>
              </w:rPr>
              <w:t>附件类型</w:t>
            </w:r>
          </w:p>
        </w:tc>
        <w:tc>
          <w:tcPr>
            <w:tcW w:w="4617" w:type="dxa"/>
            <w:tcBorders>
              <w:top w:val="single" w:color="auto" w:sz="12" w:space="0"/>
            </w:tcBorders>
            <w:vAlign w:val="center"/>
          </w:tcPr>
          <w:p>
            <w:pPr>
              <w:widowControl/>
              <w:adjustRightInd w:val="0"/>
              <w:snapToGrid w:val="0"/>
              <w:spacing w:line="600" w:lineRule="exact"/>
              <w:jc w:val="center"/>
              <w:rPr>
                <w:rFonts w:ascii="宋体" w:cs="宋体"/>
                <w:b/>
                <w:bCs/>
                <w:kern w:val="0"/>
                <w:sz w:val="24"/>
              </w:rPr>
            </w:pPr>
            <w:r>
              <w:rPr>
                <w:rFonts w:hint="eastAsia" w:ascii="宋体" w:hAnsi="宋体" w:cs="宋体"/>
                <w:b/>
                <w:bCs/>
                <w:kern w:val="0"/>
                <w:sz w:val="24"/>
              </w:rPr>
              <w:t>资料名称</w:t>
            </w:r>
          </w:p>
        </w:tc>
        <w:tc>
          <w:tcPr>
            <w:tcW w:w="2277" w:type="dxa"/>
            <w:tcBorders>
              <w:top w:val="single" w:color="auto" w:sz="12" w:space="0"/>
              <w:right w:val="single" w:color="auto" w:sz="12" w:space="0"/>
            </w:tcBorders>
            <w:vAlign w:val="center"/>
          </w:tcPr>
          <w:p>
            <w:pPr>
              <w:widowControl/>
              <w:adjustRightInd w:val="0"/>
              <w:snapToGrid w:val="0"/>
              <w:spacing w:line="600" w:lineRule="exact"/>
              <w:jc w:val="center"/>
              <w:rPr>
                <w:rFonts w:ascii="宋体" w:cs="宋体"/>
                <w:b/>
                <w:bCs/>
                <w:kern w:val="0"/>
                <w:sz w:val="24"/>
              </w:rPr>
            </w:pPr>
            <w:r>
              <w:rPr>
                <w:rFonts w:hint="eastAsia" w:ascii="宋体" w:hAnsi="宋体" w:cs="宋体"/>
                <w:b/>
                <w:bCs/>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exact"/>
          <w:jc w:val="center"/>
        </w:trPr>
        <w:tc>
          <w:tcPr>
            <w:tcW w:w="2222" w:type="dxa"/>
            <w:tcBorders>
              <w:left w:val="single" w:color="auto" w:sz="12" w:space="0"/>
            </w:tcBorders>
            <w:vAlign w:val="center"/>
          </w:tcPr>
          <w:p>
            <w:pPr>
              <w:widowControl/>
              <w:adjustRightInd w:val="0"/>
              <w:snapToGrid w:val="0"/>
              <w:spacing w:line="600" w:lineRule="exact"/>
              <w:jc w:val="center"/>
              <w:rPr>
                <w:rFonts w:ascii="宋体" w:cs="宋体"/>
                <w:b/>
                <w:bCs/>
                <w:kern w:val="0"/>
                <w:sz w:val="24"/>
              </w:rPr>
            </w:pPr>
            <w:r>
              <w:rPr>
                <w:rFonts w:hint="eastAsia" w:ascii="宋体" w:hAnsi="宋体" w:cs="宋体"/>
                <w:b/>
                <w:kern w:val="0"/>
                <w:sz w:val="24"/>
              </w:rPr>
              <w:t>申请类资料</w:t>
            </w:r>
          </w:p>
        </w:tc>
        <w:tc>
          <w:tcPr>
            <w:tcW w:w="4617" w:type="dxa"/>
            <w:vAlign w:val="center"/>
          </w:tcPr>
          <w:p>
            <w:pPr>
              <w:widowControl/>
              <w:adjustRightInd w:val="0"/>
              <w:snapToGrid w:val="0"/>
              <w:spacing w:line="600" w:lineRule="exact"/>
              <w:jc w:val="left"/>
              <w:rPr>
                <w:rFonts w:ascii="宋体" w:hAnsi="宋体"/>
                <w:kern w:val="0"/>
              </w:rPr>
            </w:pPr>
            <w:r>
              <w:rPr>
                <w:rFonts w:hint="eastAsia" w:ascii="宋体" w:hAnsi="宋体"/>
                <w:kern w:val="0"/>
              </w:rPr>
              <w:t>《增资投资申请书》</w:t>
            </w:r>
          </w:p>
        </w:tc>
        <w:tc>
          <w:tcPr>
            <w:tcW w:w="2277" w:type="dxa"/>
            <w:tcBorders>
              <w:right w:val="single" w:color="auto" w:sz="12" w:space="0"/>
            </w:tcBorders>
            <w:vAlign w:val="center"/>
          </w:tcPr>
          <w:p>
            <w:pPr>
              <w:widowControl/>
              <w:adjustRightInd w:val="0"/>
              <w:snapToGrid w:val="0"/>
              <w:spacing w:line="600" w:lineRule="exact"/>
              <w:jc w:val="center"/>
              <w:rPr>
                <w:rFonts w:ascii="宋体" w:cs="宋体"/>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2222" w:type="dxa"/>
            <w:vMerge w:val="restart"/>
            <w:tcBorders>
              <w:left w:val="single" w:color="auto" w:sz="12" w:space="0"/>
            </w:tcBorders>
            <w:vAlign w:val="center"/>
          </w:tcPr>
          <w:p>
            <w:pPr>
              <w:widowControl/>
              <w:adjustRightInd w:val="0"/>
              <w:snapToGrid w:val="0"/>
              <w:spacing w:line="600" w:lineRule="exact"/>
              <w:jc w:val="center"/>
              <w:rPr>
                <w:rFonts w:ascii="宋体" w:cs="宋体"/>
                <w:b/>
                <w:kern w:val="0"/>
                <w:sz w:val="24"/>
              </w:rPr>
            </w:pPr>
            <w:r>
              <w:rPr>
                <w:rFonts w:hint="eastAsia" w:ascii="宋体" w:hAnsi="宋体" w:cs="宋体"/>
                <w:b/>
                <w:kern w:val="0"/>
                <w:sz w:val="24"/>
              </w:rPr>
              <w:t>主体资格类资料</w:t>
            </w:r>
          </w:p>
        </w:tc>
        <w:tc>
          <w:tcPr>
            <w:tcW w:w="4617" w:type="dxa"/>
            <w:vAlign w:val="center"/>
          </w:tcPr>
          <w:p>
            <w:pPr>
              <w:widowControl/>
              <w:adjustRightInd w:val="0"/>
              <w:snapToGrid w:val="0"/>
              <w:spacing w:line="600" w:lineRule="exact"/>
              <w:jc w:val="left"/>
              <w:rPr>
                <w:rFonts w:ascii="宋体" w:hAnsi="宋体"/>
                <w:kern w:val="0"/>
              </w:rPr>
            </w:pPr>
            <w:r>
              <w:rPr>
                <w:rFonts w:hint="eastAsia" w:ascii="宋体" w:hAnsi="宋体"/>
                <w:kern w:val="0"/>
              </w:rPr>
              <w:t>营业执照或相关注册证明文件</w:t>
            </w:r>
          </w:p>
        </w:tc>
        <w:tc>
          <w:tcPr>
            <w:tcW w:w="2277" w:type="dxa"/>
            <w:tcBorders>
              <w:right w:val="single" w:color="auto" w:sz="12" w:space="0"/>
            </w:tcBorders>
            <w:vAlign w:val="center"/>
          </w:tcPr>
          <w:p>
            <w:pPr>
              <w:widowControl/>
              <w:adjustRightInd w:val="0"/>
              <w:snapToGrid w:val="0"/>
              <w:spacing w:line="600" w:lineRule="exact"/>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2222" w:type="dxa"/>
            <w:vMerge w:val="continue"/>
            <w:tcBorders>
              <w:left w:val="single" w:color="auto" w:sz="12" w:space="0"/>
            </w:tcBorders>
            <w:vAlign w:val="center"/>
          </w:tcPr>
          <w:p>
            <w:pPr>
              <w:widowControl/>
              <w:adjustRightInd w:val="0"/>
              <w:snapToGrid w:val="0"/>
              <w:spacing w:line="600" w:lineRule="exact"/>
              <w:jc w:val="center"/>
              <w:rPr>
                <w:rFonts w:ascii="宋体" w:cs="宋体"/>
                <w:b/>
                <w:kern w:val="0"/>
                <w:sz w:val="24"/>
              </w:rPr>
            </w:pPr>
          </w:p>
        </w:tc>
        <w:tc>
          <w:tcPr>
            <w:tcW w:w="4617" w:type="dxa"/>
            <w:vAlign w:val="center"/>
          </w:tcPr>
          <w:p>
            <w:pPr>
              <w:widowControl/>
              <w:adjustRightInd w:val="0"/>
              <w:snapToGrid w:val="0"/>
              <w:spacing w:line="600" w:lineRule="exact"/>
              <w:jc w:val="left"/>
              <w:rPr>
                <w:rFonts w:ascii="宋体" w:hAnsi="宋体"/>
                <w:kern w:val="0"/>
              </w:rPr>
            </w:pPr>
            <w:r>
              <w:rPr>
                <w:rFonts w:hint="eastAsia" w:ascii="宋体" w:hAnsi="宋体"/>
                <w:kern w:val="0"/>
              </w:rPr>
              <w:t>身份证明</w:t>
            </w:r>
          </w:p>
        </w:tc>
        <w:tc>
          <w:tcPr>
            <w:tcW w:w="2277" w:type="dxa"/>
            <w:tcBorders>
              <w:right w:val="single" w:color="auto" w:sz="12" w:space="0"/>
            </w:tcBorders>
            <w:vAlign w:val="center"/>
          </w:tcPr>
          <w:p>
            <w:pPr>
              <w:widowControl/>
              <w:adjustRightInd w:val="0"/>
              <w:snapToGrid w:val="0"/>
              <w:spacing w:line="600" w:lineRule="exact"/>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exact"/>
          <w:jc w:val="center"/>
        </w:trPr>
        <w:tc>
          <w:tcPr>
            <w:tcW w:w="2222" w:type="dxa"/>
            <w:vMerge w:val="restart"/>
            <w:tcBorders>
              <w:left w:val="single" w:color="auto" w:sz="12" w:space="0"/>
            </w:tcBorders>
            <w:vAlign w:val="center"/>
          </w:tcPr>
          <w:p>
            <w:pPr>
              <w:widowControl/>
              <w:adjustRightInd w:val="0"/>
              <w:snapToGrid w:val="0"/>
              <w:spacing w:line="600" w:lineRule="exact"/>
              <w:jc w:val="center"/>
              <w:rPr>
                <w:rFonts w:ascii="宋体" w:cs="宋体"/>
                <w:b/>
                <w:kern w:val="0"/>
                <w:sz w:val="24"/>
              </w:rPr>
            </w:pPr>
            <w:r>
              <w:rPr>
                <w:rFonts w:hint="eastAsia" w:ascii="宋体" w:hAnsi="宋体" w:cs="宋体"/>
                <w:b/>
                <w:kern w:val="0"/>
                <w:sz w:val="24"/>
              </w:rPr>
              <w:t>决议及批准类资料</w:t>
            </w:r>
          </w:p>
        </w:tc>
        <w:tc>
          <w:tcPr>
            <w:tcW w:w="4617" w:type="dxa"/>
            <w:vAlign w:val="center"/>
          </w:tcPr>
          <w:p>
            <w:pPr>
              <w:widowControl/>
              <w:adjustRightInd w:val="0"/>
              <w:snapToGrid w:val="0"/>
              <w:spacing w:line="600" w:lineRule="exact"/>
              <w:jc w:val="left"/>
              <w:rPr>
                <w:rFonts w:ascii="宋体" w:hAnsi="宋体"/>
                <w:kern w:val="0"/>
              </w:rPr>
            </w:pPr>
            <w:r>
              <w:rPr>
                <w:rFonts w:hint="eastAsia" w:ascii="宋体" w:hAnsi="宋体"/>
                <w:kern w:val="0"/>
              </w:rPr>
              <w:t>公司章程或相关证明材料</w:t>
            </w:r>
          </w:p>
        </w:tc>
        <w:tc>
          <w:tcPr>
            <w:tcW w:w="2277" w:type="dxa"/>
            <w:tcBorders>
              <w:right w:val="single" w:color="auto" w:sz="12" w:space="0"/>
            </w:tcBorders>
            <w:vAlign w:val="center"/>
          </w:tcPr>
          <w:p>
            <w:pPr>
              <w:widowControl/>
              <w:adjustRightInd w:val="0"/>
              <w:snapToGrid w:val="0"/>
              <w:spacing w:line="600" w:lineRule="exact"/>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exact"/>
          <w:jc w:val="center"/>
        </w:trPr>
        <w:tc>
          <w:tcPr>
            <w:tcW w:w="2222" w:type="dxa"/>
            <w:vMerge w:val="continue"/>
            <w:tcBorders>
              <w:left w:val="single" w:color="auto" w:sz="12" w:space="0"/>
            </w:tcBorders>
            <w:vAlign w:val="center"/>
          </w:tcPr>
          <w:p>
            <w:pPr>
              <w:widowControl/>
              <w:adjustRightInd w:val="0"/>
              <w:snapToGrid w:val="0"/>
              <w:spacing w:line="600" w:lineRule="exact"/>
              <w:jc w:val="center"/>
              <w:rPr>
                <w:rFonts w:ascii="宋体" w:hAnsi="宋体" w:cs="宋体"/>
                <w:b/>
                <w:kern w:val="0"/>
                <w:sz w:val="24"/>
              </w:rPr>
            </w:pPr>
          </w:p>
        </w:tc>
        <w:tc>
          <w:tcPr>
            <w:tcW w:w="4617" w:type="dxa"/>
            <w:vAlign w:val="center"/>
          </w:tcPr>
          <w:p>
            <w:pPr>
              <w:widowControl/>
              <w:adjustRightInd w:val="0"/>
              <w:snapToGrid w:val="0"/>
              <w:spacing w:line="600" w:lineRule="exact"/>
              <w:jc w:val="left"/>
              <w:rPr>
                <w:rFonts w:ascii="宋体" w:hAnsi="宋体"/>
                <w:kern w:val="0"/>
              </w:rPr>
            </w:pPr>
            <w:r>
              <w:rPr>
                <w:rFonts w:hint="eastAsia" w:ascii="宋体" w:hAnsi="宋体"/>
                <w:kern w:val="0"/>
              </w:rPr>
              <w:t>工商管理部门或其他部门企业登记证明</w:t>
            </w:r>
          </w:p>
        </w:tc>
        <w:tc>
          <w:tcPr>
            <w:tcW w:w="2277" w:type="dxa"/>
            <w:tcBorders>
              <w:right w:val="single" w:color="auto" w:sz="12" w:space="0"/>
            </w:tcBorders>
            <w:vAlign w:val="center"/>
          </w:tcPr>
          <w:p>
            <w:pPr>
              <w:widowControl/>
              <w:adjustRightInd w:val="0"/>
              <w:snapToGrid w:val="0"/>
              <w:spacing w:line="600" w:lineRule="exact"/>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exact"/>
          <w:jc w:val="center"/>
        </w:trPr>
        <w:tc>
          <w:tcPr>
            <w:tcW w:w="2222" w:type="dxa"/>
            <w:vMerge w:val="continue"/>
            <w:tcBorders>
              <w:left w:val="single" w:color="auto" w:sz="12" w:space="0"/>
            </w:tcBorders>
            <w:vAlign w:val="center"/>
          </w:tcPr>
          <w:p>
            <w:pPr>
              <w:widowControl/>
              <w:adjustRightInd w:val="0"/>
              <w:snapToGrid w:val="0"/>
              <w:spacing w:line="600" w:lineRule="exact"/>
              <w:jc w:val="center"/>
              <w:rPr>
                <w:rFonts w:ascii="宋体" w:cs="宋体"/>
                <w:b/>
                <w:kern w:val="0"/>
                <w:sz w:val="24"/>
              </w:rPr>
            </w:pPr>
          </w:p>
        </w:tc>
        <w:tc>
          <w:tcPr>
            <w:tcW w:w="4617" w:type="dxa"/>
            <w:vAlign w:val="center"/>
          </w:tcPr>
          <w:p>
            <w:pPr>
              <w:widowControl/>
              <w:adjustRightInd w:val="0"/>
              <w:snapToGrid w:val="0"/>
              <w:spacing w:line="600" w:lineRule="exact"/>
              <w:jc w:val="left"/>
              <w:rPr>
                <w:rFonts w:ascii="宋体" w:hAnsi="宋体"/>
                <w:kern w:val="0"/>
              </w:rPr>
            </w:pPr>
            <w:r>
              <w:rPr>
                <w:rFonts w:hint="eastAsia" w:ascii="宋体" w:hAnsi="宋体"/>
                <w:kern w:val="0"/>
              </w:rPr>
              <w:t>股东大会决议</w:t>
            </w:r>
          </w:p>
        </w:tc>
        <w:tc>
          <w:tcPr>
            <w:tcW w:w="2277" w:type="dxa"/>
            <w:tcBorders>
              <w:right w:val="single" w:color="auto" w:sz="12" w:space="0"/>
            </w:tcBorders>
            <w:vAlign w:val="center"/>
          </w:tcPr>
          <w:p>
            <w:pPr>
              <w:widowControl/>
              <w:adjustRightInd w:val="0"/>
              <w:snapToGrid w:val="0"/>
              <w:spacing w:line="600" w:lineRule="exact"/>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exact"/>
          <w:jc w:val="center"/>
        </w:trPr>
        <w:tc>
          <w:tcPr>
            <w:tcW w:w="2222" w:type="dxa"/>
            <w:vMerge w:val="continue"/>
            <w:tcBorders>
              <w:left w:val="single" w:color="auto" w:sz="12" w:space="0"/>
            </w:tcBorders>
            <w:vAlign w:val="center"/>
          </w:tcPr>
          <w:p>
            <w:pPr>
              <w:widowControl/>
              <w:adjustRightInd w:val="0"/>
              <w:snapToGrid w:val="0"/>
              <w:spacing w:line="600" w:lineRule="exact"/>
              <w:jc w:val="center"/>
              <w:rPr>
                <w:rFonts w:ascii="宋体" w:cs="宋体"/>
                <w:b/>
                <w:kern w:val="0"/>
                <w:sz w:val="24"/>
              </w:rPr>
            </w:pPr>
          </w:p>
        </w:tc>
        <w:tc>
          <w:tcPr>
            <w:tcW w:w="4617" w:type="dxa"/>
            <w:vAlign w:val="center"/>
          </w:tcPr>
          <w:p>
            <w:pPr>
              <w:widowControl/>
              <w:adjustRightInd w:val="0"/>
              <w:snapToGrid w:val="0"/>
              <w:spacing w:line="600" w:lineRule="exact"/>
              <w:jc w:val="left"/>
              <w:rPr>
                <w:rFonts w:ascii="宋体" w:hAnsi="宋体"/>
                <w:kern w:val="0"/>
              </w:rPr>
            </w:pPr>
            <w:r>
              <w:rPr>
                <w:rFonts w:hint="eastAsia" w:ascii="宋体" w:hAnsi="宋体"/>
                <w:kern w:val="0"/>
              </w:rPr>
              <w:t>董事会决议</w:t>
            </w:r>
          </w:p>
        </w:tc>
        <w:tc>
          <w:tcPr>
            <w:tcW w:w="2277" w:type="dxa"/>
            <w:tcBorders>
              <w:right w:val="single" w:color="auto" w:sz="12" w:space="0"/>
            </w:tcBorders>
            <w:vAlign w:val="center"/>
          </w:tcPr>
          <w:p>
            <w:pPr>
              <w:widowControl/>
              <w:adjustRightInd w:val="0"/>
              <w:snapToGrid w:val="0"/>
              <w:spacing w:line="600" w:lineRule="exact"/>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2222" w:type="dxa"/>
            <w:vMerge w:val="continue"/>
            <w:tcBorders>
              <w:left w:val="single" w:color="auto" w:sz="12" w:space="0"/>
            </w:tcBorders>
            <w:vAlign w:val="center"/>
          </w:tcPr>
          <w:p>
            <w:pPr>
              <w:widowControl/>
              <w:adjustRightInd w:val="0"/>
              <w:snapToGrid w:val="0"/>
              <w:spacing w:line="600" w:lineRule="exact"/>
              <w:jc w:val="center"/>
              <w:rPr>
                <w:rFonts w:ascii="宋体" w:cs="宋体"/>
                <w:b/>
                <w:kern w:val="0"/>
                <w:sz w:val="24"/>
              </w:rPr>
            </w:pPr>
          </w:p>
        </w:tc>
        <w:tc>
          <w:tcPr>
            <w:tcW w:w="4617" w:type="dxa"/>
            <w:vAlign w:val="center"/>
          </w:tcPr>
          <w:p>
            <w:pPr>
              <w:widowControl/>
              <w:adjustRightInd w:val="0"/>
              <w:snapToGrid w:val="0"/>
              <w:spacing w:line="600" w:lineRule="exact"/>
              <w:jc w:val="left"/>
              <w:rPr>
                <w:rFonts w:ascii="宋体" w:hAnsi="宋体"/>
                <w:kern w:val="0"/>
              </w:rPr>
            </w:pPr>
            <w:r>
              <w:rPr>
                <w:rFonts w:hint="eastAsia" w:ascii="宋体" w:hAnsi="宋体"/>
                <w:kern w:val="0"/>
              </w:rPr>
              <w:t>总经理办公会决议</w:t>
            </w:r>
          </w:p>
        </w:tc>
        <w:tc>
          <w:tcPr>
            <w:tcW w:w="2277" w:type="dxa"/>
            <w:tcBorders>
              <w:right w:val="single" w:color="auto" w:sz="12" w:space="0"/>
            </w:tcBorders>
            <w:vAlign w:val="center"/>
          </w:tcPr>
          <w:p>
            <w:pPr>
              <w:widowControl/>
              <w:adjustRightInd w:val="0"/>
              <w:snapToGrid w:val="0"/>
              <w:spacing w:line="600" w:lineRule="exact"/>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exact"/>
          <w:jc w:val="center"/>
        </w:trPr>
        <w:tc>
          <w:tcPr>
            <w:tcW w:w="2222" w:type="dxa"/>
            <w:vMerge w:val="continue"/>
            <w:tcBorders>
              <w:left w:val="single" w:color="auto" w:sz="12" w:space="0"/>
            </w:tcBorders>
            <w:vAlign w:val="center"/>
          </w:tcPr>
          <w:p>
            <w:pPr>
              <w:widowControl/>
              <w:adjustRightInd w:val="0"/>
              <w:snapToGrid w:val="0"/>
              <w:spacing w:line="600" w:lineRule="exact"/>
              <w:jc w:val="center"/>
              <w:rPr>
                <w:rFonts w:ascii="宋体" w:cs="宋体"/>
                <w:b/>
                <w:kern w:val="0"/>
                <w:sz w:val="24"/>
              </w:rPr>
            </w:pPr>
          </w:p>
        </w:tc>
        <w:tc>
          <w:tcPr>
            <w:tcW w:w="4617" w:type="dxa"/>
            <w:vAlign w:val="center"/>
          </w:tcPr>
          <w:p>
            <w:pPr>
              <w:widowControl/>
              <w:adjustRightInd w:val="0"/>
              <w:snapToGrid w:val="0"/>
              <w:spacing w:line="600" w:lineRule="exact"/>
              <w:jc w:val="left"/>
              <w:rPr>
                <w:rFonts w:ascii="宋体"/>
                <w:b/>
                <w:kern w:val="0"/>
              </w:rPr>
            </w:pPr>
            <w:r>
              <w:rPr>
                <w:rFonts w:ascii="宋体"/>
                <w:b/>
                <w:kern w:val="0"/>
              </w:rPr>
              <w:t>(</w:t>
            </w:r>
            <w:r>
              <w:rPr>
                <w:rFonts w:hint="eastAsia" w:ascii="宋体"/>
                <w:b/>
                <w:kern w:val="0"/>
              </w:rPr>
              <w:t>根据企业实际情况提供</w:t>
            </w:r>
            <w:r>
              <w:rPr>
                <w:rFonts w:ascii="宋体"/>
                <w:b/>
                <w:kern w:val="0"/>
              </w:rPr>
              <w:t>)</w:t>
            </w:r>
          </w:p>
        </w:tc>
        <w:tc>
          <w:tcPr>
            <w:tcW w:w="2277" w:type="dxa"/>
            <w:tcBorders>
              <w:right w:val="single" w:color="auto" w:sz="12" w:space="0"/>
            </w:tcBorders>
            <w:vAlign w:val="center"/>
          </w:tcPr>
          <w:p>
            <w:pPr>
              <w:widowControl/>
              <w:adjustRightInd w:val="0"/>
              <w:snapToGrid w:val="0"/>
              <w:spacing w:line="600" w:lineRule="exact"/>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restart"/>
            <w:tcBorders>
              <w:left w:val="single" w:color="auto" w:sz="12" w:space="0"/>
            </w:tcBorders>
            <w:vAlign w:val="center"/>
          </w:tcPr>
          <w:p>
            <w:pPr>
              <w:widowControl/>
              <w:adjustRightInd w:val="0"/>
              <w:snapToGrid w:val="0"/>
              <w:spacing w:line="600" w:lineRule="exact"/>
              <w:jc w:val="center"/>
              <w:rPr>
                <w:rFonts w:ascii="宋体" w:cs="宋体"/>
                <w:b/>
                <w:kern w:val="0"/>
                <w:sz w:val="24"/>
              </w:rPr>
            </w:pPr>
            <w:r>
              <w:rPr>
                <w:rFonts w:hint="eastAsia" w:ascii="宋体" w:hAnsi="宋体" w:cs="宋体"/>
                <w:b/>
                <w:kern w:val="0"/>
                <w:sz w:val="24"/>
              </w:rPr>
              <w:t>符合增资条件的其他资料</w:t>
            </w:r>
          </w:p>
        </w:tc>
        <w:tc>
          <w:tcPr>
            <w:tcW w:w="4617" w:type="dxa"/>
            <w:vAlign w:val="center"/>
          </w:tcPr>
          <w:p>
            <w:pPr>
              <w:widowControl/>
              <w:adjustRightInd w:val="0"/>
              <w:snapToGrid w:val="0"/>
              <w:spacing w:line="600" w:lineRule="exact"/>
              <w:jc w:val="left"/>
              <w:rPr>
                <w:rFonts w:ascii="宋体" w:cs="宋体"/>
                <w:kern w:val="0"/>
                <w:szCs w:val="21"/>
              </w:rPr>
            </w:pPr>
          </w:p>
        </w:tc>
        <w:tc>
          <w:tcPr>
            <w:tcW w:w="2277" w:type="dxa"/>
            <w:tcBorders>
              <w:right w:val="single" w:color="auto" w:sz="12" w:space="0"/>
            </w:tcBorders>
            <w:vAlign w:val="center"/>
          </w:tcPr>
          <w:p>
            <w:pPr>
              <w:widowControl/>
              <w:adjustRightInd w:val="0"/>
              <w:snapToGrid w:val="0"/>
              <w:spacing w:line="600" w:lineRule="exact"/>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spacing w:line="600" w:lineRule="exact"/>
              <w:jc w:val="center"/>
              <w:rPr>
                <w:rFonts w:ascii="宋体" w:cs="宋体"/>
                <w:b/>
                <w:kern w:val="0"/>
                <w:sz w:val="24"/>
              </w:rPr>
            </w:pPr>
          </w:p>
        </w:tc>
        <w:tc>
          <w:tcPr>
            <w:tcW w:w="4617" w:type="dxa"/>
            <w:vAlign w:val="center"/>
          </w:tcPr>
          <w:p>
            <w:pPr>
              <w:widowControl/>
              <w:adjustRightInd w:val="0"/>
              <w:snapToGrid w:val="0"/>
              <w:spacing w:line="600" w:lineRule="exact"/>
              <w:jc w:val="left"/>
              <w:rPr>
                <w:rFonts w:ascii="宋体" w:cs="宋体"/>
                <w:kern w:val="0"/>
                <w:szCs w:val="21"/>
              </w:rPr>
            </w:pPr>
          </w:p>
        </w:tc>
        <w:tc>
          <w:tcPr>
            <w:tcW w:w="2277" w:type="dxa"/>
            <w:tcBorders>
              <w:right w:val="single" w:color="auto" w:sz="12" w:space="0"/>
            </w:tcBorders>
            <w:vAlign w:val="center"/>
          </w:tcPr>
          <w:p>
            <w:pPr>
              <w:widowControl/>
              <w:adjustRightInd w:val="0"/>
              <w:snapToGrid w:val="0"/>
              <w:spacing w:line="600" w:lineRule="exact"/>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spacing w:line="600" w:lineRule="exact"/>
              <w:jc w:val="center"/>
              <w:rPr>
                <w:rFonts w:ascii="宋体" w:cs="宋体"/>
                <w:b/>
                <w:kern w:val="0"/>
                <w:sz w:val="24"/>
              </w:rPr>
            </w:pPr>
          </w:p>
        </w:tc>
        <w:tc>
          <w:tcPr>
            <w:tcW w:w="4617" w:type="dxa"/>
            <w:vAlign w:val="center"/>
          </w:tcPr>
          <w:p>
            <w:pPr>
              <w:widowControl/>
              <w:adjustRightInd w:val="0"/>
              <w:snapToGrid w:val="0"/>
              <w:spacing w:line="600" w:lineRule="exact"/>
              <w:jc w:val="left"/>
              <w:rPr>
                <w:rFonts w:ascii="宋体" w:cs="宋体"/>
                <w:kern w:val="0"/>
                <w:szCs w:val="21"/>
              </w:rPr>
            </w:pPr>
          </w:p>
        </w:tc>
        <w:tc>
          <w:tcPr>
            <w:tcW w:w="2277" w:type="dxa"/>
            <w:tcBorders>
              <w:right w:val="single" w:color="auto" w:sz="12" w:space="0"/>
            </w:tcBorders>
            <w:vAlign w:val="center"/>
          </w:tcPr>
          <w:p>
            <w:pPr>
              <w:widowControl/>
              <w:adjustRightInd w:val="0"/>
              <w:snapToGrid w:val="0"/>
              <w:spacing w:line="600" w:lineRule="exact"/>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spacing w:line="600" w:lineRule="exact"/>
              <w:jc w:val="center"/>
              <w:rPr>
                <w:rFonts w:ascii="宋体" w:cs="宋体"/>
                <w:b/>
                <w:kern w:val="0"/>
                <w:sz w:val="24"/>
              </w:rPr>
            </w:pPr>
          </w:p>
        </w:tc>
        <w:tc>
          <w:tcPr>
            <w:tcW w:w="4617" w:type="dxa"/>
            <w:vAlign w:val="center"/>
          </w:tcPr>
          <w:p>
            <w:pPr>
              <w:widowControl/>
              <w:adjustRightInd w:val="0"/>
              <w:snapToGrid w:val="0"/>
              <w:spacing w:line="600" w:lineRule="exact"/>
              <w:jc w:val="left"/>
              <w:rPr>
                <w:rFonts w:ascii="宋体" w:cs="宋体"/>
                <w:kern w:val="0"/>
                <w:szCs w:val="21"/>
              </w:rPr>
            </w:pPr>
          </w:p>
        </w:tc>
        <w:tc>
          <w:tcPr>
            <w:tcW w:w="2277" w:type="dxa"/>
            <w:tcBorders>
              <w:right w:val="single" w:color="auto" w:sz="12" w:space="0"/>
            </w:tcBorders>
            <w:vAlign w:val="center"/>
          </w:tcPr>
          <w:p>
            <w:pPr>
              <w:widowControl/>
              <w:adjustRightInd w:val="0"/>
              <w:snapToGrid w:val="0"/>
              <w:spacing w:line="600" w:lineRule="exact"/>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spacing w:line="600" w:lineRule="exact"/>
              <w:jc w:val="center"/>
              <w:rPr>
                <w:rFonts w:ascii="宋体" w:cs="宋体"/>
                <w:b/>
                <w:kern w:val="0"/>
                <w:sz w:val="24"/>
              </w:rPr>
            </w:pPr>
          </w:p>
        </w:tc>
        <w:tc>
          <w:tcPr>
            <w:tcW w:w="4617" w:type="dxa"/>
            <w:vAlign w:val="center"/>
          </w:tcPr>
          <w:p>
            <w:pPr>
              <w:widowControl/>
              <w:adjustRightInd w:val="0"/>
              <w:snapToGrid w:val="0"/>
              <w:spacing w:line="600" w:lineRule="exact"/>
              <w:jc w:val="left"/>
              <w:rPr>
                <w:rFonts w:ascii="宋体" w:cs="宋体"/>
                <w:kern w:val="0"/>
                <w:szCs w:val="21"/>
              </w:rPr>
            </w:pPr>
          </w:p>
        </w:tc>
        <w:tc>
          <w:tcPr>
            <w:tcW w:w="2277" w:type="dxa"/>
            <w:tcBorders>
              <w:right w:val="single" w:color="auto" w:sz="12" w:space="0"/>
            </w:tcBorders>
            <w:vAlign w:val="center"/>
          </w:tcPr>
          <w:p>
            <w:pPr>
              <w:widowControl/>
              <w:adjustRightInd w:val="0"/>
              <w:snapToGrid w:val="0"/>
              <w:spacing w:line="600" w:lineRule="exact"/>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2" w:hRule="exact"/>
          <w:jc w:val="center"/>
        </w:trPr>
        <w:tc>
          <w:tcPr>
            <w:tcW w:w="9116" w:type="dxa"/>
            <w:gridSpan w:val="3"/>
            <w:tcBorders>
              <w:left w:val="single" w:color="auto" w:sz="12" w:space="0"/>
              <w:bottom w:val="single" w:color="auto" w:sz="12" w:space="0"/>
              <w:right w:val="single" w:color="auto" w:sz="12" w:space="0"/>
            </w:tcBorders>
            <w:vAlign w:val="center"/>
          </w:tcPr>
          <w:p>
            <w:pPr>
              <w:adjustRightInd w:val="0"/>
              <w:snapToGrid w:val="0"/>
              <w:spacing w:line="600" w:lineRule="exact"/>
              <w:ind w:firstLine="420" w:firstLineChars="200"/>
              <w:jc w:val="left"/>
              <w:rPr>
                <w:szCs w:val="21"/>
              </w:rPr>
            </w:pPr>
            <w:r>
              <w:rPr>
                <w:rFonts w:hint="eastAsia"/>
                <w:szCs w:val="21"/>
              </w:rPr>
              <w:t>我方所提交的报名资料和有关证明（含有关附件）均为真实、合法、有效文件，否则我方所交增资保证金由融资方和组织人没收。</w:t>
            </w:r>
          </w:p>
          <w:p>
            <w:pPr>
              <w:adjustRightInd w:val="0"/>
              <w:snapToGrid w:val="0"/>
              <w:spacing w:line="600" w:lineRule="exact"/>
              <w:jc w:val="left"/>
              <w:rPr>
                <w:szCs w:val="21"/>
              </w:rPr>
            </w:pPr>
          </w:p>
          <w:p>
            <w:pPr>
              <w:adjustRightInd w:val="0"/>
              <w:snapToGrid w:val="0"/>
              <w:spacing w:line="600" w:lineRule="exact"/>
              <w:jc w:val="left"/>
              <w:rPr>
                <w:szCs w:val="21"/>
              </w:rPr>
            </w:pPr>
          </w:p>
          <w:p>
            <w:pPr>
              <w:adjustRightInd w:val="0"/>
              <w:snapToGrid w:val="0"/>
              <w:spacing w:line="600" w:lineRule="exact"/>
              <w:jc w:val="center"/>
              <w:rPr>
                <w:rFonts w:hint="eastAsia"/>
              </w:rPr>
            </w:pPr>
            <w:r>
              <w:rPr>
                <w:rFonts w:hint="eastAsia"/>
                <w:szCs w:val="21"/>
                <w:lang w:val="en-US" w:eastAsia="zh-CN"/>
              </w:rPr>
              <w:t xml:space="preserve">                        </w:t>
            </w:r>
            <w:r>
              <w:rPr>
                <w:rFonts w:hint="eastAsia"/>
                <w:szCs w:val="21"/>
              </w:rPr>
              <w:t>意向投资方（盖章）：</w:t>
            </w:r>
          </w:p>
          <w:p>
            <w:pPr>
              <w:pStyle w:val="2"/>
              <w:rPr>
                <w:rFonts w:hint="eastAsia" w:eastAsia="宋体"/>
                <w:sz w:val="21"/>
                <w:szCs w:val="21"/>
                <w:lang w:val="en-US" w:eastAsia="zh-CN"/>
              </w:rPr>
            </w:pPr>
            <w:r>
              <w:rPr>
                <w:rFonts w:hint="eastAsia"/>
                <w:szCs w:val="21"/>
                <w:lang w:val="en-US" w:eastAsia="zh-CN"/>
              </w:rPr>
              <w:t xml:space="preserve">  </w:t>
            </w:r>
            <w:r>
              <w:rPr>
                <w:rFonts w:hint="eastAsia" w:eastAsia="宋体"/>
                <w:sz w:val="21"/>
                <w:szCs w:val="21"/>
                <w:lang w:val="en-US" w:eastAsia="zh-CN"/>
              </w:rPr>
              <w:t xml:space="preserve">                                </w:t>
            </w:r>
            <w:bookmarkStart w:id="34" w:name="_GoBack"/>
            <w:bookmarkEnd w:id="34"/>
            <w:r>
              <w:rPr>
                <w:rFonts w:hint="eastAsia" w:eastAsia="宋体"/>
                <w:sz w:val="21"/>
                <w:szCs w:val="21"/>
                <w:lang w:val="en-US" w:eastAsia="zh-CN"/>
              </w:rPr>
              <w:t xml:space="preserve">   年   月   日</w:t>
            </w:r>
          </w:p>
          <w:p>
            <w:pPr>
              <w:pStyle w:val="2"/>
              <w:rPr>
                <w:rFonts w:hint="default" w:eastAsia="仿宋_GB2312"/>
                <w:lang w:val="en-US" w:eastAsia="zh-CN"/>
              </w:rPr>
            </w:pPr>
          </w:p>
          <w:p>
            <w:pPr>
              <w:adjustRightInd w:val="0"/>
              <w:snapToGrid w:val="0"/>
              <w:spacing w:line="600" w:lineRule="exact"/>
              <w:jc w:val="center"/>
              <w:rPr>
                <w:szCs w:val="21"/>
              </w:rPr>
            </w:pPr>
          </w:p>
          <w:p>
            <w:pPr>
              <w:adjustRightInd w:val="0"/>
              <w:snapToGrid w:val="0"/>
              <w:spacing w:line="600" w:lineRule="exact"/>
              <w:jc w:val="center"/>
              <w:rPr>
                <w:szCs w:val="21"/>
              </w:rPr>
            </w:pPr>
          </w:p>
          <w:p>
            <w:pPr>
              <w:adjustRightInd w:val="0"/>
              <w:snapToGrid w:val="0"/>
              <w:spacing w:line="600" w:lineRule="exact"/>
              <w:jc w:val="center"/>
              <w:rPr>
                <w:szCs w:val="21"/>
              </w:rPr>
            </w:pPr>
            <w:r>
              <w:rPr>
                <w:rFonts w:hint="eastAsia"/>
                <w:szCs w:val="21"/>
              </w:rPr>
              <w:t>（签字）：</w:t>
            </w:r>
          </w:p>
          <w:p>
            <w:pPr>
              <w:adjustRightInd w:val="0"/>
              <w:snapToGrid w:val="0"/>
              <w:spacing w:line="600" w:lineRule="exact"/>
              <w:jc w:val="right"/>
              <w:rPr>
                <w:rFonts w:ascii="宋体" w:eastAsiaTheme="majorEastAsia" w:cstheme="majorBidi"/>
                <w:b/>
                <w:bCs/>
                <w:sz w:val="32"/>
                <w:szCs w:val="21"/>
              </w:rPr>
            </w:pPr>
            <w:r>
              <w:rPr>
                <w:rFonts w:hint="eastAsia"/>
                <w:szCs w:val="21"/>
              </w:rPr>
              <w:t>日期：</w:t>
            </w:r>
            <w:r>
              <w:rPr>
                <w:szCs w:val="21"/>
              </w:rPr>
              <w:t>______</w:t>
            </w:r>
            <w:r>
              <w:rPr>
                <w:rFonts w:hint="eastAsia"/>
                <w:szCs w:val="21"/>
              </w:rPr>
              <w:t>年</w:t>
            </w:r>
            <w:r>
              <w:rPr>
                <w:szCs w:val="21"/>
              </w:rPr>
              <w:t>____</w:t>
            </w:r>
            <w:r>
              <w:rPr>
                <w:rFonts w:hint="eastAsia"/>
                <w:szCs w:val="21"/>
              </w:rPr>
              <w:t>月</w:t>
            </w:r>
            <w:r>
              <w:rPr>
                <w:szCs w:val="21"/>
              </w:rPr>
              <w:t>____</w:t>
            </w:r>
            <w:r>
              <w:rPr>
                <w:rFonts w:hint="eastAsia"/>
                <w:szCs w:val="21"/>
              </w:rPr>
              <w:t>日</w:t>
            </w:r>
          </w:p>
        </w:tc>
      </w:tr>
    </w:tbl>
    <w:p>
      <w:pPr>
        <w:pStyle w:val="4"/>
        <w:adjustRightInd w:val="0"/>
        <w:snapToGrid w:val="0"/>
        <w:spacing w:before="0" w:after="0" w:line="600" w:lineRule="exact"/>
        <w:jc w:val="center"/>
        <w:rPr>
          <w:sz w:val="32"/>
          <w:szCs w:val="32"/>
        </w:rPr>
      </w:pPr>
      <w:r>
        <w:rPr>
          <w:sz w:val="32"/>
          <w:szCs w:val="32"/>
        </w:rPr>
        <w:br w:type="page"/>
      </w:r>
      <w:bookmarkStart w:id="23" w:name="_Toc530"/>
      <w:bookmarkStart w:id="24" w:name="_Toc48252219"/>
      <w:bookmarkStart w:id="25" w:name="_Toc23690_WPSOffice_Level1"/>
      <w:r>
        <w:rPr>
          <w:rFonts w:hint="eastAsia"/>
          <w:sz w:val="32"/>
          <w:szCs w:val="32"/>
        </w:rPr>
        <w:t>认购风险告知书</w:t>
      </w:r>
      <w:bookmarkEnd w:id="23"/>
      <w:bookmarkEnd w:id="24"/>
      <w:bookmarkEnd w:id="25"/>
    </w:p>
    <w:p/>
    <w:p>
      <w:pPr>
        <w:adjustRightInd w:val="0"/>
        <w:snapToGrid w:val="0"/>
        <w:spacing w:line="600" w:lineRule="exact"/>
        <w:rPr>
          <w:rFonts w:ascii="宋体"/>
          <w:sz w:val="28"/>
          <w:szCs w:val="28"/>
        </w:rPr>
      </w:pPr>
      <w:r>
        <w:rPr>
          <w:rFonts w:hint="eastAsia" w:ascii="宋体" w:hAnsi="宋体"/>
          <w:sz w:val="28"/>
          <w:szCs w:val="28"/>
        </w:rPr>
        <w:t>尊敬的投资方：</w:t>
      </w:r>
    </w:p>
    <w:p>
      <w:pPr>
        <w:adjustRightInd w:val="0"/>
        <w:snapToGrid w:val="0"/>
        <w:spacing w:line="600" w:lineRule="exact"/>
        <w:ind w:firstLine="700" w:firstLineChars="250"/>
        <w:rPr>
          <w:rFonts w:ascii="宋体"/>
          <w:sz w:val="28"/>
          <w:szCs w:val="28"/>
        </w:rPr>
      </w:pPr>
      <w:r>
        <w:rPr>
          <w:rFonts w:hint="eastAsia" w:ascii="宋体" w:hAnsi="宋体"/>
          <w:sz w:val="28"/>
          <w:szCs w:val="28"/>
        </w:rPr>
        <w:t>台州市产权交易所有限公司作为产权市场的交易平台将恪尽职守，履行诚实、信用、谨慎、有效组织的义务。在您通过台州市产权交易所有限公司参与北京北航天宇长鹰无人机科技有限公司增资项目的投资时，应充分意识到可能面临的各种投资风险。为此，台州市产权交易所有限公司郑重告知如下：</w:t>
      </w:r>
    </w:p>
    <w:p>
      <w:pPr>
        <w:adjustRightInd w:val="0"/>
        <w:snapToGrid w:val="0"/>
        <w:spacing w:line="600" w:lineRule="exact"/>
        <w:ind w:firstLine="560" w:firstLineChars="200"/>
        <w:rPr>
          <w:rFonts w:ascii="宋体"/>
          <w:sz w:val="28"/>
          <w:szCs w:val="28"/>
        </w:rPr>
      </w:pPr>
      <w:r>
        <w:rPr>
          <w:rFonts w:hint="eastAsia" w:ascii="宋体" w:hAnsi="宋体"/>
          <w:sz w:val="28"/>
          <w:szCs w:val="28"/>
        </w:rPr>
        <w:t>一、本项目天宇长鹰未承诺保本和最低收益，具有一定的投资风险，适合风险识别、评估、承受能力较强的合格投资方。</w:t>
      </w:r>
    </w:p>
    <w:p>
      <w:pPr>
        <w:adjustRightInd w:val="0"/>
        <w:snapToGrid w:val="0"/>
        <w:spacing w:line="600" w:lineRule="exact"/>
        <w:ind w:firstLine="560" w:firstLineChars="200"/>
        <w:rPr>
          <w:rFonts w:ascii="宋体"/>
          <w:sz w:val="28"/>
          <w:szCs w:val="28"/>
        </w:rPr>
      </w:pPr>
      <w:r>
        <w:rPr>
          <w:rFonts w:hint="eastAsia" w:ascii="宋体" w:hAnsi="宋体"/>
          <w:sz w:val="28"/>
          <w:szCs w:val="28"/>
        </w:rPr>
        <w:t>二、投资方提供的所有证件和资料均应真实、全面、有效、合法，并保证其认购资金来源合法。</w:t>
      </w:r>
    </w:p>
    <w:p>
      <w:pPr>
        <w:adjustRightInd w:val="0"/>
        <w:snapToGrid w:val="0"/>
        <w:spacing w:line="600" w:lineRule="exact"/>
        <w:ind w:firstLine="560" w:firstLineChars="200"/>
        <w:rPr>
          <w:rFonts w:ascii="宋体" w:hAnsi="宋体"/>
          <w:sz w:val="28"/>
          <w:szCs w:val="28"/>
        </w:rPr>
      </w:pPr>
      <w:r>
        <w:rPr>
          <w:rFonts w:hint="eastAsia" w:ascii="宋体" w:hAnsi="宋体"/>
          <w:sz w:val="28"/>
          <w:szCs w:val="28"/>
        </w:rPr>
        <w:t>三、投资方因参与本项目所产生的风险，由投资方自行承担。</w:t>
      </w:r>
    </w:p>
    <w:p>
      <w:pPr>
        <w:adjustRightInd w:val="0"/>
        <w:snapToGrid w:val="0"/>
        <w:spacing w:line="600" w:lineRule="exact"/>
        <w:ind w:firstLine="560" w:firstLineChars="200"/>
        <w:rPr>
          <w:rFonts w:ascii="宋体"/>
          <w:sz w:val="28"/>
          <w:szCs w:val="28"/>
        </w:rPr>
      </w:pPr>
      <w:r>
        <w:rPr>
          <w:rFonts w:hint="eastAsia" w:ascii="宋体" w:hAnsi="宋体"/>
          <w:sz w:val="28"/>
          <w:szCs w:val="28"/>
        </w:rPr>
        <w:t>四、请您务必在规定时间内足额缴付增资保证金到台交所指定账户，如异地网银支付的请关注人民银行大额转账的时间要求，提前汇款。否则，会影响您的认购资格。</w:t>
      </w:r>
    </w:p>
    <w:p>
      <w:pPr>
        <w:adjustRightInd w:val="0"/>
        <w:snapToGrid w:val="0"/>
        <w:spacing w:line="600" w:lineRule="exact"/>
        <w:ind w:firstLine="560" w:firstLineChars="200"/>
        <w:rPr>
          <w:rFonts w:ascii="宋体" w:hAnsi="宋体"/>
          <w:sz w:val="28"/>
          <w:szCs w:val="28"/>
        </w:rPr>
      </w:pPr>
      <w:r>
        <w:rPr>
          <w:rFonts w:hint="eastAsia" w:ascii="宋体" w:hAnsi="宋体"/>
          <w:sz w:val="28"/>
          <w:szCs w:val="28"/>
        </w:rPr>
        <w:t>五、在本项目中，您竞得后，不得以事先未进行咨询等任何理由反悔，责任由投资方自负，组织人有权不予返还增资保证金。</w:t>
      </w:r>
    </w:p>
    <w:p>
      <w:pPr>
        <w:adjustRightInd w:val="0"/>
        <w:snapToGrid w:val="0"/>
        <w:spacing w:line="600" w:lineRule="exact"/>
        <w:ind w:firstLine="560" w:firstLineChars="200"/>
        <w:rPr>
          <w:rFonts w:ascii="宋体"/>
          <w:sz w:val="28"/>
          <w:szCs w:val="28"/>
        </w:rPr>
      </w:pPr>
      <w:r>
        <w:rPr>
          <w:rFonts w:hint="eastAsia" w:ascii="宋体" w:hAnsi="宋体"/>
          <w:sz w:val="28"/>
          <w:szCs w:val="28"/>
        </w:rPr>
        <w:t>六、如您违反其他交易规则，也可能会导致交易无效，对此产生的法律后果请您充分知悉。</w:t>
      </w:r>
    </w:p>
    <w:p>
      <w:pPr>
        <w:adjustRightInd w:val="0"/>
        <w:snapToGrid w:val="0"/>
        <w:spacing w:line="600" w:lineRule="exact"/>
        <w:ind w:firstLine="560" w:firstLineChars="200"/>
        <w:jc w:val="left"/>
        <w:rPr>
          <w:rFonts w:ascii="宋体" w:hAnsi="宋体"/>
          <w:sz w:val="28"/>
          <w:szCs w:val="28"/>
        </w:rPr>
      </w:pPr>
      <w:r>
        <w:rPr>
          <w:rFonts w:hint="eastAsia" w:ascii="宋体" w:hAnsi="宋体"/>
          <w:sz w:val="28"/>
          <w:szCs w:val="28"/>
        </w:rPr>
        <w:t>七、您在参加增资活动前，应当仔细阅读本告知书及其他交易文件，谨慎作出是否签署交易文件的决策。投资方签署相关文件并缴付增资保证金后，即表明您已认真阅读并理解本告知书及所有的交易文件，并愿意依法承担相应的投资风险和法律责任。</w:t>
      </w:r>
    </w:p>
    <w:p>
      <w:pPr>
        <w:adjustRightInd w:val="0"/>
        <w:snapToGrid w:val="0"/>
        <w:spacing w:line="600" w:lineRule="exact"/>
        <w:ind w:firstLine="560" w:firstLineChars="200"/>
        <w:jc w:val="left"/>
        <w:rPr>
          <w:rFonts w:ascii="宋体" w:hAnsi="宋体"/>
          <w:sz w:val="28"/>
          <w:szCs w:val="28"/>
        </w:rPr>
      </w:pPr>
    </w:p>
    <w:p>
      <w:pPr>
        <w:adjustRightInd w:val="0"/>
        <w:snapToGrid w:val="0"/>
        <w:spacing w:line="600" w:lineRule="exact"/>
        <w:ind w:firstLine="5600" w:firstLineChars="2000"/>
        <w:rPr>
          <w:rFonts w:ascii="宋体"/>
          <w:sz w:val="28"/>
          <w:szCs w:val="28"/>
        </w:rPr>
      </w:pPr>
      <w:r>
        <w:rPr>
          <w:rFonts w:hint="eastAsia" w:ascii="宋体" w:hAnsi="宋体"/>
          <w:sz w:val="28"/>
          <w:szCs w:val="28"/>
        </w:rPr>
        <w:t>台州市产权交易所有限公司</w:t>
      </w:r>
    </w:p>
    <w:p>
      <w:pPr>
        <w:adjustRightInd w:val="0"/>
        <w:snapToGrid w:val="0"/>
        <w:spacing w:line="600" w:lineRule="exact"/>
        <w:ind w:firstLine="6300" w:firstLineChars="2250"/>
        <w:jc w:val="center"/>
        <w:rPr>
          <w:rFonts w:ascii="方正姚体" w:hAnsi="宋体" w:eastAsia="方正姚体"/>
          <w:b/>
          <w:kern w:val="0"/>
          <w:sz w:val="40"/>
        </w:rPr>
      </w:pPr>
      <w:r>
        <w:rPr>
          <w:rFonts w:hint="eastAsia" w:ascii="宋体" w:hAnsi="宋体"/>
          <w:sz w:val="28"/>
          <w:szCs w:val="28"/>
        </w:rPr>
        <w:t>二〇二一年  月 日</w:t>
      </w:r>
    </w:p>
    <w:p>
      <w:pPr>
        <w:widowControl/>
        <w:adjustRightInd w:val="0"/>
        <w:snapToGrid w:val="0"/>
        <w:spacing w:line="600" w:lineRule="exact"/>
        <w:jc w:val="right"/>
        <w:rPr>
          <w:rFonts w:ascii="宋体" w:hAnsi="宋体"/>
          <w:sz w:val="28"/>
          <w:szCs w:val="28"/>
        </w:rPr>
      </w:pPr>
      <w:bookmarkStart w:id="26" w:name="_Toc48252223"/>
    </w:p>
    <w:p>
      <w:pPr>
        <w:widowControl/>
        <w:adjustRightInd w:val="0"/>
        <w:snapToGrid w:val="0"/>
        <w:spacing w:line="600" w:lineRule="exact"/>
        <w:jc w:val="left"/>
        <w:rPr>
          <w:b/>
          <w:bCs/>
          <w:kern w:val="44"/>
          <w:sz w:val="32"/>
          <w:szCs w:val="32"/>
        </w:rPr>
      </w:pPr>
      <w:r>
        <w:rPr>
          <w:sz w:val="32"/>
          <w:szCs w:val="32"/>
        </w:rPr>
        <w:br w:type="page"/>
      </w:r>
    </w:p>
    <w:p>
      <w:pPr>
        <w:pStyle w:val="4"/>
        <w:adjustRightInd w:val="0"/>
        <w:snapToGrid w:val="0"/>
        <w:spacing w:before="0" w:after="0" w:line="600" w:lineRule="exact"/>
        <w:jc w:val="center"/>
        <w:rPr>
          <w:rFonts w:ascii="宋体"/>
        </w:rPr>
      </w:pPr>
      <w:bookmarkStart w:id="27" w:name="_Toc3306"/>
      <w:bookmarkStart w:id="28" w:name="_Toc32237_WPSOffice_Level1"/>
      <w:r>
        <w:rPr>
          <w:rFonts w:hint="eastAsia"/>
          <w:sz w:val="32"/>
          <w:szCs w:val="32"/>
        </w:rPr>
        <w:t>增资确认书</w:t>
      </w:r>
      <w:bookmarkEnd w:id="26"/>
      <w:bookmarkEnd w:id="27"/>
      <w:bookmarkEnd w:id="28"/>
    </w:p>
    <w:p>
      <w:pPr>
        <w:adjustRightInd w:val="0"/>
        <w:snapToGrid w:val="0"/>
        <w:spacing w:line="600" w:lineRule="exact"/>
        <w:rPr>
          <w:rFonts w:ascii="宋体"/>
          <w:sz w:val="28"/>
          <w:szCs w:val="28"/>
        </w:rPr>
      </w:pPr>
      <w:r>
        <w:rPr>
          <w:rFonts w:hint="eastAsia" w:ascii="宋体" w:hAnsi="宋体"/>
          <w:sz w:val="28"/>
          <w:szCs w:val="28"/>
        </w:rPr>
        <w:t>组织人：台州市产权交易所有限公司</w:t>
      </w:r>
    </w:p>
    <w:p>
      <w:pPr>
        <w:adjustRightInd w:val="0"/>
        <w:snapToGrid w:val="0"/>
        <w:spacing w:line="600" w:lineRule="exact"/>
        <w:rPr>
          <w:rFonts w:ascii="宋体"/>
          <w:sz w:val="28"/>
          <w:szCs w:val="28"/>
        </w:rPr>
      </w:pPr>
      <w:r>
        <w:rPr>
          <w:rFonts w:hint="eastAsia" w:ascii="宋体" w:hAnsi="宋体"/>
          <w:sz w:val="28"/>
          <w:szCs w:val="28"/>
        </w:rPr>
        <w:t>投资方：                  联系电话：</w:t>
      </w:r>
    </w:p>
    <w:p>
      <w:pPr>
        <w:adjustRightInd w:val="0"/>
        <w:snapToGrid w:val="0"/>
        <w:spacing w:line="600" w:lineRule="exact"/>
        <w:ind w:firstLine="560" w:firstLineChars="200"/>
        <w:rPr>
          <w:rFonts w:ascii="宋体" w:hAnsi="宋体"/>
          <w:sz w:val="28"/>
          <w:szCs w:val="28"/>
        </w:rPr>
      </w:pPr>
      <w:r>
        <w:rPr>
          <w:rFonts w:hint="eastAsia" w:ascii="宋体" w:hAnsi="宋体"/>
          <w:sz w:val="28"/>
          <w:szCs w:val="28"/>
        </w:rPr>
        <w:t>投资方于2021年（ ）月（ ）日在北京北航天宇长鹰无人机科技有限公司增资项目 (台交所挂[2021]24号)活动中，被确认为投资方。根据相关法律法规规定，双方签订增资确认书如下：</w:t>
      </w:r>
    </w:p>
    <w:p>
      <w:pPr>
        <w:adjustRightInd w:val="0"/>
        <w:snapToGrid w:val="0"/>
        <w:spacing w:line="600" w:lineRule="exact"/>
        <w:ind w:firstLine="560" w:firstLineChars="200"/>
        <w:rPr>
          <w:rFonts w:ascii="宋体"/>
          <w:sz w:val="28"/>
          <w:szCs w:val="28"/>
        </w:rPr>
      </w:pPr>
      <w:r>
        <w:rPr>
          <w:rFonts w:hint="eastAsia" w:ascii="宋体" w:hAnsi="宋体"/>
          <w:sz w:val="28"/>
          <w:szCs w:val="28"/>
        </w:rPr>
        <w:t>一、</w:t>
      </w:r>
      <w:r>
        <w:rPr>
          <w:rFonts w:hint="eastAsia" w:ascii="宋体" w:hAnsi="宋体"/>
          <w:sz w:val="28"/>
          <w:szCs w:val="28"/>
          <w:u w:val="single"/>
        </w:rPr>
        <w:t>投资方投资总额      元，增资后占得北京北航天宇长鹰无人机科技有限公司38.26%股权。</w:t>
      </w:r>
    </w:p>
    <w:p>
      <w:pPr>
        <w:adjustRightInd w:val="0"/>
        <w:snapToGrid w:val="0"/>
        <w:spacing w:line="600" w:lineRule="exact"/>
        <w:ind w:firstLine="560" w:firstLineChars="200"/>
        <w:rPr>
          <w:rFonts w:ascii="宋体" w:hAnsi="宋体"/>
          <w:sz w:val="28"/>
          <w:szCs w:val="28"/>
        </w:rPr>
      </w:pPr>
      <w:r>
        <w:rPr>
          <w:rFonts w:hint="eastAsia" w:ascii="宋体" w:hAnsi="宋体"/>
          <w:sz w:val="28"/>
          <w:szCs w:val="28"/>
        </w:rPr>
        <w:t>二、付款方式：被确认为投资方后二个工作日内签署本《增资确认书》，并于《</w:t>
      </w:r>
      <w:r>
        <w:rPr>
          <w:rFonts w:ascii="宋体" w:hAnsi="宋体"/>
          <w:sz w:val="28"/>
          <w:szCs w:val="28"/>
        </w:rPr>
        <w:t>增资确认书》</w:t>
      </w:r>
      <w:r>
        <w:rPr>
          <w:rFonts w:hint="eastAsia" w:ascii="宋体" w:hAnsi="宋体"/>
          <w:sz w:val="28"/>
          <w:szCs w:val="28"/>
        </w:rPr>
        <w:t>签署后五个工作日内签署《增资协议》，《增资协议》签署后十日内投资方一次性支付全部增资款（投资方先期汇入台州市产权交易所有限公司的增资保证金可转为等额增资款）。</w:t>
      </w:r>
    </w:p>
    <w:p>
      <w:pPr>
        <w:adjustRightInd w:val="0"/>
        <w:snapToGrid w:val="0"/>
        <w:spacing w:line="600" w:lineRule="exact"/>
        <w:ind w:firstLine="560"/>
        <w:rPr>
          <w:rFonts w:ascii="宋体" w:hAnsi="宋体"/>
          <w:sz w:val="28"/>
          <w:szCs w:val="28"/>
        </w:rPr>
      </w:pPr>
      <w:r>
        <w:rPr>
          <w:rFonts w:hint="eastAsia" w:ascii="宋体" w:hAnsi="宋体"/>
          <w:sz w:val="28"/>
          <w:szCs w:val="28"/>
        </w:rPr>
        <w:t>收款账户：开户单位：台州市产权交易所有限公司，</w:t>
      </w:r>
      <w:r>
        <w:rPr>
          <w:rFonts w:ascii="宋体" w:hAnsi="宋体"/>
          <w:sz w:val="28"/>
          <w:szCs w:val="28"/>
        </w:rPr>
        <w:t>开户行：浙江民泰商业银行</w:t>
      </w:r>
      <w:r>
        <w:rPr>
          <w:rFonts w:hint="eastAsia" w:ascii="宋体" w:hAnsi="宋体"/>
          <w:sz w:val="28"/>
          <w:szCs w:val="28"/>
        </w:rPr>
        <w:t>股份有限公司</w:t>
      </w:r>
      <w:r>
        <w:rPr>
          <w:rFonts w:ascii="宋体" w:hAnsi="宋体"/>
          <w:sz w:val="28"/>
          <w:szCs w:val="28"/>
        </w:rPr>
        <w:t>椒江</w:t>
      </w:r>
      <w:r>
        <w:rPr>
          <w:rFonts w:hint="eastAsia" w:ascii="宋体" w:hAnsi="宋体"/>
          <w:sz w:val="28"/>
          <w:szCs w:val="28"/>
        </w:rPr>
        <w:t>市府大道</w:t>
      </w:r>
      <w:r>
        <w:rPr>
          <w:rFonts w:ascii="宋体" w:hAnsi="宋体"/>
          <w:sz w:val="28"/>
          <w:szCs w:val="28"/>
        </w:rPr>
        <w:t>支行</w:t>
      </w:r>
      <w:r>
        <w:rPr>
          <w:rFonts w:hint="eastAsia" w:ascii="宋体" w:hAnsi="宋体"/>
          <w:sz w:val="28"/>
          <w:szCs w:val="28"/>
        </w:rPr>
        <w:t>，</w:t>
      </w:r>
      <w:r>
        <w:rPr>
          <w:rFonts w:ascii="宋体" w:hAnsi="宋体"/>
          <w:sz w:val="28"/>
          <w:szCs w:val="28"/>
        </w:rPr>
        <w:t>账号：5830</w:t>
      </w:r>
      <w:r>
        <w:rPr>
          <w:rFonts w:hint="eastAsia" w:ascii="宋体" w:hAnsi="宋体"/>
          <w:sz w:val="28"/>
          <w:szCs w:val="28"/>
        </w:rPr>
        <w:t>16</w:t>
      </w:r>
      <w:r>
        <w:rPr>
          <w:rFonts w:ascii="宋体" w:hAnsi="宋体"/>
          <w:sz w:val="28"/>
          <w:szCs w:val="28"/>
        </w:rPr>
        <w:t>260800028。</w:t>
      </w:r>
    </w:p>
    <w:p>
      <w:pPr>
        <w:numPr>
          <w:ilvl w:val="0"/>
          <w:numId w:val="1"/>
        </w:numPr>
        <w:adjustRightInd w:val="0"/>
        <w:snapToGrid w:val="0"/>
        <w:spacing w:line="600" w:lineRule="exact"/>
        <w:ind w:firstLine="560" w:firstLineChars="200"/>
        <w:jc w:val="left"/>
        <w:rPr>
          <w:rFonts w:ascii="宋体" w:hAnsi="宋体"/>
          <w:sz w:val="28"/>
          <w:szCs w:val="28"/>
        </w:rPr>
      </w:pPr>
      <w:r>
        <w:rPr>
          <w:rFonts w:hint="eastAsia" w:ascii="宋体" w:hAnsi="宋体"/>
          <w:sz w:val="28"/>
          <w:szCs w:val="28"/>
        </w:rPr>
        <w:t>投资方成交后，出现下列情形之一，视为其根本违约，台交所不再返还其已付的增资保证金，其增资保证金在五个工作日内将扣除交易服务费后的</w:t>
      </w:r>
      <w:r>
        <w:rPr>
          <w:rFonts w:hint="eastAsia" w:asciiTheme="minorEastAsia" w:hAnsiTheme="minorEastAsia" w:eastAsiaTheme="minorEastAsia"/>
          <w:sz w:val="28"/>
          <w:szCs w:val="28"/>
        </w:rPr>
        <w:t>增资</w:t>
      </w:r>
      <w:r>
        <w:rPr>
          <w:rFonts w:hint="eastAsia" w:ascii="宋体" w:hAnsi="宋体"/>
          <w:sz w:val="28"/>
          <w:szCs w:val="28"/>
        </w:rPr>
        <w:t>保证金汇入融资方账户，并有权追究其违约责任：</w:t>
      </w:r>
    </w:p>
    <w:p>
      <w:pPr>
        <w:pStyle w:val="2"/>
        <w:adjustRightInd w:val="0"/>
        <w:snapToGrid w:val="0"/>
        <w:spacing w:after="0" w:line="600" w:lineRule="exact"/>
        <w:ind w:left="0" w:leftChars="0" w:firstLine="0" w:firstLineChars="0"/>
        <w:rPr>
          <w:rFonts w:ascii="宋体" w:hAnsi="宋体" w:eastAsia="宋体"/>
          <w:sz w:val="28"/>
          <w:szCs w:val="28"/>
        </w:rPr>
      </w:pPr>
      <w:r>
        <w:rPr>
          <w:rFonts w:hint="eastAsia" w:ascii="宋体" w:hAnsi="宋体" w:eastAsia="宋体"/>
          <w:sz w:val="28"/>
          <w:szCs w:val="28"/>
        </w:rPr>
        <w:t xml:space="preserve"> 1.拒绝签署《增资确认书》或《增资协议》的；</w:t>
      </w:r>
    </w:p>
    <w:p>
      <w:pPr>
        <w:pStyle w:val="2"/>
        <w:adjustRightInd w:val="0"/>
        <w:snapToGrid w:val="0"/>
        <w:spacing w:after="0" w:line="600" w:lineRule="exact"/>
        <w:ind w:left="0" w:leftChars="0" w:firstLine="560" w:firstLineChars="0"/>
        <w:rPr>
          <w:rFonts w:ascii="宋体" w:hAnsi="宋体" w:eastAsia="宋体"/>
          <w:sz w:val="28"/>
          <w:szCs w:val="28"/>
        </w:rPr>
      </w:pPr>
      <w:r>
        <w:rPr>
          <w:rFonts w:hint="eastAsia" w:ascii="宋体" w:hAnsi="宋体" w:eastAsia="宋体"/>
          <w:sz w:val="28"/>
          <w:szCs w:val="28"/>
        </w:rPr>
        <w:t>2.不依本确认书足额支付投资款项的；</w:t>
      </w:r>
    </w:p>
    <w:p>
      <w:pPr>
        <w:pStyle w:val="2"/>
        <w:adjustRightInd w:val="0"/>
        <w:snapToGrid w:val="0"/>
        <w:spacing w:after="0" w:line="600" w:lineRule="exact"/>
        <w:ind w:left="0" w:leftChars="0" w:firstLine="560" w:firstLineChars="0"/>
        <w:rPr>
          <w:rFonts w:ascii="宋体" w:hAnsi="宋体" w:eastAsia="宋体"/>
          <w:sz w:val="28"/>
          <w:szCs w:val="28"/>
        </w:rPr>
      </w:pPr>
      <w:r>
        <w:rPr>
          <w:rFonts w:hint="eastAsia" w:ascii="宋体" w:hAnsi="宋体" w:eastAsia="宋体"/>
          <w:sz w:val="28"/>
          <w:szCs w:val="28"/>
        </w:rPr>
        <w:t>3.逾期支付增资成交款项的。</w:t>
      </w:r>
    </w:p>
    <w:p>
      <w:pPr>
        <w:adjustRightInd w:val="0"/>
        <w:snapToGrid w:val="0"/>
        <w:spacing w:line="600" w:lineRule="exact"/>
        <w:ind w:firstLine="560" w:firstLineChars="200"/>
        <w:rPr>
          <w:rFonts w:ascii="宋体"/>
          <w:sz w:val="28"/>
          <w:szCs w:val="28"/>
        </w:rPr>
      </w:pPr>
      <w:r>
        <w:rPr>
          <w:rFonts w:hint="eastAsia" w:ascii="宋体" w:hAnsi="宋体"/>
          <w:sz w:val="28"/>
          <w:szCs w:val="28"/>
        </w:rPr>
        <w:t>四、投资方凭本《增资确认书》于五个工作日与融资方签订《增资协议》，并按《增资协议》进行履约。</w:t>
      </w:r>
    </w:p>
    <w:p>
      <w:pPr>
        <w:adjustRightInd w:val="0"/>
        <w:snapToGrid w:val="0"/>
        <w:spacing w:line="600" w:lineRule="exact"/>
        <w:ind w:firstLine="480"/>
        <w:rPr>
          <w:rFonts w:ascii="宋体"/>
          <w:sz w:val="28"/>
          <w:szCs w:val="28"/>
        </w:rPr>
      </w:pPr>
      <w:r>
        <w:rPr>
          <w:rFonts w:hint="eastAsia" w:ascii="宋体" w:hAnsi="宋体"/>
          <w:sz w:val="28"/>
          <w:szCs w:val="28"/>
        </w:rPr>
        <w:t>五、确定本增资活动各方当事人权利义务的依据：</w:t>
      </w:r>
    </w:p>
    <w:p>
      <w:pPr>
        <w:adjustRightInd w:val="0"/>
        <w:snapToGrid w:val="0"/>
        <w:spacing w:line="600" w:lineRule="exact"/>
        <w:ind w:firstLine="480"/>
        <w:rPr>
          <w:rFonts w:ascii="宋体"/>
          <w:sz w:val="28"/>
          <w:szCs w:val="28"/>
        </w:rPr>
      </w:pPr>
      <w:bookmarkStart w:id="29" w:name="_Toc22080_WPSOffice_Level1"/>
      <w:r>
        <w:rPr>
          <w:rFonts w:ascii="宋体" w:hAnsi="宋体"/>
          <w:sz w:val="28"/>
          <w:szCs w:val="28"/>
        </w:rPr>
        <w:t>1</w:t>
      </w:r>
      <w:r>
        <w:rPr>
          <w:rFonts w:hint="eastAsia" w:ascii="宋体" w:hAnsi="宋体"/>
          <w:sz w:val="28"/>
          <w:szCs w:val="28"/>
        </w:rPr>
        <w:t>.《委托增资服务协议》；</w:t>
      </w:r>
      <w:bookmarkEnd w:id="29"/>
    </w:p>
    <w:p>
      <w:pPr>
        <w:adjustRightInd w:val="0"/>
        <w:snapToGrid w:val="0"/>
        <w:spacing w:line="600" w:lineRule="exact"/>
        <w:ind w:firstLine="480"/>
        <w:rPr>
          <w:rFonts w:ascii="宋体"/>
          <w:sz w:val="28"/>
          <w:szCs w:val="28"/>
        </w:rPr>
      </w:pPr>
      <w:bookmarkStart w:id="30" w:name="_Toc21381_WPSOffice_Level1"/>
      <w:r>
        <w:rPr>
          <w:rFonts w:ascii="宋体" w:hAnsi="宋体"/>
          <w:sz w:val="28"/>
          <w:szCs w:val="28"/>
        </w:rPr>
        <w:t>2</w:t>
      </w:r>
      <w:r>
        <w:rPr>
          <w:rFonts w:hint="eastAsia" w:ascii="宋体" w:hAnsi="宋体"/>
          <w:sz w:val="28"/>
          <w:szCs w:val="28"/>
        </w:rPr>
        <w:t>.《增资协议》及</w:t>
      </w:r>
      <w:r>
        <w:rPr>
          <w:rFonts w:ascii="宋体" w:hAnsi="宋体"/>
          <w:sz w:val="28"/>
          <w:szCs w:val="28"/>
        </w:rPr>
        <w:t>其补充协议（如有）</w:t>
      </w:r>
      <w:r>
        <w:rPr>
          <w:rFonts w:hint="eastAsia" w:ascii="宋体" w:hAnsi="宋体"/>
          <w:sz w:val="28"/>
          <w:szCs w:val="28"/>
        </w:rPr>
        <w:t>；</w:t>
      </w:r>
      <w:bookmarkEnd w:id="30"/>
    </w:p>
    <w:p>
      <w:pPr>
        <w:adjustRightInd w:val="0"/>
        <w:snapToGrid w:val="0"/>
        <w:spacing w:line="600" w:lineRule="exact"/>
        <w:ind w:firstLine="480"/>
        <w:rPr>
          <w:rFonts w:ascii="宋体" w:hAnsi="宋体"/>
          <w:sz w:val="28"/>
          <w:szCs w:val="28"/>
        </w:rPr>
      </w:pPr>
      <w:bookmarkStart w:id="31" w:name="_Toc21994_WPSOffice_Level1"/>
      <w:r>
        <w:rPr>
          <w:rFonts w:ascii="宋体" w:hAnsi="宋体"/>
          <w:sz w:val="28"/>
          <w:szCs w:val="28"/>
        </w:rPr>
        <w:t>3</w:t>
      </w:r>
      <w:r>
        <w:rPr>
          <w:rFonts w:hint="eastAsia" w:ascii="宋体" w:hAnsi="宋体"/>
          <w:sz w:val="28"/>
          <w:szCs w:val="28"/>
        </w:rPr>
        <w:t>.《文件须知及相关说明》；</w:t>
      </w:r>
      <w:bookmarkEnd w:id="31"/>
    </w:p>
    <w:p>
      <w:pPr>
        <w:adjustRightInd w:val="0"/>
        <w:snapToGrid w:val="0"/>
        <w:spacing w:line="600" w:lineRule="exact"/>
        <w:ind w:firstLine="480"/>
        <w:rPr>
          <w:rFonts w:ascii="宋体"/>
          <w:sz w:val="28"/>
          <w:szCs w:val="28"/>
        </w:rPr>
      </w:pPr>
      <w:bookmarkStart w:id="32" w:name="_Toc31052_WPSOffice_Level1"/>
      <w:r>
        <w:rPr>
          <w:rFonts w:ascii="宋体" w:hAnsi="宋体"/>
          <w:sz w:val="28"/>
          <w:szCs w:val="28"/>
        </w:rPr>
        <w:t>4</w:t>
      </w:r>
      <w:r>
        <w:rPr>
          <w:rFonts w:hint="eastAsia" w:ascii="宋体" w:hAnsi="宋体"/>
          <w:sz w:val="28"/>
          <w:szCs w:val="28"/>
        </w:rPr>
        <w:t>.投资方办理的《增资投资申请书》及提供的有关文件和资料；</w:t>
      </w:r>
      <w:bookmarkEnd w:id="32"/>
    </w:p>
    <w:p>
      <w:pPr>
        <w:adjustRightInd w:val="0"/>
        <w:snapToGrid w:val="0"/>
        <w:spacing w:line="600" w:lineRule="exact"/>
        <w:ind w:firstLine="480"/>
        <w:rPr>
          <w:rFonts w:ascii="宋体"/>
          <w:sz w:val="28"/>
          <w:szCs w:val="28"/>
        </w:rPr>
      </w:pPr>
      <w:bookmarkStart w:id="33" w:name="_Toc991_WPSOffice_Level1"/>
      <w:r>
        <w:rPr>
          <w:rFonts w:ascii="宋体" w:hAnsi="宋体"/>
          <w:sz w:val="28"/>
          <w:szCs w:val="28"/>
        </w:rPr>
        <w:t>5</w:t>
      </w:r>
      <w:r>
        <w:rPr>
          <w:rFonts w:hint="eastAsia" w:ascii="宋体" w:hAnsi="宋体"/>
          <w:sz w:val="28"/>
          <w:szCs w:val="28"/>
        </w:rPr>
        <w:t>.其他与本次增资有关的文件及内容。</w:t>
      </w:r>
      <w:bookmarkEnd w:id="33"/>
    </w:p>
    <w:p>
      <w:pPr>
        <w:adjustRightInd w:val="0"/>
        <w:snapToGrid w:val="0"/>
        <w:spacing w:line="600" w:lineRule="exact"/>
        <w:ind w:firstLine="560" w:firstLineChars="200"/>
        <w:rPr>
          <w:rFonts w:ascii="宋体" w:hAnsi="宋体"/>
          <w:sz w:val="28"/>
          <w:szCs w:val="28"/>
        </w:rPr>
      </w:pPr>
      <w:r>
        <w:rPr>
          <w:rFonts w:hint="eastAsia" w:ascii="宋体" w:hAnsi="宋体"/>
          <w:sz w:val="28"/>
          <w:szCs w:val="28"/>
        </w:rPr>
        <w:t>六、本确认书在履行中若发生争议，双方应协商解决，协商不成的，可向当地人民法院以起诉方式解决。</w:t>
      </w:r>
    </w:p>
    <w:p>
      <w:pPr>
        <w:adjustRightInd w:val="0"/>
        <w:snapToGrid w:val="0"/>
        <w:spacing w:line="600" w:lineRule="exact"/>
        <w:ind w:firstLine="560" w:firstLineChars="200"/>
        <w:rPr>
          <w:rFonts w:ascii="宋体"/>
          <w:sz w:val="28"/>
          <w:szCs w:val="28"/>
        </w:rPr>
      </w:pPr>
      <w:r>
        <w:rPr>
          <w:rFonts w:hint="eastAsia" w:ascii="宋体" w:hAnsi="宋体"/>
          <w:sz w:val="28"/>
          <w:szCs w:val="28"/>
        </w:rPr>
        <w:t>七、本《增资确认书》一式</w:t>
      </w:r>
      <w:r>
        <w:rPr>
          <w:rFonts w:ascii="宋体" w:hAnsi="宋体"/>
          <w:sz w:val="28"/>
          <w:szCs w:val="28"/>
        </w:rPr>
        <w:t>六</w:t>
      </w:r>
      <w:r>
        <w:rPr>
          <w:rFonts w:hint="eastAsia" w:ascii="宋体" w:hAnsi="宋体"/>
          <w:sz w:val="28"/>
          <w:szCs w:val="28"/>
        </w:rPr>
        <w:t>份。组织人、投资方各执</w:t>
      </w:r>
      <w:r>
        <w:rPr>
          <w:rFonts w:ascii="宋体" w:hAnsi="宋体"/>
          <w:sz w:val="28"/>
          <w:szCs w:val="28"/>
        </w:rPr>
        <w:t>二</w:t>
      </w:r>
      <w:r>
        <w:rPr>
          <w:rFonts w:hint="eastAsia" w:ascii="宋体" w:hAnsi="宋体"/>
          <w:sz w:val="28"/>
          <w:szCs w:val="28"/>
        </w:rPr>
        <w:t>份，融资方、监管部门各执</w:t>
      </w:r>
      <w:r>
        <w:rPr>
          <w:rFonts w:ascii="宋体" w:hAnsi="宋体"/>
          <w:sz w:val="28"/>
          <w:szCs w:val="28"/>
        </w:rPr>
        <w:t>一</w:t>
      </w:r>
      <w:r>
        <w:rPr>
          <w:rFonts w:hint="eastAsia" w:ascii="宋体" w:hAnsi="宋体"/>
          <w:sz w:val="28"/>
          <w:szCs w:val="28"/>
        </w:rPr>
        <w:t>份。</w:t>
      </w:r>
    </w:p>
    <w:p>
      <w:pPr>
        <w:adjustRightInd w:val="0"/>
        <w:snapToGrid w:val="0"/>
        <w:spacing w:line="600" w:lineRule="exact"/>
        <w:rPr>
          <w:rFonts w:ascii="宋体"/>
          <w:sz w:val="28"/>
          <w:szCs w:val="28"/>
        </w:rPr>
      </w:pPr>
    </w:p>
    <w:p>
      <w:pPr>
        <w:adjustRightInd w:val="0"/>
        <w:snapToGrid w:val="0"/>
        <w:spacing w:line="600" w:lineRule="exact"/>
        <w:rPr>
          <w:rFonts w:ascii="宋体"/>
          <w:sz w:val="28"/>
          <w:szCs w:val="28"/>
        </w:rPr>
      </w:pPr>
      <w:r>
        <w:rPr>
          <w:rFonts w:hint="eastAsia" w:ascii="宋体" w:hAnsi="宋体"/>
          <w:sz w:val="28"/>
          <w:szCs w:val="28"/>
        </w:rPr>
        <w:t>组织人（盖章）：台州市产权交易所有限公司    投资方：</w:t>
      </w:r>
    </w:p>
    <w:p>
      <w:pPr>
        <w:tabs>
          <w:tab w:val="left" w:pos="6050"/>
        </w:tabs>
        <w:adjustRightInd w:val="0"/>
        <w:snapToGrid w:val="0"/>
        <w:spacing w:line="600" w:lineRule="exact"/>
        <w:rPr>
          <w:rFonts w:ascii="宋体"/>
          <w:sz w:val="28"/>
          <w:szCs w:val="28"/>
        </w:rPr>
      </w:pPr>
      <w:r>
        <w:rPr>
          <w:rFonts w:hint="eastAsia" w:ascii="宋体" w:hAnsi="宋体"/>
          <w:sz w:val="28"/>
          <w:szCs w:val="28"/>
        </w:rPr>
        <w:t>法定代表人：</w:t>
      </w:r>
      <w:r>
        <w:rPr>
          <w:rFonts w:ascii="宋体"/>
          <w:sz w:val="28"/>
          <w:szCs w:val="28"/>
        </w:rPr>
        <w:tab/>
      </w:r>
      <w:r>
        <w:rPr>
          <w:rFonts w:hint="eastAsia" w:ascii="宋体" w:hAnsi="宋体"/>
          <w:sz w:val="28"/>
          <w:szCs w:val="28"/>
        </w:rPr>
        <w:t>法定代表人：</w:t>
      </w:r>
    </w:p>
    <w:p>
      <w:pPr>
        <w:tabs>
          <w:tab w:val="left" w:pos="6050"/>
        </w:tabs>
        <w:adjustRightInd w:val="0"/>
        <w:snapToGrid w:val="0"/>
        <w:spacing w:line="600" w:lineRule="exact"/>
        <w:rPr>
          <w:rFonts w:ascii="宋体"/>
          <w:sz w:val="28"/>
          <w:szCs w:val="28"/>
        </w:rPr>
      </w:pPr>
      <w:r>
        <w:rPr>
          <w:rFonts w:hint="eastAsia" w:ascii="宋体" w:hAnsi="宋体"/>
          <w:sz w:val="28"/>
          <w:szCs w:val="28"/>
        </w:rPr>
        <w:t>委托代理人：</w:t>
      </w:r>
      <w:r>
        <w:rPr>
          <w:rFonts w:ascii="宋体"/>
          <w:sz w:val="28"/>
          <w:szCs w:val="28"/>
        </w:rPr>
        <w:tab/>
      </w:r>
      <w:r>
        <w:rPr>
          <w:rFonts w:hint="eastAsia" w:ascii="宋体" w:hAnsi="宋体"/>
          <w:sz w:val="28"/>
          <w:szCs w:val="28"/>
        </w:rPr>
        <w:t>委托代理人：</w:t>
      </w:r>
    </w:p>
    <w:p>
      <w:pPr>
        <w:tabs>
          <w:tab w:val="left" w:pos="5210"/>
        </w:tabs>
        <w:adjustRightInd w:val="0"/>
        <w:snapToGrid w:val="0"/>
        <w:spacing w:line="600" w:lineRule="exact"/>
        <w:rPr>
          <w:rFonts w:ascii="宋体"/>
          <w:sz w:val="28"/>
          <w:szCs w:val="28"/>
        </w:rPr>
      </w:pPr>
      <w:r>
        <w:rPr>
          <w:rFonts w:hint="eastAsia" w:ascii="宋体" w:hAnsi="宋体"/>
          <w:sz w:val="28"/>
          <w:szCs w:val="28"/>
        </w:rPr>
        <w:t>签订日期：  年   月   日                    签订日期：  年  月   日</w:t>
      </w:r>
    </w:p>
    <w:p>
      <w:pPr>
        <w:tabs>
          <w:tab w:val="left" w:pos="5210"/>
        </w:tabs>
        <w:adjustRightInd w:val="0"/>
        <w:snapToGrid w:val="0"/>
        <w:spacing w:line="600" w:lineRule="exact"/>
        <w:rPr>
          <w:rFonts w:ascii="宋体"/>
          <w:sz w:val="23"/>
          <w:szCs w:val="23"/>
        </w:rPr>
      </w:pPr>
    </w:p>
    <w:p>
      <w:pPr>
        <w:widowControl/>
        <w:adjustRightInd w:val="0"/>
        <w:snapToGrid w:val="0"/>
        <w:spacing w:line="600" w:lineRule="exact"/>
      </w:pPr>
    </w:p>
    <w:sectPr>
      <w:headerReference r:id="rId4" w:type="default"/>
      <w:footerReference r:id="rId5" w:type="default"/>
      <w:footerReference r:id="rId6" w:type="even"/>
      <w:pgSz w:w="11906" w:h="16838"/>
      <w:pgMar w:top="1701" w:right="1361" w:bottom="1701" w:left="136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方正姚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072380"/>
    </w:sdtPr>
    <w:sdtContent>
      <w:p>
        <w:pPr>
          <w:pStyle w:val="13"/>
          <w:jc w:val="center"/>
        </w:pPr>
        <w:r>
          <w:fldChar w:fldCharType="begin"/>
        </w:r>
        <w:r>
          <w:instrText xml:space="preserve"> PAGE   \* MERGEFORMAT </w:instrText>
        </w:r>
        <w:r>
          <w:fldChar w:fldCharType="separate"/>
        </w:r>
        <w:r>
          <w:rPr>
            <w:lang w:val="zh-CN"/>
          </w:rPr>
          <w:t>18</w:t>
        </w:r>
        <w:r>
          <w:rPr>
            <w:lang w:val="zh-CN"/>
          </w:rPr>
          <w:fldChar w:fldCharType="end"/>
        </w:r>
      </w:p>
    </w:sdtContent>
  </w:sdt>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PAGE   \* MERGEFORMAT</w:instrText>
    </w:r>
    <w:r>
      <w:fldChar w:fldCharType="separate"/>
    </w:r>
    <w:r>
      <w:rPr>
        <w:lang w:val="zh-CN"/>
      </w:rPr>
      <w:t>24</w:t>
    </w:r>
    <w:r>
      <w:rPr>
        <w:lang w:val="zh-CN"/>
      </w:rPr>
      <w:fldChar w:fldCharType="end"/>
    </w:r>
  </w:p>
  <w:p>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3"/>
      </w:rPr>
    </w:pPr>
    <w:r>
      <w:rPr>
        <w:rStyle w:val="23"/>
      </w:rPr>
      <w:fldChar w:fldCharType="begin"/>
    </w:r>
    <w:r>
      <w:rPr>
        <w:rStyle w:val="23"/>
      </w:rPr>
      <w:instrText xml:space="preserve">PAGE  </w:instrText>
    </w:r>
    <w:r>
      <w:rPr>
        <w:rStyle w:val="23"/>
      </w:rP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F010A7C"/>
    <w:multiLevelType w:val="singleLevel"/>
    <w:tmpl w:val="EF010A7C"/>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C062D"/>
    <w:rsid w:val="00011453"/>
    <w:rsid w:val="0001583B"/>
    <w:rsid w:val="000174AA"/>
    <w:rsid w:val="000178EF"/>
    <w:rsid w:val="00027FA4"/>
    <w:rsid w:val="000325C3"/>
    <w:rsid w:val="00034D1B"/>
    <w:rsid w:val="00044182"/>
    <w:rsid w:val="00044DD6"/>
    <w:rsid w:val="00045748"/>
    <w:rsid w:val="000472CF"/>
    <w:rsid w:val="00047F88"/>
    <w:rsid w:val="000543F1"/>
    <w:rsid w:val="00054D77"/>
    <w:rsid w:val="00055327"/>
    <w:rsid w:val="000621BF"/>
    <w:rsid w:val="000628A1"/>
    <w:rsid w:val="00064643"/>
    <w:rsid w:val="0007486B"/>
    <w:rsid w:val="00074F92"/>
    <w:rsid w:val="00076BA9"/>
    <w:rsid w:val="000772B0"/>
    <w:rsid w:val="00083140"/>
    <w:rsid w:val="0008335C"/>
    <w:rsid w:val="00093646"/>
    <w:rsid w:val="00093B5A"/>
    <w:rsid w:val="000960F1"/>
    <w:rsid w:val="0009716B"/>
    <w:rsid w:val="000972C9"/>
    <w:rsid w:val="000977DE"/>
    <w:rsid w:val="000A0227"/>
    <w:rsid w:val="000A0A7A"/>
    <w:rsid w:val="000A119C"/>
    <w:rsid w:val="000A3C1C"/>
    <w:rsid w:val="000A4FD3"/>
    <w:rsid w:val="000A5606"/>
    <w:rsid w:val="000A57B2"/>
    <w:rsid w:val="000B2835"/>
    <w:rsid w:val="000B44B8"/>
    <w:rsid w:val="000B5975"/>
    <w:rsid w:val="000B6621"/>
    <w:rsid w:val="000C3C26"/>
    <w:rsid w:val="000C3CBF"/>
    <w:rsid w:val="000C41DD"/>
    <w:rsid w:val="000C4A68"/>
    <w:rsid w:val="000C62DA"/>
    <w:rsid w:val="000D23FF"/>
    <w:rsid w:val="000D6530"/>
    <w:rsid w:val="000D68E6"/>
    <w:rsid w:val="000D6AE8"/>
    <w:rsid w:val="000E19F1"/>
    <w:rsid w:val="000E50E2"/>
    <w:rsid w:val="000E5972"/>
    <w:rsid w:val="000E5BDB"/>
    <w:rsid w:val="000E65CB"/>
    <w:rsid w:val="000E70D4"/>
    <w:rsid w:val="000F0B38"/>
    <w:rsid w:val="000F0B5C"/>
    <w:rsid w:val="000F3F55"/>
    <w:rsid w:val="000F407E"/>
    <w:rsid w:val="000F500A"/>
    <w:rsid w:val="000F60C8"/>
    <w:rsid w:val="00103AD3"/>
    <w:rsid w:val="00105E84"/>
    <w:rsid w:val="001076CF"/>
    <w:rsid w:val="0010781E"/>
    <w:rsid w:val="00111470"/>
    <w:rsid w:val="00111FAF"/>
    <w:rsid w:val="00116170"/>
    <w:rsid w:val="00120ED6"/>
    <w:rsid w:val="00121B94"/>
    <w:rsid w:val="001256FA"/>
    <w:rsid w:val="00125E9D"/>
    <w:rsid w:val="001274DB"/>
    <w:rsid w:val="001277A3"/>
    <w:rsid w:val="001302F7"/>
    <w:rsid w:val="00134152"/>
    <w:rsid w:val="00136C61"/>
    <w:rsid w:val="001418F5"/>
    <w:rsid w:val="0014364C"/>
    <w:rsid w:val="00153CDB"/>
    <w:rsid w:val="00154787"/>
    <w:rsid w:val="00155E49"/>
    <w:rsid w:val="00156C1A"/>
    <w:rsid w:val="00160E1A"/>
    <w:rsid w:val="00162DAE"/>
    <w:rsid w:val="00163778"/>
    <w:rsid w:val="001669C5"/>
    <w:rsid w:val="00170533"/>
    <w:rsid w:val="00171018"/>
    <w:rsid w:val="0017110F"/>
    <w:rsid w:val="001732CD"/>
    <w:rsid w:val="001743B2"/>
    <w:rsid w:val="00174FC5"/>
    <w:rsid w:val="00180AB4"/>
    <w:rsid w:val="00182320"/>
    <w:rsid w:val="001836F0"/>
    <w:rsid w:val="00185B9B"/>
    <w:rsid w:val="00187A41"/>
    <w:rsid w:val="00187C70"/>
    <w:rsid w:val="00193F2E"/>
    <w:rsid w:val="00194865"/>
    <w:rsid w:val="00195F78"/>
    <w:rsid w:val="00196069"/>
    <w:rsid w:val="0019704E"/>
    <w:rsid w:val="001A057A"/>
    <w:rsid w:val="001A1FE1"/>
    <w:rsid w:val="001A4B68"/>
    <w:rsid w:val="001A4DEB"/>
    <w:rsid w:val="001B1A53"/>
    <w:rsid w:val="001B3C3B"/>
    <w:rsid w:val="001B5832"/>
    <w:rsid w:val="001C136E"/>
    <w:rsid w:val="001C23DF"/>
    <w:rsid w:val="001C24FC"/>
    <w:rsid w:val="001C3A0D"/>
    <w:rsid w:val="001C42A3"/>
    <w:rsid w:val="001C449A"/>
    <w:rsid w:val="001C4FEC"/>
    <w:rsid w:val="001D026A"/>
    <w:rsid w:val="001D0648"/>
    <w:rsid w:val="001E0181"/>
    <w:rsid w:val="001E044F"/>
    <w:rsid w:val="001E1042"/>
    <w:rsid w:val="001E4BE4"/>
    <w:rsid w:val="001E5B3D"/>
    <w:rsid w:val="001F2593"/>
    <w:rsid w:val="001F48A0"/>
    <w:rsid w:val="001F5B14"/>
    <w:rsid w:val="001F6319"/>
    <w:rsid w:val="00200F4C"/>
    <w:rsid w:val="0020293B"/>
    <w:rsid w:val="00203B3D"/>
    <w:rsid w:val="0021131D"/>
    <w:rsid w:val="00213550"/>
    <w:rsid w:val="00215D11"/>
    <w:rsid w:val="00221175"/>
    <w:rsid w:val="00222BB3"/>
    <w:rsid w:val="00224863"/>
    <w:rsid w:val="00227403"/>
    <w:rsid w:val="00231324"/>
    <w:rsid w:val="00231FB8"/>
    <w:rsid w:val="002356DA"/>
    <w:rsid w:val="00235C38"/>
    <w:rsid w:val="00236C2B"/>
    <w:rsid w:val="0024377F"/>
    <w:rsid w:val="00243E13"/>
    <w:rsid w:val="00244079"/>
    <w:rsid w:val="00244E87"/>
    <w:rsid w:val="0024627A"/>
    <w:rsid w:val="0025062A"/>
    <w:rsid w:val="00252512"/>
    <w:rsid w:val="002531BC"/>
    <w:rsid w:val="002547D6"/>
    <w:rsid w:val="00254BE6"/>
    <w:rsid w:val="00256105"/>
    <w:rsid w:val="00257968"/>
    <w:rsid w:val="00261B39"/>
    <w:rsid w:val="0026245B"/>
    <w:rsid w:val="0026360D"/>
    <w:rsid w:val="002670A8"/>
    <w:rsid w:val="00272B6B"/>
    <w:rsid w:val="002766D0"/>
    <w:rsid w:val="0027676C"/>
    <w:rsid w:val="00280258"/>
    <w:rsid w:val="00280AAA"/>
    <w:rsid w:val="00281077"/>
    <w:rsid w:val="00281FDC"/>
    <w:rsid w:val="00284C16"/>
    <w:rsid w:val="00285532"/>
    <w:rsid w:val="002908F2"/>
    <w:rsid w:val="002909AA"/>
    <w:rsid w:val="002911C3"/>
    <w:rsid w:val="00291818"/>
    <w:rsid w:val="00291C3F"/>
    <w:rsid w:val="00296FF0"/>
    <w:rsid w:val="002A0963"/>
    <w:rsid w:val="002A36DD"/>
    <w:rsid w:val="002A6BCB"/>
    <w:rsid w:val="002B3192"/>
    <w:rsid w:val="002B7AC5"/>
    <w:rsid w:val="002C3307"/>
    <w:rsid w:val="002C5E2B"/>
    <w:rsid w:val="002C68A1"/>
    <w:rsid w:val="002D0439"/>
    <w:rsid w:val="002D0523"/>
    <w:rsid w:val="002D2F5D"/>
    <w:rsid w:val="002D597E"/>
    <w:rsid w:val="002D64C9"/>
    <w:rsid w:val="002E3BD3"/>
    <w:rsid w:val="002E3D69"/>
    <w:rsid w:val="002E4BC0"/>
    <w:rsid w:val="002E634E"/>
    <w:rsid w:val="002E638C"/>
    <w:rsid w:val="002F0261"/>
    <w:rsid w:val="002F0A7E"/>
    <w:rsid w:val="002F2B0E"/>
    <w:rsid w:val="002F3C4B"/>
    <w:rsid w:val="0030024F"/>
    <w:rsid w:val="0030065E"/>
    <w:rsid w:val="00300FD4"/>
    <w:rsid w:val="003026B5"/>
    <w:rsid w:val="00305346"/>
    <w:rsid w:val="003077F0"/>
    <w:rsid w:val="00311AA7"/>
    <w:rsid w:val="003120DE"/>
    <w:rsid w:val="00313A42"/>
    <w:rsid w:val="003140B9"/>
    <w:rsid w:val="00314CB9"/>
    <w:rsid w:val="00330873"/>
    <w:rsid w:val="003345D4"/>
    <w:rsid w:val="00341F8D"/>
    <w:rsid w:val="0034231A"/>
    <w:rsid w:val="003449BB"/>
    <w:rsid w:val="00344A75"/>
    <w:rsid w:val="00346207"/>
    <w:rsid w:val="00347953"/>
    <w:rsid w:val="003538EB"/>
    <w:rsid w:val="00357AC9"/>
    <w:rsid w:val="00361257"/>
    <w:rsid w:val="00362872"/>
    <w:rsid w:val="00363A79"/>
    <w:rsid w:val="00365B97"/>
    <w:rsid w:val="003704A7"/>
    <w:rsid w:val="00370946"/>
    <w:rsid w:val="00370A2D"/>
    <w:rsid w:val="003750A3"/>
    <w:rsid w:val="003760D4"/>
    <w:rsid w:val="003803AD"/>
    <w:rsid w:val="00380A62"/>
    <w:rsid w:val="00381BAF"/>
    <w:rsid w:val="0038532E"/>
    <w:rsid w:val="00390354"/>
    <w:rsid w:val="0039163E"/>
    <w:rsid w:val="00393AD5"/>
    <w:rsid w:val="00394503"/>
    <w:rsid w:val="003950A2"/>
    <w:rsid w:val="00397AC3"/>
    <w:rsid w:val="003A20A6"/>
    <w:rsid w:val="003A5A9C"/>
    <w:rsid w:val="003A7003"/>
    <w:rsid w:val="003A74BC"/>
    <w:rsid w:val="003A7735"/>
    <w:rsid w:val="003A7B86"/>
    <w:rsid w:val="003B061A"/>
    <w:rsid w:val="003B2D62"/>
    <w:rsid w:val="003B5FE4"/>
    <w:rsid w:val="003B6DB6"/>
    <w:rsid w:val="003B79C6"/>
    <w:rsid w:val="003B7AE2"/>
    <w:rsid w:val="003C40D8"/>
    <w:rsid w:val="003D426E"/>
    <w:rsid w:val="003E021F"/>
    <w:rsid w:val="003E1DEE"/>
    <w:rsid w:val="003E562D"/>
    <w:rsid w:val="003F2695"/>
    <w:rsid w:val="003F29E1"/>
    <w:rsid w:val="003F2DEA"/>
    <w:rsid w:val="003F2EED"/>
    <w:rsid w:val="003F3A66"/>
    <w:rsid w:val="003F7050"/>
    <w:rsid w:val="00400E67"/>
    <w:rsid w:val="0040498E"/>
    <w:rsid w:val="00405D4B"/>
    <w:rsid w:val="0041024D"/>
    <w:rsid w:val="00413AF3"/>
    <w:rsid w:val="00413D3D"/>
    <w:rsid w:val="00414257"/>
    <w:rsid w:val="004166B3"/>
    <w:rsid w:val="00416A26"/>
    <w:rsid w:val="00417FBB"/>
    <w:rsid w:val="00420596"/>
    <w:rsid w:val="00421256"/>
    <w:rsid w:val="00422CE5"/>
    <w:rsid w:val="00422D86"/>
    <w:rsid w:val="004238EA"/>
    <w:rsid w:val="004253F3"/>
    <w:rsid w:val="004261A8"/>
    <w:rsid w:val="004270BF"/>
    <w:rsid w:val="004273CF"/>
    <w:rsid w:val="0043118D"/>
    <w:rsid w:val="0043635A"/>
    <w:rsid w:val="00437B8F"/>
    <w:rsid w:val="00437BEE"/>
    <w:rsid w:val="00440662"/>
    <w:rsid w:val="00441BDC"/>
    <w:rsid w:val="00441CDC"/>
    <w:rsid w:val="00443CA0"/>
    <w:rsid w:val="00443D43"/>
    <w:rsid w:val="00443E16"/>
    <w:rsid w:val="00444FD1"/>
    <w:rsid w:val="004509DE"/>
    <w:rsid w:val="00457074"/>
    <w:rsid w:val="00457D79"/>
    <w:rsid w:val="0046166C"/>
    <w:rsid w:val="00466BE1"/>
    <w:rsid w:val="00467DE3"/>
    <w:rsid w:val="00470CBF"/>
    <w:rsid w:val="0047121E"/>
    <w:rsid w:val="00471294"/>
    <w:rsid w:val="00472FE6"/>
    <w:rsid w:val="00473497"/>
    <w:rsid w:val="00474C2C"/>
    <w:rsid w:val="00482D69"/>
    <w:rsid w:val="00484001"/>
    <w:rsid w:val="0048437B"/>
    <w:rsid w:val="004848A4"/>
    <w:rsid w:val="00490023"/>
    <w:rsid w:val="0049193B"/>
    <w:rsid w:val="00497733"/>
    <w:rsid w:val="004A4758"/>
    <w:rsid w:val="004A5223"/>
    <w:rsid w:val="004A5459"/>
    <w:rsid w:val="004A7817"/>
    <w:rsid w:val="004B051C"/>
    <w:rsid w:val="004B4CE4"/>
    <w:rsid w:val="004C15C6"/>
    <w:rsid w:val="004C396B"/>
    <w:rsid w:val="004C49EC"/>
    <w:rsid w:val="004C4BBB"/>
    <w:rsid w:val="004C78E6"/>
    <w:rsid w:val="004D0865"/>
    <w:rsid w:val="004E0B87"/>
    <w:rsid w:val="004E4565"/>
    <w:rsid w:val="004E4751"/>
    <w:rsid w:val="004E64EF"/>
    <w:rsid w:val="004E67BC"/>
    <w:rsid w:val="004E75E5"/>
    <w:rsid w:val="004F0115"/>
    <w:rsid w:val="004F0ACD"/>
    <w:rsid w:val="004F140A"/>
    <w:rsid w:val="004F2029"/>
    <w:rsid w:val="004F2B5C"/>
    <w:rsid w:val="004F2D37"/>
    <w:rsid w:val="004F40B0"/>
    <w:rsid w:val="00500007"/>
    <w:rsid w:val="005012FA"/>
    <w:rsid w:val="00501BF8"/>
    <w:rsid w:val="00504186"/>
    <w:rsid w:val="00505F66"/>
    <w:rsid w:val="00507204"/>
    <w:rsid w:val="0051191D"/>
    <w:rsid w:val="005122A1"/>
    <w:rsid w:val="00512367"/>
    <w:rsid w:val="005148BF"/>
    <w:rsid w:val="005158EE"/>
    <w:rsid w:val="0051632A"/>
    <w:rsid w:val="005179EC"/>
    <w:rsid w:val="005217D7"/>
    <w:rsid w:val="00525253"/>
    <w:rsid w:val="00530825"/>
    <w:rsid w:val="0053189A"/>
    <w:rsid w:val="005318B8"/>
    <w:rsid w:val="00532343"/>
    <w:rsid w:val="0053258B"/>
    <w:rsid w:val="00532708"/>
    <w:rsid w:val="00533352"/>
    <w:rsid w:val="00537210"/>
    <w:rsid w:val="00541706"/>
    <w:rsid w:val="005426CE"/>
    <w:rsid w:val="00542C2E"/>
    <w:rsid w:val="0054394F"/>
    <w:rsid w:val="00543B86"/>
    <w:rsid w:val="005538D5"/>
    <w:rsid w:val="00555590"/>
    <w:rsid w:val="00556FDF"/>
    <w:rsid w:val="0055701F"/>
    <w:rsid w:val="00557A9F"/>
    <w:rsid w:val="00563963"/>
    <w:rsid w:val="00564475"/>
    <w:rsid w:val="0057134C"/>
    <w:rsid w:val="005722F2"/>
    <w:rsid w:val="0057454E"/>
    <w:rsid w:val="00574BFD"/>
    <w:rsid w:val="00577FB1"/>
    <w:rsid w:val="00584839"/>
    <w:rsid w:val="0059254E"/>
    <w:rsid w:val="00596C57"/>
    <w:rsid w:val="005A0B3B"/>
    <w:rsid w:val="005A0F2E"/>
    <w:rsid w:val="005A60E0"/>
    <w:rsid w:val="005A773B"/>
    <w:rsid w:val="005A7C0D"/>
    <w:rsid w:val="005B2F82"/>
    <w:rsid w:val="005B7DFB"/>
    <w:rsid w:val="005C02C4"/>
    <w:rsid w:val="005C0660"/>
    <w:rsid w:val="005C3460"/>
    <w:rsid w:val="005C44E6"/>
    <w:rsid w:val="005C4B8C"/>
    <w:rsid w:val="005C59E6"/>
    <w:rsid w:val="005C6365"/>
    <w:rsid w:val="005C7094"/>
    <w:rsid w:val="005D01FB"/>
    <w:rsid w:val="005D0972"/>
    <w:rsid w:val="005D0D13"/>
    <w:rsid w:val="005D1FE3"/>
    <w:rsid w:val="005E1C86"/>
    <w:rsid w:val="005E2574"/>
    <w:rsid w:val="005E2811"/>
    <w:rsid w:val="005E2F83"/>
    <w:rsid w:val="005E3D8F"/>
    <w:rsid w:val="005E3E10"/>
    <w:rsid w:val="005E4074"/>
    <w:rsid w:val="005E4883"/>
    <w:rsid w:val="005F1302"/>
    <w:rsid w:val="005F46F7"/>
    <w:rsid w:val="005F7373"/>
    <w:rsid w:val="00600E8C"/>
    <w:rsid w:val="00602D9C"/>
    <w:rsid w:val="00603B09"/>
    <w:rsid w:val="00605BBB"/>
    <w:rsid w:val="00614806"/>
    <w:rsid w:val="0061644A"/>
    <w:rsid w:val="006179A5"/>
    <w:rsid w:val="00624276"/>
    <w:rsid w:val="0062584F"/>
    <w:rsid w:val="00625908"/>
    <w:rsid w:val="00626421"/>
    <w:rsid w:val="00626F21"/>
    <w:rsid w:val="00640616"/>
    <w:rsid w:val="00644272"/>
    <w:rsid w:val="00645C63"/>
    <w:rsid w:val="00645FA9"/>
    <w:rsid w:val="00646200"/>
    <w:rsid w:val="00651B3A"/>
    <w:rsid w:val="006626BD"/>
    <w:rsid w:val="00663504"/>
    <w:rsid w:val="00665FA6"/>
    <w:rsid w:val="00676396"/>
    <w:rsid w:val="00680B37"/>
    <w:rsid w:val="00680DB1"/>
    <w:rsid w:val="0069092B"/>
    <w:rsid w:val="0069294C"/>
    <w:rsid w:val="00692B45"/>
    <w:rsid w:val="006930BE"/>
    <w:rsid w:val="00693114"/>
    <w:rsid w:val="00694992"/>
    <w:rsid w:val="00694AE9"/>
    <w:rsid w:val="006A0CC3"/>
    <w:rsid w:val="006A355D"/>
    <w:rsid w:val="006A4C45"/>
    <w:rsid w:val="006A4C63"/>
    <w:rsid w:val="006A56DB"/>
    <w:rsid w:val="006B2744"/>
    <w:rsid w:val="006B3BCF"/>
    <w:rsid w:val="006B4860"/>
    <w:rsid w:val="006B4E68"/>
    <w:rsid w:val="006C6E0C"/>
    <w:rsid w:val="006D2684"/>
    <w:rsid w:val="006D3210"/>
    <w:rsid w:val="006D3CB2"/>
    <w:rsid w:val="006D5780"/>
    <w:rsid w:val="006D5B3D"/>
    <w:rsid w:val="006D61BE"/>
    <w:rsid w:val="006E0D9D"/>
    <w:rsid w:val="006E461A"/>
    <w:rsid w:val="006F01D4"/>
    <w:rsid w:val="006F0CA3"/>
    <w:rsid w:val="006F2713"/>
    <w:rsid w:val="006F6287"/>
    <w:rsid w:val="006F64E5"/>
    <w:rsid w:val="006F7EEC"/>
    <w:rsid w:val="0070706B"/>
    <w:rsid w:val="007072D8"/>
    <w:rsid w:val="00710218"/>
    <w:rsid w:val="00710D02"/>
    <w:rsid w:val="00710ECE"/>
    <w:rsid w:val="007120FB"/>
    <w:rsid w:val="0071314A"/>
    <w:rsid w:val="00720578"/>
    <w:rsid w:val="0073544E"/>
    <w:rsid w:val="00735D89"/>
    <w:rsid w:val="0073724E"/>
    <w:rsid w:val="00743588"/>
    <w:rsid w:val="0074557F"/>
    <w:rsid w:val="00745F4A"/>
    <w:rsid w:val="007475A2"/>
    <w:rsid w:val="00747ED1"/>
    <w:rsid w:val="007509EA"/>
    <w:rsid w:val="007517EC"/>
    <w:rsid w:val="00752097"/>
    <w:rsid w:val="00752C5F"/>
    <w:rsid w:val="0075323A"/>
    <w:rsid w:val="00753483"/>
    <w:rsid w:val="00754CC0"/>
    <w:rsid w:val="007560BD"/>
    <w:rsid w:val="00760DB3"/>
    <w:rsid w:val="00760DD5"/>
    <w:rsid w:val="00761F47"/>
    <w:rsid w:val="00763553"/>
    <w:rsid w:val="007657E2"/>
    <w:rsid w:val="0076799C"/>
    <w:rsid w:val="00767C54"/>
    <w:rsid w:val="00767CF1"/>
    <w:rsid w:val="00771B0D"/>
    <w:rsid w:val="0077711C"/>
    <w:rsid w:val="00785FA3"/>
    <w:rsid w:val="00786D89"/>
    <w:rsid w:val="00787253"/>
    <w:rsid w:val="007901E8"/>
    <w:rsid w:val="00790E80"/>
    <w:rsid w:val="007913BF"/>
    <w:rsid w:val="007953C8"/>
    <w:rsid w:val="007A175E"/>
    <w:rsid w:val="007A17EE"/>
    <w:rsid w:val="007A300A"/>
    <w:rsid w:val="007A40DD"/>
    <w:rsid w:val="007B29EA"/>
    <w:rsid w:val="007B41E8"/>
    <w:rsid w:val="007B70FF"/>
    <w:rsid w:val="007C17E0"/>
    <w:rsid w:val="007C330A"/>
    <w:rsid w:val="007C370D"/>
    <w:rsid w:val="007C3775"/>
    <w:rsid w:val="007C4F48"/>
    <w:rsid w:val="007C75F9"/>
    <w:rsid w:val="007C7B52"/>
    <w:rsid w:val="007D279C"/>
    <w:rsid w:val="007E4D02"/>
    <w:rsid w:val="007E6DCA"/>
    <w:rsid w:val="007E74B0"/>
    <w:rsid w:val="007E759B"/>
    <w:rsid w:val="007E75E5"/>
    <w:rsid w:val="007F5D5A"/>
    <w:rsid w:val="008006DE"/>
    <w:rsid w:val="008030CF"/>
    <w:rsid w:val="008039C6"/>
    <w:rsid w:val="00803F03"/>
    <w:rsid w:val="0080402E"/>
    <w:rsid w:val="00804C75"/>
    <w:rsid w:val="00805532"/>
    <w:rsid w:val="008055D4"/>
    <w:rsid w:val="00805BDC"/>
    <w:rsid w:val="00812138"/>
    <w:rsid w:val="0081264B"/>
    <w:rsid w:val="00813D56"/>
    <w:rsid w:val="00813FD1"/>
    <w:rsid w:val="00814E8D"/>
    <w:rsid w:val="00815BE6"/>
    <w:rsid w:val="0081626B"/>
    <w:rsid w:val="0081649E"/>
    <w:rsid w:val="008177A4"/>
    <w:rsid w:val="00821FC1"/>
    <w:rsid w:val="0082247B"/>
    <w:rsid w:val="0082638E"/>
    <w:rsid w:val="008269E3"/>
    <w:rsid w:val="00827B91"/>
    <w:rsid w:val="008314A2"/>
    <w:rsid w:val="008315ED"/>
    <w:rsid w:val="00833A2B"/>
    <w:rsid w:val="00840F86"/>
    <w:rsid w:val="00842326"/>
    <w:rsid w:val="00843758"/>
    <w:rsid w:val="00844551"/>
    <w:rsid w:val="00844D34"/>
    <w:rsid w:val="00847E73"/>
    <w:rsid w:val="00850D7F"/>
    <w:rsid w:val="008522D1"/>
    <w:rsid w:val="00853372"/>
    <w:rsid w:val="00853C75"/>
    <w:rsid w:val="00854030"/>
    <w:rsid w:val="008545B2"/>
    <w:rsid w:val="00856D93"/>
    <w:rsid w:val="008579E0"/>
    <w:rsid w:val="00863788"/>
    <w:rsid w:val="00867B9A"/>
    <w:rsid w:val="00871B04"/>
    <w:rsid w:val="00875A08"/>
    <w:rsid w:val="00877525"/>
    <w:rsid w:val="00884404"/>
    <w:rsid w:val="008911FF"/>
    <w:rsid w:val="00896270"/>
    <w:rsid w:val="00897357"/>
    <w:rsid w:val="008A1F2E"/>
    <w:rsid w:val="008A32C4"/>
    <w:rsid w:val="008A4A57"/>
    <w:rsid w:val="008A7FC9"/>
    <w:rsid w:val="008B2B50"/>
    <w:rsid w:val="008B41D7"/>
    <w:rsid w:val="008B48FF"/>
    <w:rsid w:val="008B50BA"/>
    <w:rsid w:val="008C0958"/>
    <w:rsid w:val="008C1AE7"/>
    <w:rsid w:val="008C6061"/>
    <w:rsid w:val="008D2AF6"/>
    <w:rsid w:val="008D5181"/>
    <w:rsid w:val="008E26C6"/>
    <w:rsid w:val="008E4553"/>
    <w:rsid w:val="008F07AC"/>
    <w:rsid w:val="008F0A36"/>
    <w:rsid w:val="008F0B6C"/>
    <w:rsid w:val="008F1CB2"/>
    <w:rsid w:val="008F368F"/>
    <w:rsid w:val="008F41A3"/>
    <w:rsid w:val="008F5EB9"/>
    <w:rsid w:val="0090047D"/>
    <w:rsid w:val="0090227F"/>
    <w:rsid w:val="00904388"/>
    <w:rsid w:val="00910F40"/>
    <w:rsid w:val="00913A2E"/>
    <w:rsid w:val="00922D10"/>
    <w:rsid w:val="0092472D"/>
    <w:rsid w:val="00927357"/>
    <w:rsid w:val="00932E2F"/>
    <w:rsid w:val="009378BF"/>
    <w:rsid w:val="00942E63"/>
    <w:rsid w:val="00943B67"/>
    <w:rsid w:val="0094466E"/>
    <w:rsid w:val="00945FD1"/>
    <w:rsid w:val="009513B3"/>
    <w:rsid w:val="009514B6"/>
    <w:rsid w:val="00953AB6"/>
    <w:rsid w:val="009549AD"/>
    <w:rsid w:val="0095513E"/>
    <w:rsid w:val="00956BC8"/>
    <w:rsid w:val="00962B83"/>
    <w:rsid w:val="00966571"/>
    <w:rsid w:val="00971401"/>
    <w:rsid w:val="00972033"/>
    <w:rsid w:val="00976337"/>
    <w:rsid w:val="00976558"/>
    <w:rsid w:val="00980273"/>
    <w:rsid w:val="0098169A"/>
    <w:rsid w:val="009848B9"/>
    <w:rsid w:val="00991923"/>
    <w:rsid w:val="0099309D"/>
    <w:rsid w:val="0099339F"/>
    <w:rsid w:val="009947CF"/>
    <w:rsid w:val="009A128E"/>
    <w:rsid w:val="009A27C6"/>
    <w:rsid w:val="009A4D08"/>
    <w:rsid w:val="009B03A9"/>
    <w:rsid w:val="009B5FF7"/>
    <w:rsid w:val="009C1723"/>
    <w:rsid w:val="009D043E"/>
    <w:rsid w:val="009D0837"/>
    <w:rsid w:val="009D0AED"/>
    <w:rsid w:val="009D2CEB"/>
    <w:rsid w:val="009D3E18"/>
    <w:rsid w:val="009D4D56"/>
    <w:rsid w:val="009D6A0E"/>
    <w:rsid w:val="009D7842"/>
    <w:rsid w:val="009E4346"/>
    <w:rsid w:val="009E614E"/>
    <w:rsid w:val="009F2F43"/>
    <w:rsid w:val="009F442A"/>
    <w:rsid w:val="009F5D50"/>
    <w:rsid w:val="009F64E0"/>
    <w:rsid w:val="009F6DD4"/>
    <w:rsid w:val="00A016D7"/>
    <w:rsid w:val="00A05912"/>
    <w:rsid w:val="00A06F7F"/>
    <w:rsid w:val="00A07063"/>
    <w:rsid w:val="00A077FC"/>
    <w:rsid w:val="00A07F64"/>
    <w:rsid w:val="00A101E5"/>
    <w:rsid w:val="00A10C06"/>
    <w:rsid w:val="00A11BCC"/>
    <w:rsid w:val="00A12EBE"/>
    <w:rsid w:val="00A1362D"/>
    <w:rsid w:val="00A1555D"/>
    <w:rsid w:val="00A2133C"/>
    <w:rsid w:val="00A224EC"/>
    <w:rsid w:val="00A26BAF"/>
    <w:rsid w:val="00A27117"/>
    <w:rsid w:val="00A30025"/>
    <w:rsid w:val="00A313AF"/>
    <w:rsid w:val="00A31839"/>
    <w:rsid w:val="00A31DBA"/>
    <w:rsid w:val="00A32632"/>
    <w:rsid w:val="00A32C0F"/>
    <w:rsid w:val="00A33721"/>
    <w:rsid w:val="00A36394"/>
    <w:rsid w:val="00A3778F"/>
    <w:rsid w:val="00A37ACE"/>
    <w:rsid w:val="00A40106"/>
    <w:rsid w:val="00A44D91"/>
    <w:rsid w:val="00A45033"/>
    <w:rsid w:val="00A45ADD"/>
    <w:rsid w:val="00A465EE"/>
    <w:rsid w:val="00A467BA"/>
    <w:rsid w:val="00A473B0"/>
    <w:rsid w:val="00A50A13"/>
    <w:rsid w:val="00A54943"/>
    <w:rsid w:val="00A562F0"/>
    <w:rsid w:val="00A573B8"/>
    <w:rsid w:val="00A57524"/>
    <w:rsid w:val="00A579A4"/>
    <w:rsid w:val="00A60BB0"/>
    <w:rsid w:val="00A61A4F"/>
    <w:rsid w:val="00A62AED"/>
    <w:rsid w:val="00A65237"/>
    <w:rsid w:val="00A66211"/>
    <w:rsid w:val="00A72D1A"/>
    <w:rsid w:val="00A73808"/>
    <w:rsid w:val="00A7430B"/>
    <w:rsid w:val="00A7430C"/>
    <w:rsid w:val="00A75B31"/>
    <w:rsid w:val="00A772EC"/>
    <w:rsid w:val="00A80F26"/>
    <w:rsid w:val="00A8270E"/>
    <w:rsid w:val="00A82D8A"/>
    <w:rsid w:val="00A83C94"/>
    <w:rsid w:val="00A90C74"/>
    <w:rsid w:val="00A9762B"/>
    <w:rsid w:val="00AA078E"/>
    <w:rsid w:val="00AA0D64"/>
    <w:rsid w:val="00AA11BE"/>
    <w:rsid w:val="00AA224A"/>
    <w:rsid w:val="00AA2D92"/>
    <w:rsid w:val="00AA5181"/>
    <w:rsid w:val="00AA5228"/>
    <w:rsid w:val="00AA53C4"/>
    <w:rsid w:val="00AA54F9"/>
    <w:rsid w:val="00AA69D0"/>
    <w:rsid w:val="00AB0677"/>
    <w:rsid w:val="00AB1488"/>
    <w:rsid w:val="00AB35C6"/>
    <w:rsid w:val="00AB4838"/>
    <w:rsid w:val="00AB7341"/>
    <w:rsid w:val="00AC01D0"/>
    <w:rsid w:val="00AC02D5"/>
    <w:rsid w:val="00AC5204"/>
    <w:rsid w:val="00AD0A6B"/>
    <w:rsid w:val="00AD0EE9"/>
    <w:rsid w:val="00AD12DD"/>
    <w:rsid w:val="00AD50E7"/>
    <w:rsid w:val="00AD55ED"/>
    <w:rsid w:val="00AE0116"/>
    <w:rsid w:val="00AE488C"/>
    <w:rsid w:val="00AE4FA7"/>
    <w:rsid w:val="00AE6B98"/>
    <w:rsid w:val="00AF18C3"/>
    <w:rsid w:val="00B01144"/>
    <w:rsid w:val="00B02024"/>
    <w:rsid w:val="00B06153"/>
    <w:rsid w:val="00B11DB6"/>
    <w:rsid w:val="00B14BA8"/>
    <w:rsid w:val="00B167C6"/>
    <w:rsid w:val="00B201D9"/>
    <w:rsid w:val="00B2261B"/>
    <w:rsid w:val="00B22D3D"/>
    <w:rsid w:val="00B24FE2"/>
    <w:rsid w:val="00B25630"/>
    <w:rsid w:val="00B2594C"/>
    <w:rsid w:val="00B2600B"/>
    <w:rsid w:val="00B31E45"/>
    <w:rsid w:val="00B348DA"/>
    <w:rsid w:val="00B37C7E"/>
    <w:rsid w:val="00B40932"/>
    <w:rsid w:val="00B52462"/>
    <w:rsid w:val="00B5432F"/>
    <w:rsid w:val="00B55295"/>
    <w:rsid w:val="00B5708F"/>
    <w:rsid w:val="00B641B7"/>
    <w:rsid w:val="00B6573B"/>
    <w:rsid w:val="00B719ED"/>
    <w:rsid w:val="00B75587"/>
    <w:rsid w:val="00B8697C"/>
    <w:rsid w:val="00B87E02"/>
    <w:rsid w:val="00BA09FF"/>
    <w:rsid w:val="00BA0D74"/>
    <w:rsid w:val="00BA37CF"/>
    <w:rsid w:val="00BA5A64"/>
    <w:rsid w:val="00BB25A1"/>
    <w:rsid w:val="00BB49CE"/>
    <w:rsid w:val="00BB6186"/>
    <w:rsid w:val="00BB6C4E"/>
    <w:rsid w:val="00BC252D"/>
    <w:rsid w:val="00BC707A"/>
    <w:rsid w:val="00BC76AC"/>
    <w:rsid w:val="00BC78EE"/>
    <w:rsid w:val="00BD0D19"/>
    <w:rsid w:val="00BD2221"/>
    <w:rsid w:val="00BD2C1A"/>
    <w:rsid w:val="00BD3084"/>
    <w:rsid w:val="00BE132D"/>
    <w:rsid w:val="00BE1A71"/>
    <w:rsid w:val="00BE392F"/>
    <w:rsid w:val="00BE502B"/>
    <w:rsid w:val="00BF173B"/>
    <w:rsid w:val="00BF2251"/>
    <w:rsid w:val="00C002F5"/>
    <w:rsid w:val="00C01C66"/>
    <w:rsid w:val="00C03FA0"/>
    <w:rsid w:val="00C04217"/>
    <w:rsid w:val="00C04FF6"/>
    <w:rsid w:val="00C060E6"/>
    <w:rsid w:val="00C07619"/>
    <w:rsid w:val="00C1127C"/>
    <w:rsid w:val="00C12A59"/>
    <w:rsid w:val="00C15AF7"/>
    <w:rsid w:val="00C20C3D"/>
    <w:rsid w:val="00C20F22"/>
    <w:rsid w:val="00C21FC7"/>
    <w:rsid w:val="00C24207"/>
    <w:rsid w:val="00C249D7"/>
    <w:rsid w:val="00C26889"/>
    <w:rsid w:val="00C31DC2"/>
    <w:rsid w:val="00C322A3"/>
    <w:rsid w:val="00C413FB"/>
    <w:rsid w:val="00C41EA1"/>
    <w:rsid w:val="00C428AB"/>
    <w:rsid w:val="00C501A4"/>
    <w:rsid w:val="00C50C41"/>
    <w:rsid w:val="00C514B2"/>
    <w:rsid w:val="00C515E9"/>
    <w:rsid w:val="00C53040"/>
    <w:rsid w:val="00C557FD"/>
    <w:rsid w:val="00C63789"/>
    <w:rsid w:val="00C70960"/>
    <w:rsid w:val="00C71177"/>
    <w:rsid w:val="00C71D93"/>
    <w:rsid w:val="00C73A01"/>
    <w:rsid w:val="00C75BC0"/>
    <w:rsid w:val="00C763D5"/>
    <w:rsid w:val="00C76D35"/>
    <w:rsid w:val="00C7701F"/>
    <w:rsid w:val="00C800D7"/>
    <w:rsid w:val="00C826E1"/>
    <w:rsid w:val="00C850B8"/>
    <w:rsid w:val="00C858BF"/>
    <w:rsid w:val="00C85FB3"/>
    <w:rsid w:val="00C86473"/>
    <w:rsid w:val="00C87B14"/>
    <w:rsid w:val="00C9068C"/>
    <w:rsid w:val="00C908F0"/>
    <w:rsid w:val="00C956AB"/>
    <w:rsid w:val="00C96281"/>
    <w:rsid w:val="00C963C3"/>
    <w:rsid w:val="00C966AF"/>
    <w:rsid w:val="00CA5059"/>
    <w:rsid w:val="00CA6D41"/>
    <w:rsid w:val="00CA7DAA"/>
    <w:rsid w:val="00CB1860"/>
    <w:rsid w:val="00CB33ED"/>
    <w:rsid w:val="00CB4094"/>
    <w:rsid w:val="00CB412C"/>
    <w:rsid w:val="00CB6400"/>
    <w:rsid w:val="00CC0C0F"/>
    <w:rsid w:val="00CC28DC"/>
    <w:rsid w:val="00CC4235"/>
    <w:rsid w:val="00CC4F09"/>
    <w:rsid w:val="00CC5AFB"/>
    <w:rsid w:val="00CC68BA"/>
    <w:rsid w:val="00CC6DCB"/>
    <w:rsid w:val="00CD0236"/>
    <w:rsid w:val="00CD1C20"/>
    <w:rsid w:val="00CD1C55"/>
    <w:rsid w:val="00CD20CC"/>
    <w:rsid w:val="00CD6EB6"/>
    <w:rsid w:val="00CD7236"/>
    <w:rsid w:val="00CD7CA9"/>
    <w:rsid w:val="00CE0B13"/>
    <w:rsid w:val="00CE2F0C"/>
    <w:rsid w:val="00CF08FA"/>
    <w:rsid w:val="00CF138F"/>
    <w:rsid w:val="00CF3941"/>
    <w:rsid w:val="00CF49D4"/>
    <w:rsid w:val="00CF5BE1"/>
    <w:rsid w:val="00CF6487"/>
    <w:rsid w:val="00D00A9E"/>
    <w:rsid w:val="00D01402"/>
    <w:rsid w:val="00D049E3"/>
    <w:rsid w:val="00D061CC"/>
    <w:rsid w:val="00D14DA9"/>
    <w:rsid w:val="00D20B3B"/>
    <w:rsid w:val="00D212E4"/>
    <w:rsid w:val="00D241F4"/>
    <w:rsid w:val="00D251F3"/>
    <w:rsid w:val="00D264FD"/>
    <w:rsid w:val="00D32E08"/>
    <w:rsid w:val="00D33095"/>
    <w:rsid w:val="00D34051"/>
    <w:rsid w:val="00D34692"/>
    <w:rsid w:val="00D34A95"/>
    <w:rsid w:val="00D34ABB"/>
    <w:rsid w:val="00D34AEC"/>
    <w:rsid w:val="00D35DE7"/>
    <w:rsid w:val="00D363EF"/>
    <w:rsid w:val="00D36B81"/>
    <w:rsid w:val="00D37BBE"/>
    <w:rsid w:val="00D4168B"/>
    <w:rsid w:val="00D43780"/>
    <w:rsid w:val="00D439BF"/>
    <w:rsid w:val="00D462E2"/>
    <w:rsid w:val="00D46C35"/>
    <w:rsid w:val="00D472A4"/>
    <w:rsid w:val="00D51B8B"/>
    <w:rsid w:val="00D52A79"/>
    <w:rsid w:val="00D52F15"/>
    <w:rsid w:val="00D54B56"/>
    <w:rsid w:val="00D55613"/>
    <w:rsid w:val="00D56CE6"/>
    <w:rsid w:val="00D574ED"/>
    <w:rsid w:val="00D601B4"/>
    <w:rsid w:val="00D60E2A"/>
    <w:rsid w:val="00D61712"/>
    <w:rsid w:val="00D6458F"/>
    <w:rsid w:val="00D71C0A"/>
    <w:rsid w:val="00D71CF9"/>
    <w:rsid w:val="00D74C26"/>
    <w:rsid w:val="00D76411"/>
    <w:rsid w:val="00D76F9E"/>
    <w:rsid w:val="00D77D9B"/>
    <w:rsid w:val="00D804B2"/>
    <w:rsid w:val="00D80A11"/>
    <w:rsid w:val="00D81286"/>
    <w:rsid w:val="00D823C1"/>
    <w:rsid w:val="00D84C84"/>
    <w:rsid w:val="00D8565E"/>
    <w:rsid w:val="00D868FA"/>
    <w:rsid w:val="00D8781D"/>
    <w:rsid w:val="00D915E1"/>
    <w:rsid w:val="00D93866"/>
    <w:rsid w:val="00DA3B97"/>
    <w:rsid w:val="00DA41D3"/>
    <w:rsid w:val="00DA4DCD"/>
    <w:rsid w:val="00DB1630"/>
    <w:rsid w:val="00DB1B67"/>
    <w:rsid w:val="00DC5FEB"/>
    <w:rsid w:val="00DD3490"/>
    <w:rsid w:val="00DD6DFB"/>
    <w:rsid w:val="00DE46D4"/>
    <w:rsid w:val="00DE4753"/>
    <w:rsid w:val="00DE6AFC"/>
    <w:rsid w:val="00DF0B0B"/>
    <w:rsid w:val="00DF2152"/>
    <w:rsid w:val="00DF48ED"/>
    <w:rsid w:val="00DF4FA5"/>
    <w:rsid w:val="00E01ABE"/>
    <w:rsid w:val="00E02CDC"/>
    <w:rsid w:val="00E123B4"/>
    <w:rsid w:val="00E14E38"/>
    <w:rsid w:val="00E228BE"/>
    <w:rsid w:val="00E326D5"/>
    <w:rsid w:val="00E32904"/>
    <w:rsid w:val="00E3456A"/>
    <w:rsid w:val="00E378EC"/>
    <w:rsid w:val="00E41A2C"/>
    <w:rsid w:val="00E41C4E"/>
    <w:rsid w:val="00E42A77"/>
    <w:rsid w:val="00E43DFC"/>
    <w:rsid w:val="00E45183"/>
    <w:rsid w:val="00E4720D"/>
    <w:rsid w:val="00E51985"/>
    <w:rsid w:val="00E54FF7"/>
    <w:rsid w:val="00E55112"/>
    <w:rsid w:val="00E601EE"/>
    <w:rsid w:val="00E60C47"/>
    <w:rsid w:val="00E6100E"/>
    <w:rsid w:val="00E613C5"/>
    <w:rsid w:val="00E63305"/>
    <w:rsid w:val="00E7066E"/>
    <w:rsid w:val="00E71C88"/>
    <w:rsid w:val="00E759C0"/>
    <w:rsid w:val="00E80EA9"/>
    <w:rsid w:val="00E8115B"/>
    <w:rsid w:val="00E85171"/>
    <w:rsid w:val="00E8715B"/>
    <w:rsid w:val="00E90A0D"/>
    <w:rsid w:val="00E95E20"/>
    <w:rsid w:val="00E96880"/>
    <w:rsid w:val="00EA58B6"/>
    <w:rsid w:val="00EA7C64"/>
    <w:rsid w:val="00EB4F14"/>
    <w:rsid w:val="00EB7236"/>
    <w:rsid w:val="00EB7237"/>
    <w:rsid w:val="00EC056D"/>
    <w:rsid w:val="00EC062D"/>
    <w:rsid w:val="00EC31D4"/>
    <w:rsid w:val="00EC4F19"/>
    <w:rsid w:val="00ED2575"/>
    <w:rsid w:val="00ED58F3"/>
    <w:rsid w:val="00ED7A47"/>
    <w:rsid w:val="00EE1601"/>
    <w:rsid w:val="00EE58F7"/>
    <w:rsid w:val="00EE5ADA"/>
    <w:rsid w:val="00EE5CAF"/>
    <w:rsid w:val="00EE5F7C"/>
    <w:rsid w:val="00EE677E"/>
    <w:rsid w:val="00EE7377"/>
    <w:rsid w:val="00EF03FF"/>
    <w:rsid w:val="00EF7080"/>
    <w:rsid w:val="00F04792"/>
    <w:rsid w:val="00F04D66"/>
    <w:rsid w:val="00F06F8A"/>
    <w:rsid w:val="00F0743A"/>
    <w:rsid w:val="00F07DE0"/>
    <w:rsid w:val="00F12683"/>
    <w:rsid w:val="00F13B77"/>
    <w:rsid w:val="00F13D17"/>
    <w:rsid w:val="00F1417D"/>
    <w:rsid w:val="00F158C4"/>
    <w:rsid w:val="00F17A87"/>
    <w:rsid w:val="00F225F8"/>
    <w:rsid w:val="00F23FA0"/>
    <w:rsid w:val="00F265B5"/>
    <w:rsid w:val="00F430D9"/>
    <w:rsid w:val="00F4651C"/>
    <w:rsid w:val="00F50938"/>
    <w:rsid w:val="00F520BC"/>
    <w:rsid w:val="00F5786E"/>
    <w:rsid w:val="00F57E2C"/>
    <w:rsid w:val="00F7228A"/>
    <w:rsid w:val="00F726A1"/>
    <w:rsid w:val="00F777AE"/>
    <w:rsid w:val="00F82702"/>
    <w:rsid w:val="00F83587"/>
    <w:rsid w:val="00F83FDC"/>
    <w:rsid w:val="00F9332B"/>
    <w:rsid w:val="00F94FDE"/>
    <w:rsid w:val="00F95141"/>
    <w:rsid w:val="00F96268"/>
    <w:rsid w:val="00F969AF"/>
    <w:rsid w:val="00F96C65"/>
    <w:rsid w:val="00F97D50"/>
    <w:rsid w:val="00FA3BF4"/>
    <w:rsid w:val="00FA3FFB"/>
    <w:rsid w:val="00FA645F"/>
    <w:rsid w:val="00FB0AA6"/>
    <w:rsid w:val="00FB2580"/>
    <w:rsid w:val="00FB2C07"/>
    <w:rsid w:val="00FB3F37"/>
    <w:rsid w:val="00FB52EC"/>
    <w:rsid w:val="00FB68BD"/>
    <w:rsid w:val="00FB7EFD"/>
    <w:rsid w:val="00FC0294"/>
    <w:rsid w:val="00FC211B"/>
    <w:rsid w:val="00FC2C10"/>
    <w:rsid w:val="00FC334C"/>
    <w:rsid w:val="00FC42EC"/>
    <w:rsid w:val="00FC4AEC"/>
    <w:rsid w:val="00FD0C09"/>
    <w:rsid w:val="00FD1B0F"/>
    <w:rsid w:val="00FD5D04"/>
    <w:rsid w:val="00FE3F70"/>
    <w:rsid w:val="00FE4527"/>
    <w:rsid w:val="00FF084B"/>
    <w:rsid w:val="00FF1384"/>
    <w:rsid w:val="00FF15D3"/>
    <w:rsid w:val="00FF1E04"/>
    <w:rsid w:val="00FF2C59"/>
    <w:rsid w:val="00FF3917"/>
    <w:rsid w:val="013B3CD0"/>
    <w:rsid w:val="01DB7A23"/>
    <w:rsid w:val="02016C1C"/>
    <w:rsid w:val="03780F6C"/>
    <w:rsid w:val="037A4EFE"/>
    <w:rsid w:val="03EB63A0"/>
    <w:rsid w:val="04232E9C"/>
    <w:rsid w:val="04AB725F"/>
    <w:rsid w:val="05945E77"/>
    <w:rsid w:val="06D8104D"/>
    <w:rsid w:val="07204E1D"/>
    <w:rsid w:val="07302092"/>
    <w:rsid w:val="08491765"/>
    <w:rsid w:val="085C2DFA"/>
    <w:rsid w:val="08B7492F"/>
    <w:rsid w:val="09267901"/>
    <w:rsid w:val="095B0084"/>
    <w:rsid w:val="098A0181"/>
    <w:rsid w:val="09AB5D86"/>
    <w:rsid w:val="09E17B50"/>
    <w:rsid w:val="0A9F3134"/>
    <w:rsid w:val="0AC128F0"/>
    <w:rsid w:val="0BBA1D6E"/>
    <w:rsid w:val="0C5F0B9B"/>
    <w:rsid w:val="0CCE32D4"/>
    <w:rsid w:val="0D2D3762"/>
    <w:rsid w:val="0D65246F"/>
    <w:rsid w:val="0D972C4B"/>
    <w:rsid w:val="0E3F47D7"/>
    <w:rsid w:val="0ED467C2"/>
    <w:rsid w:val="0F0B6093"/>
    <w:rsid w:val="0F47765A"/>
    <w:rsid w:val="10092B88"/>
    <w:rsid w:val="10450A76"/>
    <w:rsid w:val="10574A40"/>
    <w:rsid w:val="111D0ED3"/>
    <w:rsid w:val="12841EF5"/>
    <w:rsid w:val="1287500F"/>
    <w:rsid w:val="12986D39"/>
    <w:rsid w:val="13D90EB1"/>
    <w:rsid w:val="145354E3"/>
    <w:rsid w:val="14C11273"/>
    <w:rsid w:val="14F548A4"/>
    <w:rsid w:val="14FE66F5"/>
    <w:rsid w:val="155D3A47"/>
    <w:rsid w:val="15A577C4"/>
    <w:rsid w:val="16046C66"/>
    <w:rsid w:val="16326D46"/>
    <w:rsid w:val="16841E2B"/>
    <w:rsid w:val="16CF0A1B"/>
    <w:rsid w:val="16D775E3"/>
    <w:rsid w:val="17014C3E"/>
    <w:rsid w:val="178D6979"/>
    <w:rsid w:val="17C212B8"/>
    <w:rsid w:val="1874160D"/>
    <w:rsid w:val="18D15FE1"/>
    <w:rsid w:val="193B401B"/>
    <w:rsid w:val="19CE4EDD"/>
    <w:rsid w:val="19F63980"/>
    <w:rsid w:val="1AA458BC"/>
    <w:rsid w:val="1B0E0727"/>
    <w:rsid w:val="1B452D22"/>
    <w:rsid w:val="1B7B0C73"/>
    <w:rsid w:val="1B8036D5"/>
    <w:rsid w:val="1B8D2BAE"/>
    <w:rsid w:val="1BBF1C93"/>
    <w:rsid w:val="1BDE4163"/>
    <w:rsid w:val="1BFF4E48"/>
    <w:rsid w:val="1C356D37"/>
    <w:rsid w:val="1CC137A4"/>
    <w:rsid w:val="1DBD1FBC"/>
    <w:rsid w:val="1DF76FC3"/>
    <w:rsid w:val="1E02479D"/>
    <w:rsid w:val="1F577B89"/>
    <w:rsid w:val="1F722F1F"/>
    <w:rsid w:val="1FC52E2B"/>
    <w:rsid w:val="1FEC64AB"/>
    <w:rsid w:val="1FF70178"/>
    <w:rsid w:val="20252312"/>
    <w:rsid w:val="203715E8"/>
    <w:rsid w:val="2089011D"/>
    <w:rsid w:val="213458C4"/>
    <w:rsid w:val="23970A91"/>
    <w:rsid w:val="239B0A0A"/>
    <w:rsid w:val="23B37539"/>
    <w:rsid w:val="23CE2D02"/>
    <w:rsid w:val="23FB21FF"/>
    <w:rsid w:val="2480011C"/>
    <w:rsid w:val="24B77466"/>
    <w:rsid w:val="24BF0AE4"/>
    <w:rsid w:val="24CD2712"/>
    <w:rsid w:val="250D6DE4"/>
    <w:rsid w:val="25312517"/>
    <w:rsid w:val="25765A93"/>
    <w:rsid w:val="26287D24"/>
    <w:rsid w:val="27223C7F"/>
    <w:rsid w:val="27B117BB"/>
    <w:rsid w:val="285749E4"/>
    <w:rsid w:val="29214FB2"/>
    <w:rsid w:val="29DF46FF"/>
    <w:rsid w:val="2A437E51"/>
    <w:rsid w:val="2A5469F2"/>
    <w:rsid w:val="2A767F4F"/>
    <w:rsid w:val="2BE17D66"/>
    <w:rsid w:val="2C1F6654"/>
    <w:rsid w:val="2C754CE8"/>
    <w:rsid w:val="2CF613E6"/>
    <w:rsid w:val="2CFF3FAF"/>
    <w:rsid w:val="2D50457F"/>
    <w:rsid w:val="2DF2034E"/>
    <w:rsid w:val="2DF33E0A"/>
    <w:rsid w:val="2E946416"/>
    <w:rsid w:val="2ECC0335"/>
    <w:rsid w:val="2EEE6988"/>
    <w:rsid w:val="2F455F1D"/>
    <w:rsid w:val="2F6B5F2C"/>
    <w:rsid w:val="2FDF4A81"/>
    <w:rsid w:val="2FEFD382"/>
    <w:rsid w:val="301E0A94"/>
    <w:rsid w:val="303A31BE"/>
    <w:rsid w:val="305C2A04"/>
    <w:rsid w:val="30D61061"/>
    <w:rsid w:val="30DF0DFB"/>
    <w:rsid w:val="31367C8B"/>
    <w:rsid w:val="316F2F5D"/>
    <w:rsid w:val="324F6FC6"/>
    <w:rsid w:val="325C4313"/>
    <w:rsid w:val="32FD1CD8"/>
    <w:rsid w:val="33536042"/>
    <w:rsid w:val="34586D34"/>
    <w:rsid w:val="35053E76"/>
    <w:rsid w:val="35444092"/>
    <w:rsid w:val="35A00F66"/>
    <w:rsid w:val="364F5374"/>
    <w:rsid w:val="374F3031"/>
    <w:rsid w:val="38017F3E"/>
    <w:rsid w:val="384D3FA0"/>
    <w:rsid w:val="386045A4"/>
    <w:rsid w:val="38A119A2"/>
    <w:rsid w:val="38E541F1"/>
    <w:rsid w:val="38E55F3A"/>
    <w:rsid w:val="39D65B9B"/>
    <w:rsid w:val="3A06505C"/>
    <w:rsid w:val="3A633080"/>
    <w:rsid w:val="3B3E607B"/>
    <w:rsid w:val="3BC67276"/>
    <w:rsid w:val="3CD7046C"/>
    <w:rsid w:val="3D766D10"/>
    <w:rsid w:val="3DC965C7"/>
    <w:rsid w:val="3EAA77BE"/>
    <w:rsid w:val="3F33024C"/>
    <w:rsid w:val="3F6B416C"/>
    <w:rsid w:val="3F750845"/>
    <w:rsid w:val="3FB66B56"/>
    <w:rsid w:val="402F00AF"/>
    <w:rsid w:val="41173BF3"/>
    <w:rsid w:val="412835B6"/>
    <w:rsid w:val="41377E16"/>
    <w:rsid w:val="414A4BA3"/>
    <w:rsid w:val="415F4055"/>
    <w:rsid w:val="417501BE"/>
    <w:rsid w:val="417B5297"/>
    <w:rsid w:val="41823541"/>
    <w:rsid w:val="427C2E47"/>
    <w:rsid w:val="427F3DC8"/>
    <w:rsid w:val="42A04B03"/>
    <w:rsid w:val="43825E8A"/>
    <w:rsid w:val="43BA1DDD"/>
    <w:rsid w:val="447D6079"/>
    <w:rsid w:val="44DA7F50"/>
    <w:rsid w:val="44F55679"/>
    <w:rsid w:val="45212235"/>
    <w:rsid w:val="45BC7FD6"/>
    <w:rsid w:val="45C942BA"/>
    <w:rsid w:val="46341BD9"/>
    <w:rsid w:val="474B331F"/>
    <w:rsid w:val="47AB465B"/>
    <w:rsid w:val="47CE7324"/>
    <w:rsid w:val="4880585B"/>
    <w:rsid w:val="48A4765C"/>
    <w:rsid w:val="49033183"/>
    <w:rsid w:val="49A62932"/>
    <w:rsid w:val="49E102CF"/>
    <w:rsid w:val="49F26C6C"/>
    <w:rsid w:val="4A1B7AE2"/>
    <w:rsid w:val="4AE958EC"/>
    <w:rsid w:val="4B1A63D0"/>
    <w:rsid w:val="4BE23180"/>
    <w:rsid w:val="4C7A3355"/>
    <w:rsid w:val="4D122708"/>
    <w:rsid w:val="4D843E86"/>
    <w:rsid w:val="4DDF1DA3"/>
    <w:rsid w:val="4F220FEE"/>
    <w:rsid w:val="4F2C045A"/>
    <w:rsid w:val="4F6A1800"/>
    <w:rsid w:val="4F700BC5"/>
    <w:rsid w:val="4F935C25"/>
    <w:rsid w:val="503D7A18"/>
    <w:rsid w:val="50DD0928"/>
    <w:rsid w:val="51306FF2"/>
    <w:rsid w:val="517102E3"/>
    <w:rsid w:val="51EA37A6"/>
    <w:rsid w:val="51EE2E25"/>
    <w:rsid w:val="54072F8B"/>
    <w:rsid w:val="54160898"/>
    <w:rsid w:val="54196BD7"/>
    <w:rsid w:val="54636F09"/>
    <w:rsid w:val="547B6CB8"/>
    <w:rsid w:val="54CD066F"/>
    <w:rsid w:val="551F2D75"/>
    <w:rsid w:val="55E60A98"/>
    <w:rsid w:val="55E8693F"/>
    <w:rsid w:val="59717C8E"/>
    <w:rsid w:val="59974CE0"/>
    <w:rsid w:val="599D7523"/>
    <w:rsid w:val="5BB46E64"/>
    <w:rsid w:val="5BE424F6"/>
    <w:rsid w:val="5C6347F6"/>
    <w:rsid w:val="5C6E0B93"/>
    <w:rsid w:val="5DEA0B0D"/>
    <w:rsid w:val="5E323B31"/>
    <w:rsid w:val="5E9C5F1C"/>
    <w:rsid w:val="5ED53A43"/>
    <w:rsid w:val="5F07595A"/>
    <w:rsid w:val="5F476A25"/>
    <w:rsid w:val="5F867E1D"/>
    <w:rsid w:val="5FBA7160"/>
    <w:rsid w:val="5FDA7ED2"/>
    <w:rsid w:val="609A6DB1"/>
    <w:rsid w:val="610105DB"/>
    <w:rsid w:val="614D4522"/>
    <w:rsid w:val="61C542AA"/>
    <w:rsid w:val="61DA4817"/>
    <w:rsid w:val="62E810C9"/>
    <w:rsid w:val="62FF4C0E"/>
    <w:rsid w:val="63217225"/>
    <w:rsid w:val="643F38D3"/>
    <w:rsid w:val="654E5F66"/>
    <w:rsid w:val="659B0707"/>
    <w:rsid w:val="65A46345"/>
    <w:rsid w:val="670246B6"/>
    <w:rsid w:val="672150C8"/>
    <w:rsid w:val="67B2192C"/>
    <w:rsid w:val="68531926"/>
    <w:rsid w:val="68E52B21"/>
    <w:rsid w:val="69854BF4"/>
    <w:rsid w:val="699311D9"/>
    <w:rsid w:val="6B311500"/>
    <w:rsid w:val="6B350B88"/>
    <w:rsid w:val="6BB9765C"/>
    <w:rsid w:val="6BE366C4"/>
    <w:rsid w:val="6DD45695"/>
    <w:rsid w:val="6E102D14"/>
    <w:rsid w:val="6E284373"/>
    <w:rsid w:val="6E411F3E"/>
    <w:rsid w:val="6E660791"/>
    <w:rsid w:val="6F666287"/>
    <w:rsid w:val="6FC15474"/>
    <w:rsid w:val="702C51F5"/>
    <w:rsid w:val="705C23FF"/>
    <w:rsid w:val="707F2EBC"/>
    <w:rsid w:val="70D94D54"/>
    <w:rsid w:val="713E1DC0"/>
    <w:rsid w:val="725A3D7A"/>
    <w:rsid w:val="72D44D2A"/>
    <w:rsid w:val="73882835"/>
    <w:rsid w:val="73FF4348"/>
    <w:rsid w:val="74025551"/>
    <w:rsid w:val="74157D2E"/>
    <w:rsid w:val="74583597"/>
    <w:rsid w:val="74D94576"/>
    <w:rsid w:val="75100CCD"/>
    <w:rsid w:val="75540BFD"/>
    <w:rsid w:val="758A31CA"/>
    <w:rsid w:val="75B918B6"/>
    <w:rsid w:val="76544DE8"/>
    <w:rsid w:val="76575F7C"/>
    <w:rsid w:val="766C5EAF"/>
    <w:rsid w:val="774B0FFA"/>
    <w:rsid w:val="77F72A6A"/>
    <w:rsid w:val="77FA03F8"/>
    <w:rsid w:val="784F105D"/>
    <w:rsid w:val="78547A9A"/>
    <w:rsid w:val="78A40D9F"/>
    <w:rsid w:val="78C6316F"/>
    <w:rsid w:val="79185331"/>
    <w:rsid w:val="79A46BED"/>
    <w:rsid w:val="7A225FA6"/>
    <w:rsid w:val="7A2B7BFF"/>
    <w:rsid w:val="7AD91F2A"/>
    <w:rsid w:val="7B082B46"/>
    <w:rsid w:val="7BC10861"/>
    <w:rsid w:val="7BD45C39"/>
    <w:rsid w:val="7BDF0C60"/>
    <w:rsid w:val="7BEA53B0"/>
    <w:rsid w:val="7C0055C0"/>
    <w:rsid w:val="7C1A0213"/>
    <w:rsid w:val="7CA20C34"/>
    <w:rsid w:val="7CA76CFB"/>
    <w:rsid w:val="7CD75EFA"/>
    <w:rsid w:val="7D43435C"/>
    <w:rsid w:val="7D513C6A"/>
    <w:rsid w:val="7D9C71A1"/>
    <w:rsid w:val="7E6F0520"/>
    <w:rsid w:val="7EE66ACF"/>
    <w:rsid w:val="7F301C59"/>
    <w:rsid w:val="7F345E02"/>
    <w:rsid w:val="7F622A1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27"/>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48"/>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47"/>
    <w:semiHidden/>
    <w:unhideWhenUsed/>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tabs>
        <w:tab w:val="left" w:pos="720"/>
        <w:tab w:val="left" w:pos="1260"/>
        <w:tab w:val="left" w:pos="2160"/>
        <w:tab w:val="left" w:pos="2880"/>
        <w:tab w:val="left" w:pos="3600"/>
        <w:tab w:val="left" w:pos="4320"/>
        <w:tab w:val="left" w:pos="5040"/>
        <w:tab w:val="left" w:pos="5760"/>
      </w:tabs>
      <w:spacing w:after="120"/>
      <w:ind w:left="420" w:leftChars="200" w:firstLine="420"/>
    </w:pPr>
  </w:style>
  <w:style w:type="paragraph" w:styleId="3">
    <w:name w:val="Body Text Indent"/>
    <w:basedOn w:val="1"/>
    <w:link w:val="28"/>
    <w:qFormat/>
    <w:uiPriority w:val="0"/>
    <w:pPr>
      <w:ind w:firstLine="640" w:firstLineChars="200"/>
    </w:pPr>
    <w:rPr>
      <w:rFonts w:eastAsia="仿宋_GB2312"/>
      <w:sz w:val="32"/>
      <w:szCs w:val="24"/>
    </w:rPr>
  </w:style>
  <w:style w:type="paragraph" w:styleId="7">
    <w:name w:val="Document Map"/>
    <w:basedOn w:val="1"/>
    <w:link w:val="50"/>
    <w:semiHidden/>
    <w:unhideWhenUsed/>
    <w:qFormat/>
    <w:uiPriority w:val="0"/>
    <w:rPr>
      <w:rFonts w:ascii="宋体"/>
      <w:sz w:val="18"/>
      <w:szCs w:val="18"/>
    </w:rPr>
  </w:style>
  <w:style w:type="paragraph" w:styleId="8">
    <w:name w:val="annotation text"/>
    <w:basedOn w:val="1"/>
    <w:link w:val="42"/>
    <w:qFormat/>
    <w:uiPriority w:val="0"/>
    <w:pPr>
      <w:jc w:val="left"/>
    </w:pPr>
    <w:rPr>
      <w:lang w:val="zh-CN"/>
    </w:rPr>
  </w:style>
  <w:style w:type="paragraph" w:styleId="9">
    <w:name w:val="Body Text"/>
    <w:basedOn w:val="1"/>
    <w:link w:val="49"/>
    <w:unhideWhenUsed/>
    <w:qFormat/>
    <w:uiPriority w:val="0"/>
    <w:pPr>
      <w:spacing w:after="120"/>
    </w:pPr>
  </w:style>
  <w:style w:type="paragraph" w:styleId="10">
    <w:name w:val="Date"/>
    <w:basedOn w:val="1"/>
    <w:next w:val="1"/>
    <w:link w:val="44"/>
    <w:unhideWhenUsed/>
    <w:qFormat/>
    <w:uiPriority w:val="0"/>
    <w:pPr>
      <w:ind w:left="100" w:leftChars="2500"/>
    </w:pPr>
  </w:style>
  <w:style w:type="paragraph" w:styleId="11">
    <w:name w:val="Body Text Indent 2"/>
    <w:basedOn w:val="1"/>
    <w:link w:val="29"/>
    <w:qFormat/>
    <w:uiPriority w:val="0"/>
    <w:pPr>
      <w:spacing w:after="120" w:line="480" w:lineRule="auto"/>
      <w:ind w:left="420" w:leftChars="200"/>
    </w:pPr>
    <w:rPr>
      <w:szCs w:val="24"/>
    </w:rPr>
  </w:style>
  <w:style w:type="paragraph" w:styleId="12">
    <w:name w:val="Balloon Text"/>
    <w:basedOn w:val="1"/>
    <w:link w:val="30"/>
    <w:semiHidden/>
    <w:qFormat/>
    <w:uiPriority w:val="0"/>
    <w:rPr>
      <w:sz w:val="18"/>
      <w:szCs w:val="18"/>
    </w:rPr>
  </w:style>
  <w:style w:type="paragraph" w:styleId="13">
    <w:name w:val="footer"/>
    <w:basedOn w:val="1"/>
    <w:link w:val="31"/>
    <w:qFormat/>
    <w:uiPriority w:val="99"/>
    <w:pPr>
      <w:tabs>
        <w:tab w:val="center" w:pos="4153"/>
        <w:tab w:val="right" w:pos="8306"/>
      </w:tabs>
      <w:snapToGrid w:val="0"/>
      <w:jc w:val="left"/>
    </w:pPr>
    <w:rPr>
      <w:sz w:val="18"/>
      <w:szCs w:val="18"/>
    </w:rPr>
  </w:style>
  <w:style w:type="paragraph" w:styleId="14">
    <w:name w:val="header"/>
    <w:basedOn w:val="1"/>
    <w:link w:val="32"/>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39"/>
    <w:pPr>
      <w:tabs>
        <w:tab w:val="right" w:leader="dot" w:pos="8296"/>
      </w:tabs>
      <w:spacing w:line="480" w:lineRule="auto"/>
    </w:pPr>
    <w:rPr>
      <w:rFonts w:ascii="Times New Roman" w:hAnsi="Times New Roman"/>
      <w:szCs w:val="20"/>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7">
    <w:name w:val="Title"/>
    <w:basedOn w:val="1"/>
    <w:next w:val="1"/>
    <w:link w:val="33"/>
    <w:qFormat/>
    <w:uiPriority w:val="0"/>
    <w:pPr>
      <w:spacing w:before="240" w:after="60"/>
      <w:jc w:val="center"/>
      <w:outlineLvl w:val="0"/>
    </w:pPr>
    <w:rPr>
      <w:rFonts w:ascii="Cambria" w:hAnsi="Cambria"/>
      <w:b/>
      <w:bCs/>
      <w:sz w:val="32"/>
      <w:szCs w:val="32"/>
    </w:rPr>
  </w:style>
  <w:style w:type="paragraph" w:styleId="18">
    <w:name w:val="annotation subject"/>
    <w:basedOn w:val="8"/>
    <w:next w:val="8"/>
    <w:link w:val="43"/>
    <w:qFormat/>
    <w:uiPriority w:val="0"/>
    <w:rPr>
      <w:b/>
      <w:bCs/>
    </w:rPr>
  </w:style>
  <w:style w:type="table" w:styleId="20">
    <w:name w:val="Table Grid"/>
    <w:basedOn w:val="19"/>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Strong"/>
    <w:qFormat/>
    <w:uiPriority w:val="0"/>
    <w:rPr>
      <w:rFonts w:cs="Times New Roman"/>
      <w:b/>
    </w:rPr>
  </w:style>
  <w:style w:type="character" w:styleId="23">
    <w:name w:val="page number"/>
    <w:qFormat/>
    <w:uiPriority w:val="0"/>
    <w:rPr>
      <w:rFonts w:cs="Times New Roman"/>
    </w:rPr>
  </w:style>
  <w:style w:type="character" w:styleId="24">
    <w:name w:val="FollowedHyperlink"/>
    <w:qFormat/>
    <w:uiPriority w:val="0"/>
    <w:rPr>
      <w:color w:val="800080"/>
      <w:u w:val="single"/>
    </w:rPr>
  </w:style>
  <w:style w:type="character" w:styleId="25">
    <w:name w:val="Hyperlink"/>
    <w:qFormat/>
    <w:uiPriority w:val="99"/>
    <w:rPr>
      <w:rFonts w:ascii="Verdana" w:hAnsi="Verdana" w:eastAsia="仿宋_GB2312" w:cs="Verdana"/>
      <w:color w:val="0000FF"/>
      <w:kern w:val="0"/>
      <w:sz w:val="24"/>
      <w:u w:val="single"/>
      <w:lang w:eastAsia="en-US"/>
    </w:rPr>
  </w:style>
  <w:style w:type="character" w:styleId="26">
    <w:name w:val="annotation reference"/>
    <w:qFormat/>
    <w:uiPriority w:val="0"/>
    <w:rPr>
      <w:sz w:val="21"/>
      <w:szCs w:val="21"/>
    </w:rPr>
  </w:style>
  <w:style w:type="character" w:customStyle="1" w:styleId="27">
    <w:name w:val="标题 1 Char"/>
    <w:link w:val="4"/>
    <w:qFormat/>
    <w:locked/>
    <w:uiPriority w:val="0"/>
    <w:rPr>
      <w:rFonts w:ascii="Calibri" w:hAnsi="Calibri" w:eastAsia="宋体"/>
      <w:b/>
      <w:bCs/>
      <w:kern w:val="44"/>
      <w:sz w:val="44"/>
      <w:szCs w:val="44"/>
      <w:lang w:val="en-US" w:eastAsia="zh-CN" w:bidi="ar-SA"/>
    </w:rPr>
  </w:style>
  <w:style w:type="character" w:customStyle="1" w:styleId="28">
    <w:name w:val="正文文本缩进 Char"/>
    <w:link w:val="3"/>
    <w:qFormat/>
    <w:locked/>
    <w:uiPriority w:val="0"/>
    <w:rPr>
      <w:rFonts w:eastAsia="仿宋_GB2312"/>
      <w:kern w:val="2"/>
      <w:sz w:val="32"/>
      <w:szCs w:val="24"/>
      <w:lang w:val="en-US" w:eastAsia="zh-CN" w:bidi="ar-SA"/>
    </w:rPr>
  </w:style>
  <w:style w:type="character" w:customStyle="1" w:styleId="29">
    <w:name w:val="正文文本缩进 2 Char"/>
    <w:link w:val="11"/>
    <w:semiHidden/>
    <w:qFormat/>
    <w:locked/>
    <w:uiPriority w:val="0"/>
    <w:rPr>
      <w:rFonts w:eastAsia="宋体"/>
      <w:kern w:val="2"/>
      <w:sz w:val="21"/>
      <w:szCs w:val="24"/>
      <w:lang w:val="en-US" w:eastAsia="zh-CN" w:bidi="ar-SA"/>
    </w:rPr>
  </w:style>
  <w:style w:type="character" w:customStyle="1" w:styleId="30">
    <w:name w:val="批注框文本 Char"/>
    <w:link w:val="12"/>
    <w:semiHidden/>
    <w:qFormat/>
    <w:locked/>
    <w:uiPriority w:val="0"/>
    <w:rPr>
      <w:rFonts w:ascii="Calibri" w:hAnsi="Calibri" w:eastAsia="宋体"/>
      <w:kern w:val="2"/>
      <w:sz w:val="18"/>
      <w:szCs w:val="18"/>
      <w:lang w:val="en-US" w:eastAsia="zh-CN" w:bidi="ar-SA"/>
    </w:rPr>
  </w:style>
  <w:style w:type="character" w:customStyle="1" w:styleId="31">
    <w:name w:val="页脚 Char"/>
    <w:link w:val="13"/>
    <w:qFormat/>
    <w:locked/>
    <w:uiPriority w:val="99"/>
    <w:rPr>
      <w:rFonts w:ascii="Calibri" w:hAnsi="Calibri" w:eastAsia="宋体"/>
      <w:kern w:val="2"/>
      <w:sz w:val="18"/>
      <w:szCs w:val="18"/>
      <w:lang w:val="en-US" w:eastAsia="zh-CN" w:bidi="ar-SA"/>
    </w:rPr>
  </w:style>
  <w:style w:type="character" w:customStyle="1" w:styleId="32">
    <w:name w:val="页眉 Char"/>
    <w:link w:val="14"/>
    <w:qFormat/>
    <w:locked/>
    <w:uiPriority w:val="99"/>
    <w:rPr>
      <w:rFonts w:ascii="Calibri" w:hAnsi="Calibri" w:eastAsia="宋体"/>
      <w:kern w:val="2"/>
      <w:sz w:val="18"/>
      <w:szCs w:val="18"/>
      <w:lang w:val="en-US" w:eastAsia="zh-CN" w:bidi="ar-SA"/>
    </w:rPr>
  </w:style>
  <w:style w:type="character" w:customStyle="1" w:styleId="33">
    <w:name w:val="标题 Char"/>
    <w:link w:val="17"/>
    <w:qFormat/>
    <w:locked/>
    <w:uiPriority w:val="0"/>
    <w:rPr>
      <w:rFonts w:ascii="Cambria" w:hAnsi="Cambria" w:eastAsia="宋体"/>
      <w:b/>
      <w:bCs/>
      <w:kern w:val="2"/>
      <w:sz w:val="32"/>
      <w:szCs w:val="32"/>
      <w:lang w:val="en-US" w:eastAsia="zh-CN" w:bidi="ar-SA"/>
    </w:rPr>
  </w:style>
  <w:style w:type="paragraph" w:customStyle="1" w:styleId="34">
    <w:name w:val="样式 首行缩进:  2 字符"/>
    <w:basedOn w:val="1"/>
    <w:qFormat/>
    <w:uiPriority w:val="0"/>
    <w:pPr>
      <w:spacing w:before="60" w:after="60"/>
      <w:ind w:firstLine="480" w:firstLineChars="200"/>
    </w:pPr>
    <w:rPr>
      <w:rFonts w:ascii="Times New Roman" w:hAnsi="Times New Roman"/>
      <w:sz w:val="24"/>
      <w:szCs w:val="20"/>
    </w:rPr>
  </w:style>
  <w:style w:type="paragraph" w:customStyle="1" w:styleId="3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6">
    <w:name w:val="Char"/>
    <w:basedOn w:val="1"/>
    <w:qFormat/>
    <w:uiPriority w:val="0"/>
    <w:pPr>
      <w:widowControl/>
      <w:spacing w:after="160" w:line="240" w:lineRule="exact"/>
      <w:jc w:val="left"/>
    </w:pPr>
    <w:rPr>
      <w:rFonts w:ascii="Verdana" w:hAnsi="Verdana" w:eastAsia="仿宋_GB2312" w:cs="Verdana"/>
      <w:kern w:val="0"/>
      <w:sz w:val="24"/>
      <w:szCs w:val="20"/>
      <w:lang w:eastAsia="en-US"/>
    </w:rPr>
  </w:style>
  <w:style w:type="paragraph" w:customStyle="1" w:styleId="37">
    <w:name w:val="Char1 Char Char Char Char Char1 Char"/>
    <w:basedOn w:val="1"/>
    <w:qFormat/>
    <w:uiPriority w:val="0"/>
    <w:pPr>
      <w:widowControl/>
      <w:spacing w:after="160" w:line="240" w:lineRule="exact"/>
      <w:jc w:val="left"/>
    </w:pPr>
    <w:rPr>
      <w:rFonts w:ascii="Times New Roman" w:hAnsi="Times New Roman"/>
      <w:szCs w:val="24"/>
    </w:rPr>
  </w:style>
  <w:style w:type="paragraph" w:customStyle="1" w:styleId="38">
    <w:name w:val="Char1"/>
    <w:basedOn w:val="1"/>
    <w:qFormat/>
    <w:uiPriority w:val="0"/>
    <w:pPr>
      <w:widowControl/>
      <w:spacing w:after="160" w:line="240" w:lineRule="exact"/>
      <w:jc w:val="left"/>
    </w:pPr>
    <w:rPr>
      <w:rFonts w:ascii="Verdana" w:hAnsi="Verdana" w:eastAsia="仿宋_GB2312" w:cs="Verdana"/>
      <w:kern w:val="0"/>
      <w:sz w:val="24"/>
      <w:szCs w:val="20"/>
      <w:lang w:eastAsia="en-US"/>
    </w:rPr>
  </w:style>
  <w:style w:type="paragraph" w:customStyle="1" w:styleId="39">
    <w:name w:val="TOC 标题1"/>
    <w:basedOn w:val="4"/>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40">
    <w:name w:val="列出段落1"/>
    <w:basedOn w:val="1"/>
    <w:qFormat/>
    <w:uiPriority w:val="0"/>
    <w:pPr>
      <w:ind w:firstLine="420" w:firstLineChars="200"/>
    </w:pPr>
  </w:style>
  <w:style w:type="character" w:customStyle="1" w:styleId="41">
    <w:name w:val="apple-converted-space"/>
    <w:qFormat/>
    <w:uiPriority w:val="0"/>
    <w:rPr>
      <w:rFonts w:cs="Times New Roman"/>
    </w:rPr>
  </w:style>
  <w:style w:type="character" w:customStyle="1" w:styleId="42">
    <w:name w:val="批注文字 Char"/>
    <w:link w:val="8"/>
    <w:qFormat/>
    <w:uiPriority w:val="0"/>
    <w:rPr>
      <w:rFonts w:ascii="Calibri" w:hAnsi="Calibri"/>
      <w:kern w:val="2"/>
      <w:sz w:val="21"/>
      <w:szCs w:val="22"/>
    </w:rPr>
  </w:style>
  <w:style w:type="character" w:customStyle="1" w:styleId="43">
    <w:name w:val="批注主题 Char"/>
    <w:link w:val="18"/>
    <w:qFormat/>
    <w:uiPriority w:val="0"/>
    <w:rPr>
      <w:rFonts w:ascii="Calibri" w:hAnsi="Calibri"/>
      <w:b/>
      <w:bCs/>
      <w:kern w:val="2"/>
      <w:sz w:val="21"/>
      <w:szCs w:val="22"/>
    </w:rPr>
  </w:style>
  <w:style w:type="character" w:customStyle="1" w:styleId="44">
    <w:name w:val="日期 Char"/>
    <w:basedOn w:val="21"/>
    <w:link w:val="10"/>
    <w:semiHidden/>
    <w:qFormat/>
    <w:uiPriority w:val="0"/>
    <w:rPr>
      <w:rFonts w:ascii="Calibri" w:hAnsi="Calibri"/>
      <w:kern w:val="2"/>
      <w:sz w:val="21"/>
      <w:szCs w:val="22"/>
    </w:rPr>
  </w:style>
  <w:style w:type="paragraph" w:customStyle="1" w:styleId="45">
    <w:name w:val="列出段落2"/>
    <w:basedOn w:val="1"/>
    <w:qFormat/>
    <w:uiPriority w:val="34"/>
    <w:pPr>
      <w:ind w:firstLine="420" w:firstLineChars="200"/>
    </w:pPr>
  </w:style>
  <w:style w:type="paragraph" w:styleId="46">
    <w:name w:val="List Paragraph"/>
    <w:basedOn w:val="1"/>
    <w:qFormat/>
    <w:uiPriority w:val="1"/>
    <w:pPr>
      <w:ind w:firstLine="420" w:firstLineChars="200"/>
    </w:pPr>
  </w:style>
  <w:style w:type="character" w:customStyle="1" w:styleId="47">
    <w:name w:val="标题 3 Char"/>
    <w:basedOn w:val="21"/>
    <w:link w:val="6"/>
    <w:semiHidden/>
    <w:qFormat/>
    <w:uiPriority w:val="0"/>
    <w:rPr>
      <w:rFonts w:ascii="Calibri" w:hAnsi="Calibri"/>
      <w:b/>
      <w:bCs/>
      <w:kern w:val="2"/>
      <w:sz w:val="32"/>
      <w:szCs w:val="32"/>
    </w:rPr>
  </w:style>
  <w:style w:type="character" w:customStyle="1" w:styleId="48">
    <w:name w:val="标题 2 Char"/>
    <w:basedOn w:val="21"/>
    <w:link w:val="5"/>
    <w:semiHidden/>
    <w:qFormat/>
    <w:uiPriority w:val="0"/>
    <w:rPr>
      <w:rFonts w:asciiTheme="majorHAnsi" w:hAnsiTheme="majorHAnsi" w:eastAsiaTheme="majorEastAsia" w:cstheme="majorBidi"/>
      <w:b/>
      <w:bCs/>
      <w:kern w:val="2"/>
      <w:sz w:val="32"/>
      <w:szCs w:val="32"/>
    </w:rPr>
  </w:style>
  <w:style w:type="character" w:customStyle="1" w:styleId="49">
    <w:name w:val="正文文本 Char"/>
    <w:basedOn w:val="21"/>
    <w:link w:val="9"/>
    <w:qFormat/>
    <w:uiPriority w:val="0"/>
    <w:rPr>
      <w:rFonts w:ascii="Calibri" w:hAnsi="Calibri"/>
      <w:kern w:val="2"/>
      <w:sz w:val="21"/>
      <w:szCs w:val="22"/>
    </w:rPr>
  </w:style>
  <w:style w:type="character" w:customStyle="1" w:styleId="50">
    <w:name w:val="文档结构图 Char"/>
    <w:basedOn w:val="21"/>
    <w:link w:val="7"/>
    <w:semiHidden/>
    <w:qFormat/>
    <w:uiPriority w:val="0"/>
    <w:rPr>
      <w:rFonts w:ascii="宋体" w:hAnsi="Calibri"/>
      <w:kern w:val="2"/>
      <w:sz w:val="18"/>
      <w:szCs w:val="18"/>
    </w:rPr>
  </w:style>
  <w:style w:type="table" w:customStyle="1" w:styleId="51">
    <w:name w:val="Table Normal"/>
    <w:semiHidden/>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table" w:customStyle="1" w:styleId="52">
    <w:name w:val="网格型1"/>
    <w:basedOn w:val="19"/>
    <w:qFormat/>
    <w:uiPriority w:val="59"/>
    <w:rPr>
      <w:rFonts w:ascii="Calibri" w:hAnsi="Calibri"/>
      <w:sz w:val="21"/>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53">
    <w:name w:val="Table Paragraph"/>
    <w:basedOn w:val="1"/>
    <w:qFormat/>
    <w:uiPriority w:val="1"/>
    <w:pPr>
      <w:autoSpaceDE w:val="0"/>
      <w:autoSpaceDN w:val="0"/>
      <w:jc w:val="left"/>
    </w:pPr>
    <w:rPr>
      <w:rFonts w:ascii="宋体" w:hAnsi="宋体" w:cs="宋体"/>
      <w:kern w:val="0"/>
      <w:sz w:val="22"/>
    </w:rPr>
  </w:style>
  <w:style w:type="paragraph" w:customStyle="1" w:styleId="54">
    <w:name w:val="修订1"/>
    <w:hidden/>
    <w:semiHidden/>
    <w:qFormat/>
    <w:uiPriority w:val="99"/>
    <w:rPr>
      <w:rFonts w:ascii="Calibri" w:hAnsi="Calibri" w:eastAsia="宋体" w:cs="Times New Roman"/>
      <w:kern w:val="2"/>
      <w:sz w:val="21"/>
      <w:szCs w:val="22"/>
      <w:lang w:val="en-US" w:eastAsia="zh-CN" w:bidi="ar-SA"/>
    </w:rPr>
  </w:style>
  <w:style w:type="paragraph" w:customStyle="1" w:styleId="55">
    <w:name w:val="WPSOffice手动目录 1"/>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3.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685524-1755-4948-AD36-F3639734A36F}">
  <ds:schemaRefs/>
</ds:datastoreItem>
</file>

<file path=customXml/itemProps3.xml><?xml version="1.0" encoding="utf-8"?>
<ds:datastoreItem xmlns:ds="http://schemas.openxmlformats.org/officeDocument/2006/customXml" ds:itemID="{F02BFA7A-AD44-481A-97CD-ADA2A6463E0D}">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24</Pages>
  <Words>1477</Words>
  <Characters>8420</Characters>
  <Lines>70</Lines>
  <Paragraphs>19</Paragraphs>
  <TotalTime>1</TotalTime>
  <ScaleCrop>false</ScaleCrop>
  <LinksUpToDate>false</LinksUpToDate>
  <CharactersWithSpaces>9878</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北京北航天宇长鹰无人机科技有限公司增资8亿元增资文件</dc:title>
  <dc:creator>User</dc:creator>
  <cp:lastModifiedBy>丫丫</cp:lastModifiedBy>
  <cp:revision>144</cp:revision>
  <cp:lastPrinted>2021-08-30T05:26:00Z</cp:lastPrinted>
  <dcterms:created xsi:type="dcterms:W3CDTF">2021-06-08T09:12:00Z</dcterms:created>
  <dcterms:modified xsi:type="dcterms:W3CDTF">2021-08-30T05:30:39Z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2D972E66E42643A99B6068B807845BF6</vt:lpwstr>
  </property>
</Properties>
</file>