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
    <w:p/>
    <w:p/>
    <w:p/>
    <w:p/>
    <w:p/>
    <w:p/>
    <w:p/>
    <w:p>
      <w:pPr>
        <w:spacing w:line="360" w:lineRule="auto"/>
        <w:jc w:val="center"/>
        <w:rPr>
          <w:rFonts w:ascii="黑体" w:eastAsia="黑体"/>
          <w:b/>
          <w:spacing w:val="4"/>
          <w:sz w:val="46"/>
          <w:szCs w:val="46"/>
        </w:rPr>
      </w:pPr>
      <w:bookmarkStart w:id="0" w:name="_Hlk527636170"/>
      <w:r>
        <w:rPr>
          <w:rFonts w:hint="eastAsia" w:ascii="黑体" w:eastAsia="黑体"/>
          <w:b/>
          <w:spacing w:val="4"/>
          <w:sz w:val="46"/>
          <w:szCs w:val="46"/>
        </w:rPr>
        <w:t>浙江海正博锐生物</w:t>
      </w:r>
      <w:r>
        <w:rPr>
          <w:rFonts w:ascii="黑体" w:eastAsia="黑体"/>
          <w:b/>
          <w:spacing w:val="4"/>
          <w:sz w:val="46"/>
          <w:szCs w:val="46"/>
        </w:rPr>
        <w:t>制药</w:t>
      </w:r>
      <w:r>
        <w:rPr>
          <w:rFonts w:hint="eastAsia" w:ascii="黑体" w:eastAsia="黑体"/>
          <w:b/>
          <w:spacing w:val="4"/>
          <w:sz w:val="46"/>
          <w:szCs w:val="46"/>
        </w:rPr>
        <w:t>有限公司</w:t>
      </w:r>
    </w:p>
    <w:p>
      <w:pPr>
        <w:spacing w:line="360" w:lineRule="auto"/>
        <w:jc w:val="center"/>
        <w:rPr>
          <w:rFonts w:ascii="黑体" w:eastAsia="黑体"/>
          <w:b/>
          <w:spacing w:val="4"/>
          <w:sz w:val="46"/>
          <w:szCs w:val="46"/>
        </w:rPr>
      </w:pPr>
      <w:r>
        <w:rPr>
          <w:rFonts w:hint="eastAsia" w:ascii="黑体" w:eastAsia="黑体"/>
          <w:b/>
          <w:spacing w:val="4"/>
          <w:sz w:val="46"/>
          <w:szCs w:val="46"/>
        </w:rPr>
        <w:t>新增</w:t>
      </w:r>
      <w:r>
        <w:rPr>
          <w:rFonts w:ascii="黑体" w:eastAsia="黑体"/>
          <w:b/>
          <w:spacing w:val="4"/>
          <w:sz w:val="46"/>
          <w:szCs w:val="46"/>
        </w:rPr>
        <w:t>8,928.5714</w:t>
      </w:r>
      <w:r>
        <w:rPr>
          <w:rFonts w:hint="eastAsia" w:ascii="黑体" w:eastAsia="黑体"/>
          <w:b/>
          <w:spacing w:val="4"/>
          <w:sz w:val="46"/>
          <w:szCs w:val="46"/>
        </w:rPr>
        <w:t>万元注册资本</w:t>
      </w:r>
      <w:bookmarkEnd w:id="0"/>
    </w:p>
    <w:p/>
    <w:p/>
    <w:p>
      <w:pPr>
        <w:spacing w:line="360" w:lineRule="auto"/>
        <w:jc w:val="center"/>
        <w:rPr>
          <w:rFonts w:ascii="黑体" w:eastAsia="黑体"/>
          <w:b/>
          <w:spacing w:val="4"/>
          <w:sz w:val="46"/>
          <w:szCs w:val="46"/>
        </w:rPr>
      </w:pPr>
    </w:p>
    <w:p>
      <w:pPr>
        <w:spacing w:line="360" w:lineRule="auto"/>
        <w:jc w:val="center"/>
        <w:rPr>
          <w:rFonts w:ascii="黑体" w:eastAsia="黑体"/>
          <w:b/>
          <w:sz w:val="2"/>
          <w:szCs w:val="52"/>
        </w:rPr>
      </w:pPr>
    </w:p>
    <w:p>
      <w:pPr>
        <w:spacing w:line="360" w:lineRule="auto"/>
        <w:jc w:val="center"/>
        <w:rPr>
          <w:rFonts w:ascii="黑体" w:eastAsia="黑体"/>
          <w:b/>
          <w:sz w:val="68"/>
          <w:szCs w:val="52"/>
        </w:rPr>
      </w:pPr>
      <w:r>
        <w:rPr>
          <w:rFonts w:hint="eastAsia" w:ascii="黑体" w:eastAsia="黑体"/>
          <w:b/>
          <w:sz w:val="68"/>
          <w:szCs w:val="52"/>
        </w:rPr>
        <w:t>增资文件</w:t>
      </w:r>
    </w:p>
    <w:p>
      <w:pPr>
        <w:spacing w:line="360" w:lineRule="auto"/>
        <w:jc w:val="center"/>
        <w:rPr>
          <w:rFonts w:ascii="黑体" w:hAnsi="宋体" w:eastAsia="黑体"/>
          <w:b/>
          <w:sz w:val="32"/>
          <w:szCs w:val="32"/>
        </w:rPr>
      </w:pPr>
    </w:p>
    <w:p>
      <w:pPr>
        <w:spacing w:line="360" w:lineRule="auto"/>
        <w:jc w:val="center"/>
        <w:rPr>
          <w:rFonts w:ascii="黑体" w:hAnsi="宋体" w:eastAsia="黑体"/>
          <w:b/>
          <w:sz w:val="32"/>
          <w:szCs w:val="32"/>
        </w:rPr>
      </w:pPr>
    </w:p>
    <w:p>
      <w:pPr>
        <w:spacing w:line="360" w:lineRule="auto"/>
        <w:jc w:val="center"/>
        <w:rPr>
          <w:rFonts w:ascii="黑体" w:hAnsi="宋体" w:eastAsia="黑体"/>
          <w:b/>
          <w:sz w:val="32"/>
          <w:szCs w:val="32"/>
        </w:rPr>
      </w:pPr>
      <w:r>
        <w:rPr>
          <w:rFonts w:hint="eastAsia" w:ascii="黑体" w:hAnsi="宋体" w:eastAsia="黑体"/>
          <w:b/>
          <w:sz w:val="32"/>
          <w:szCs w:val="32"/>
        </w:rPr>
        <w:t>台交所挂〔2019〕16号</w:t>
      </w:r>
    </w:p>
    <w:p/>
    <w:p/>
    <w:p/>
    <w:p/>
    <w:p/>
    <w:p/>
    <w:p/>
    <w:p/>
    <w:p/>
    <w:p/>
    <w:p>
      <w:pPr>
        <w:ind w:left="-540" w:leftChars="-257" w:right="-693" w:rightChars="-330"/>
        <w:rPr>
          <w:b/>
          <w:sz w:val="18"/>
        </w:rPr>
      </w:pPr>
      <w:r>
        <w:rPr>
          <w:rFonts w:hint="eastAsia"/>
          <w:b/>
          <w:sz w:val="18"/>
        </w:rPr>
        <w:t>◎台州市产权交易所有限公司◎地址：台州市市府大道</w:t>
      </w:r>
      <w:r>
        <w:rPr>
          <w:b/>
          <w:sz w:val="18"/>
        </w:rPr>
        <w:t>777</w:t>
      </w:r>
      <w:r>
        <w:rPr>
          <w:rFonts w:hint="eastAsia"/>
          <w:b/>
          <w:sz w:val="18"/>
        </w:rPr>
        <w:t>号浙江民泰商业银行五楼◎电话：</w:t>
      </w:r>
      <w:r>
        <w:rPr>
          <w:b/>
          <w:sz w:val="18"/>
        </w:rPr>
        <w:t xml:space="preserve"> 88685180</w:t>
      </w:r>
      <w:r>
        <w:rPr>
          <w:rFonts w:hint="eastAsia"/>
          <w:b/>
          <w:sz w:val="18"/>
        </w:rPr>
        <w:t xml:space="preserve">   </w:t>
      </w:r>
      <w:r>
        <w:rPr>
          <w:b/>
          <w:sz w:val="18"/>
        </w:rPr>
        <w:t>88685177</w:t>
      </w:r>
      <w:r>
        <w:rPr>
          <w:rFonts w:hint="eastAsia"/>
          <w:b/>
          <w:sz w:val="18"/>
        </w:rPr>
        <w:t>◎</w:t>
      </w:r>
    </w:p>
    <w:p>
      <w:pPr>
        <w:ind w:left="-540" w:leftChars="-257" w:right="-693" w:rightChars="-330"/>
        <w:rPr>
          <w:b/>
          <w:sz w:val="18"/>
          <w:szCs w:val="18"/>
        </w:rPr>
      </w:pPr>
      <w:r>
        <w:rPr>
          <w:rFonts w:hint="eastAsia"/>
          <w:b/>
          <w:sz w:val="18"/>
        </w:rPr>
        <w:t>网址：</w:t>
      </w:r>
      <w:r>
        <w:fldChar w:fldCharType="begin"/>
      </w:r>
      <w:r>
        <w:instrText xml:space="preserve"> HYPERLINK "http://www.tzpre.com" </w:instrText>
      </w:r>
      <w:r>
        <w:fldChar w:fldCharType="separate"/>
      </w:r>
      <w:r>
        <w:rPr>
          <w:rStyle w:val="23"/>
          <w:rFonts w:ascii="Calibri" w:hAnsi="Calibri"/>
          <w:b/>
          <w:color w:val="auto"/>
          <w:kern w:val="2"/>
          <w:sz w:val="18"/>
          <w:lang w:eastAsia="zh-CN"/>
        </w:rPr>
        <w:t>www.tzpre.com</w:t>
      </w:r>
      <w:r>
        <w:rPr>
          <w:rStyle w:val="23"/>
          <w:rFonts w:ascii="Calibri" w:hAnsi="Calibri"/>
          <w:b/>
          <w:color w:val="auto"/>
          <w:kern w:val="2"/>
          <w:sz w:val="18"/>
          <w:lang w:eastAsia="zh-CN"/>
        </w:rPr>
        <w:fldChar w:fldCharType="end"/>
      </w:r>
    </w:p>
    <w:p>
      <w:pPr>
        <w:widowControl/>
        <w:jc w:val="left"/>
        <w:rPr>
          <w:b/>
          <w:sz w:val="18"/>
          <w:szCs w:val="18"/>
        </w:rPr>
      </w:pPr>
      <w:r>
        <w:rPr>
          <w:b/>
          <w:sz w:val="18"/>
          <w:szCs w:val="18"/>
        </w:rPr>
        <w:br w:type="page"/>
      </w:r>
    </w:p>
    <w:p>
      <w:pPr>
        <w:ind w:left="-540" w:leftChars="-257" w:right="-693" w:rightChars="-330"/>
        <w:rPr>
          <w:b/>
          <w:sz w:val="18"/>
          <w:szCs w:val="18"/>
        </w:rPr>
      </w:pPr>
    </w:p>
    <w:p>
      <w:pPr>
        <w:pStyle w:val="37"/>
        <w:jc w:val="center"/>
        <w:rPr>
          <w:color w:val="auto"/>
          <w:sz w:val="52"/>
          <w:szCs w:val="52"/>
        </w:rPr>
      </w:pPr>
      <w:r>
        <w:rPr>
          <w:rFonts w:hint="eastAsia"/>
          <w:color w:val="auto"/>
          <w:sz w:val="52"/>
          <w:szCs w:val="52"/>
          <w:lang w:val="zh-CN"/>
        </w:rPr>
        <w:t>目  录</w:t>
      </w:r>
    </w:p>
    <w:p>
      <w:pPr>
        <w:pStyle w:val="14"/>
        <w:tabs>
          <w:tab w:val="right" w:leader="dot" w:pos="8306"/>
          <w:tab w:val="clear" w:pos="8296"/>
        </w:tabs>
      </w:pPr>
      <w:r>
        <w:rPr>
          <w:rStyle w:val="23"/>
          <w:color w:val="auto"/>
          <w:sz w:val="32"/>
        </w:rPr>
        <w:fldChar w:fldCharType="begin"/>
      </w:r>
      <w:r>
        <w:rPr>
          <w:rStyle w:val="23"/>
          <w:color w:val="auto"/>
          <w:sz w:val="32"/>
          <w:szCs w:val="32"/>
        </w:rPr>
        <w:instrText xml:space="preserve"> TOC \o "1-3" \h \z \u </w:instrText>
      </w:r>
      <w:r>
        <w:rPr>
          <w:rStyle w:val="23"/>
          <w:color w:val="auto"/>
          <w:sz w:val="32"/>
        </w:rPr>
        <w:fldChar w:fldCharType="separate"/>
      </w:r>
      <w:r>
        <w:fldChar w:fldCharType="begin"/>
      </w:r>
      <w:r>
        <w:instrText xml:space="preserve"> HYPERLINK \l "_Toc11993" </w:instrText>
      </w:r>
      <w:r>
        <w:fldChar w:fldCharType="separate"/>
      </w:r>
      <w:r>
        <w:rPr>
          <w:rFonts w:hint="eastAsia"/>
          <w:szCs w:val="32"/>
        </w:rPr>
        <w:t>增资公告</w:t>
      </w:r>
      <w:r>
        <w:tab/>
      </w:r>
      <w:r>
        <w:fldChar w:fldCharType="begin"/>
      </w:r>
      <w:r>
        <w:instrText xml:space="preserve"> PAGEREF _Toc11993 </w:instrText>
      </w:r>
      <w:r>
        <w:fldChar w:fldCharType="separate"/>
      </w:r>
      <w:r>
        <w:t>3</w:t>
      </w:r>
      <w:r>
        <w:fldChar w:fldCharType="end"/>
      </w:r>
      <w:r>
        <w:fldChar w:fldCharType="end"/>
      </w:r>
    </w:p>
    <w:p>
      <w:pPr>
        <w:pStyle w:val="14"/>
        <w:tabs>
          <w:tab w:val="right" w:leader="dot" w:pos="8306"/>
          <w:tab w:val="clear" w:pos="8296"/>
        </w:tabs>
      </w:pPr>
      <w:r>
        <w:fldChar w:fldCharType="begin"/>
      </w:r>
      <w:r>
        <w:instrText xml:space="preserve"> HYPERLINK \l "_Toc14337" </w:instrText>
      </w:r>
      <w:r>
        <w:fldChar w:fldCharType="separate"/>
      </w:r>
      <w:r>
        <w:rPr>
          <w:rFonts w:hint="eastAsia"/>
          <w:szCs w:val="32"/>
        </w:rPr>
        <w:t>须知及相关说明</w:t>
      </w:r>
      <w:r>
        <w:tab/>
      </w:r>
      <w:r>
        <w:fldChar w:fldCharType="begin"/>
      </w:r>
      <w:r>
        <w:instrText xml:space="preserve"> PAGEREF _Toc14337 </w:instrText>
      </w:r>
      <w:r>
        <w:fldChar w:fldCharType="separate"/>
      </w:r>
      <w:r>
        <w:t>6</w:t>
      </w:r>
      <w:r>
        <w:fldChar w:fldCharType="end"/>
      </w:r>
      <w:r>
        <w:fldChar w:fldCharType="end"/>
      </w:r>
    </w:p>
    <w:p>
      <w:pPr>
        <w:pStyle w:val="14"/>
        <w:tabs>
          <w:tab w:val="right" w:leader="dot" w:pos="8306"/>
          <w:tab w:val="clear" w:pos="8296"/>
        </w:tabs>
      </w:pPr>
      <w:r>
        <w:fldChar w:fldCharType="begin"/>
      </w:r>
      <w:r>
        <w:instrText xml:space="preserve"> HYPERLINK \l "_Toc10054" </w:instrText>
      </w:r>
      <w:r>
        <w:fldChar w:fldCharType="separate"/>
      </w:r>
      <w:r>
        <w:rPr>
          <w:rFonts w:hint="eastAsia"/>
          <w:szCs w:val="32"/>
        </w:rPr>
        <w:t>增资扩股投资申请书</w:t>
      </w:r>
      <w:r>
        <w:tab/>
      </w:r>
      <w:r>
        <w:fldChar w:fldCharType="begin"/>
      </w:r>
      <w:r>
        <w:instrText xml:space="preserve"> PAGEREF _Toc10054 </w:instrText>
      </w:r>
      <w:r>
        <w:fldChar w:fldCharType="separate"/>
      </w:r>
      <w:r>
        <w:t>14</w:t>
      </w:r>
      <w:r>
        <w:fldChar w:fldCharType="end"/>
      </w:r>
      <w:r>
        <w:fldChar w:fldCharType="end"/>
      </w:r>
    </w:p>
    <w:p>
      <w:pPr>
        <w:pStyle w:val="14"/>
        <w:tabs>
          <w:tab w:val="right" w:leader="dot" w:pos="8306"/>
          <w:tab w:val="clear" w:pos="8296"/>
        </w:tabs>
      </w:pPr>
      <w:r>
        <w:fldChar w:fldCharType="begin"/>
      </w:r>
      <w:r>
        <w:instrText xml:space="preserve"> HYPERLINK \l "_Toc11247" </w:instrText>
      </w:r>
      <w:r>
        <w:fldChar w:fldCharType="separate"/>
      </w:r>
      <w:r>
        <w:rPr>
          <w:rFonts w:hint="eastAsia"/>
          <w:szCs w:val="32"/>
        </w:rPr>
        <w:t>认购风险告知书</w:t>
      </w:r>
      <w:r>
        <w:tab/>
      </w:r>
      <w:r>
        <w:fldChar w:fldCharType="begin"/>
      </w:r>
      <w:r>
        <w:instrText xml:space="preserve"> PAGEREF _Toc11247 </w:instrText>
      </w:r>
      <w:r>
        <w:fldChar w:fldCharType="separate"/>
      </w:r>
      <w:r>
        <w:t>18</w:t>
      </w:r>
      <w:r>
        <w:fldChar w:fldCharType="end"/>
      </w:r>
      <w:r>
        <w:fldChar w:fldCharType="end"/>
      </w:r>
    </w:p>
    <w:p>
      <w:pPr>
        <w:pStyle w:val="14"/>
        <w:tabs>
          <w:tab w:val="right" w:leader="dot" w:pos="8306"/>
          <w:tab w:val="clear" w:pos="8296"/>
        </w:tabs>
      </w:pPr>
      <w:r>
        <w:fldChar w:fldCharType="begin"/>
      </w:r>
      <w:r>
        <w:instrText xml:space="preserve"> HYPERLINK \l "_Toc3705" </w:instrText>
      </w:r>
      <w:r>
        <w:fldChar w:fldCharType="separate"/>
      </w:r>
      <w:r>
        <w:rPr>
          <w:rFonts w:hint="eastAsia"/>
          <w:szCs w:val="32"/>
        </w:rPr>
        <w:t>意向投资方资格确认通知书</w:t>
      </w:r>
      <w:r>
        <w:tab/>
      </w:r>
      <w:r>
        <w:fldChar w:fldCharType="begin"/>
      </w:r>
      <w:r>
        <w:instrText xml:space="preserve"> PAGEREF _Toc3705 </w:instrText>
      </w:r>
      <w:r>
        <w:fldChar w:fldCharType="separate"/>
      </w:r>
      <w:r>
        <w:t>20</w:t>
      </w:r>
      <w:r>
        <w:fldChar w:fldCharType="end"/>
      </w:r>
      <w:r>
        <w:fldChar w:fldCharType="end"/>
      </w:r>
    </w:p>
    <w:p>
      <w:pPr>
        <w:pStyle w:val="14"/>
        <w:tabs>
          <w:tab w:val="right" w:leader="dot" w:pos="8306"/>
          <w:tab w:val="clear" w:pos="8296"/>
        </w:tabs>
      </w:pPr>
      <w:r>
        <w:fldChar w:fldCharType="begin"/>
      </w:r>
      <w:r>
        <w:instrText xml:space="preserve"> HYPERLINK \l "_Toc7551" </w:instrText>
      </w:r>
      <w:r>
        <w:fldChar w:fldCharType="separate"/>
      </w:r>
      <w:r>
        <w:rPr>
          <w:rFonts w:hint="eastAsia"/>
          <w:szCs w:val="32"/>
        </w:rPr>
        <w:t>增资认购报价单</w:t>
      </w:r>
      <w:r>
        <w:tab/>
      </w:r>
      <w:r>
        <w:fldChar w:fldCharType="begin"/>
      </w:r>
      <w:r>
        <w:instrText xml:space="preserve"> PAGEREF _Toc7551 </w:instrText>
      </w:r>
      <w:r>
        <w:fldChar w:fldCharType="separate"/>
      </w:r>
      <w:r>
        <w:t>21</w:t>
      </w:r>
      <w:r>
        <w:fldChar w:fldCharType="end"/>
      </w:r>
      <w:r>
        <w:fldChar w:fldCharType="end"/>
      </w:r>
    </w:p>
    <w:p>
      <w:pPr>
        <w:pStyle w:val="14"/>
        <w:tabs>
          <w:tab w:val="right" w:leader="dot" w:pos="8306"/>
          <w:tab w:val="clear" w:pos="8296"/>
        </w:tabs>
      </w:pPr>
      <w:r>
        <w:fldChar w:fldCharType="begin"/>
      </w:r>
      <w:r>
        <w:instrText xml:space="preserve"> HYPERLINK \l "_Toc29683" </w:instrText>
      </w:r>
      <w:r>
        <w:fldChar w:fldCharType="separate"/>
      </w:r>
      <w:r>
        <w:rPr>
          <w:rFonts w:hint="eastAsia"/>
        </w:rPr>
        <w:t>网络竞价规则</w:t>
      </w:r>
      <w:r>
        <w:tab/>
      </w:r>
      <w:r>
        <w:fldChar w:fldCharType="begin"/>
      </w:r>
      <w:r>
        <w:instrText xml:space="preserve"> PAGEREF _Toc29683 </w:instrText>
      </w:r>
      <w:r>
        <w:fldChar w:fldCharType="separate"/>
      </w:r>
      <w:r>
        <w:t>23</w:t>
      </w:r>
      <w:r>
        <w:fldChar w:fldCharType="end"/>
      </w:r>
      <w:r>
        <w:fldChar w:fldCharType="end"/>
      </w:r>
    </w:p>
    <w:p>
      <w:pPr>
        <w:pStyle w:val="14"/>
        <w:tabs>
          <w:tab w:val="right" w:leader="dot" w:pos="8306"/>
          <w:tab w:val="clear" w:pos="8296"/>
        </w:tabs>
      </w:pPr>
      <w:r>
        <w:fldChar w:fldCharType="begin"/>
      </w:r>
      <w:r>
        <w:instrText xml:space="preserve"> HYPERLINK \l "_Toc8724" </w:instrText>
      </w:r>
      <w:r>
        <w:fldChar w:fldCharType="separate"/>
      </w:r>
      <w:r>
        <w:rPr>
          <w:rFonts w:hint="eastAsia"/>
          <w:szCs w:val="32"/>
        </w:rPr>
        <w:t>增资确认书</w:t>
      </w:r>
      <w:r>
        <w:tab/>
      </w:r>
      <w:r>
        <w:fldChar w:fldCharType="begin"/>
      </w:r>
      <w:r>
        <w:instrText xml:space="preserve"> PAGEREF _Toc8724 </w:instrText>
      </w:r>
      <w:r>
        <w:fldChar w:fldCharType="separate"/>
      </w:r>
      <w:r>
        <w:t>28</w:t>
      </w:r>
      <w:r>
        <w:fldChar w:fldCharType="end"/>
      </w:r>
      <w:r>
        <w:fldChar w:fldCharType="end"/>
      </w:r>
    </w:p>
    <w:p>
      <w:pPr>
        <w:pStyle w:val="14"/>
        <w:tabs>
          <w:tab w:val="right" w:leader="dot" w:pos="8306"/>
          <w:tab w:val="clear" w:pos="8296"/>
        </w:tabs>
      </w:pPr>
      <w:r>
        <w:fldChar w:fldCharType="begin"/>
      </w:r>
      <w:r>
        <w:instrText xml:space="preserve"> HYPERLINK \l "_Toc28999" </w:instrText>
      </w:r>
      <w:r>
        <w:fldChar w:fldCharType="separate"/>
      </w:r>
      <w:r>
        <w:rPr>
          <w:rFonts w:eastAsiaTheme="majorEastAsia"/>
          <w:bCs/>
          <w:kern w:val="44"/>
          <w:szCs w:val="24"/>
        </w:rPr>
        <w:t>增资扩股协议</w:t>
      </w:r>
      <w:r>
        <w:tab/>
      </w:r>
      <w:r>
        <w:fldChar w:fldCharType="begin"/>
      </w:r>
      <w:r>
        <w:instrText xml:space="preserve"> PAGEREF _Toc28999 </w:instrText>
      </w:r>
      <w:r>
        <w:fldChar w:fldCharType="separate"/>
      </w:r>
      <w:r>
        <w:t>30</w:t>
      </w:r>
      <w:r>
        <w:fldChar w:fldCharType="end"/>
      </w:r>
      <w:r>
        <w:fldChar w:fldCharType="end"/>
      </w:r>
    </w:p>
    <w:p>
      <w:pPr>
        <w:pStyle w:val="14"/>
        <w:spacing w:before="100" w:beforeAutospacing="1" w:after="100" w:afterAutospacing="1" w:line="360" w:lineRule="auto"/>
      </w:pPr>
      <w:r>
        <w:rPr>
          <w:szCs w:val="32"/>
        </w:rPr>
        <w:fldChar w:fldCharType="end"/>
      </w:r>
    </w:p>
    <w:p>
      <w:pPr>
        <w:widowControl/>
        <w:jc w:val="left"/>
        <w:rPr>
          <w:b/>
          <w:bCs/>
          <w:kern w:val="44"/>
          <w:sz w:val="32"/>
          <w:szCs w:val="32"/>
        </w:rPr>
      </w:pPr>
      <w:r>
        <w:rPr>
          <w:sz w:val="32"/>
          <w:szCs w:val="32"/>
        </w:rPr>
        <w:br w:type="page"/>
      </w:r>
    </w:p>
    <w:p>
      <w:pPr>
        <w:pStyle w:val="2"/>
        <w:jc w:val="center"/>
        <w:rPr>
          <w:sz w:val="32"/>
          <w:szCs w:val="32"/>
        </w:rPr>
      </w:pPr>
      <w:bookmarkStart w:id="1" w:name="_Toc11993"/>
      <w:r>
        <w:rPr>
          <w:rFonts w:hint="eastAsia"/>
          <w:sz w:val="32"/>
          <w:szCs w:val="32"/>
        </w:rPr>
        <w:t>增资公告</w:t>
      </w:r>
      <w:bookmarkEnd w:id="1"/>
    </w:p>
    <w:p>
      <w:pPr>
        <w:spacing w:line="500" w:lineRule="atLeast"/>
        <w:jc w:val="center"/>
        <w:rPr>
          <w:rFonts w:ascii="宋体" w:hAnsi="宋体" w:cs="Tahoma"/>
          <w:bCs/>
          <w:kern w:val="0"/>
          <w:sz w:val="24"/>
        </w:rPr>
      </w:pPr>
      <w:r>
        <w:rPr>
          <w:rFonts w:hint="eastAsia" w:ascii="宋体" w:hAnsi="宋体" w:cs="Tahoma"/>
          <w:bCs/>
          <w:kern w:val="0"/>
          <w:sz w:val="24"/>
        </w:rPr>
        <w:t>台交所挂【</w:t>
      </w:r>
      <w:r>
        <w:rPr>
          <w:rFonts w:ascii="宋体" w:hAnsi="宋体" w:cs="Tahoma"/>
          <w:bCs/>
          <w:kern w:val="0"/>
          <w:sz w:val="24"/>
        </w:rPr>
        <w:t>2019</w:t>
      </w:r>
      <w:r>
        <w:rPr>
          <w:rFonts w:hint="eastAsia" w:ascii="宋体" w:hAnsi="宋体" w:cs="Tahoma"/>
          <w:bCs/>
          <w:kern w:val="0"/>
          <w:sz w:val="24"/>
        </w:rPr>
        <w:t>】16号</w:t>
      </w:r>
    </w:p>
    <w:p>
      <w:pPr>
        <w:spacing w:line="480" w:lineRule="atLeast"/>
        <w:ind w:right="105" w:rightChars="50" w:firstLine="480" w:firstLineChars="200"/>
        <w:rPr>
          <w:rFonts w:ascii="宋体" w:hAnsi="宋体"/>
          <w:sz w:val="24"/>
          <w:szCs w:val="24"/>
        </w:rPr>
      </w:pPr>
      <w:r>
        <w:rPr>
          <w:rFonts w:hint="eastAsia" w:ascii="宋体" w:hAnsi="宋体"/>
          <w:sz w:val="24"/>
          <w:szCs w:val="24"/>
        </w:rPr>
        <w:t>受有关单位委托，通过挂牌方式对浙江海正博锐生物制药有限公司新增</w:t>
      </w:r>
      <w:r>
        <w:rPr>
          <w:rFonts w:ascii="宋体" w:hAnsi="宋体"/>
          <w:sz w:val="24"/>
          <w:szCs w:val="24"/>
        </w:rPr>
        <w:t>8,928.5714</w:t>
      </w:r>
      <w:r>
        <w:rPr>
          <w:rFonts w:hint="eastAsia" w:ascii="宋体" w:hAnsi="宋体"/>
          <w:sz w:val="24"/>
          <w:szCs w:val="24"/>
        </w:rPr>
        <w:t>万元注册资本项目公开引进一家投资方（</w:t>
      </w:r>
      <w:r>
        <w:rPr>
          <w:rFonts w:hint="eastAsia" w:cs="宋体"/>
          <w:sz w:val="24"/>
        </w:rPr>
        <w:t>不接受竞标联合投资体</w:t>
      </w:r>
      <w:r>
        <w:rPr>
          <w:rFonts w:hint="eastAsia" w:ascii="宋体" w:hAnsi="宋体"/>
          <w:sz w:val="24"/>
          <w:szCs w:val="24"/>
        </w:rPr>
        <w:t>），具体事宜公告如下：</w:t>
      </w:r>
    </w:p>
    <w:p>
      <w:pPr>
        <w:spacing w:line="480" w:lineRule="atLeast"/>
        <w:ind w:right="105" w:rightChars="50" w:firstLine="480" w:firstLineChars="200"/>
        <w:jc w:val="left"/>
        <w:rPr>
          <w:rFonts w:ascii="宋体" w:hAnsi="宋体"/>
          <w:sz w:val="24"/>
          <w:szCs w:val="24"/>
        </w:rPr>
      </w:pPr>
      <w:r>
        <w:rPr>
          <w:rFonts w:hint="eastAsia" w:ascii="宋体" w:hAnsi="宋体"/>
          <w:sz w:val="24"/>
          <w:szCs w:val="24"/>
        </w:rPr>
        <w:t>一、标的、底价及保证金</w:t>
      </w:r>
    </w:p>
    <w:p>
      <w:pPr>
        <w:spacing w:line="480" w:lineRule="atLeast"/>
        <w:ind w:right="105" w:rightChars="50" w:firstLine="480" w:firstLineChars="200"/>
        <w:jc w:val="left"/>
        <w:rPr>
          <w:rFonts w:ascii="宋体" w:hAnsi="宋体"/>
          <w:sz w:val="24"/>
          <w:szCs w:val="24"/>
        </w:rPr>
      </w:pPr>
      <w:r>
        <w:rPr>
          <w:rFonts w:hint="eastAsia" w:ascii="宋体" w:hAnsi="宋体"/>
          <w:sz w:val="24"/>
          <w:szCs w:val="24"/>
        </w:rPr>
        <w:t>本次增资标的为浙江海正博锐生物制药有限公司新增</w:t>
      </w:r>
      <w:r>
        <w:rPr>
          <w:rFonts w:ascii="宋体" w:hAnsi="宋体"/>
          <w:sz w:val="24"/>
          <w:szCs w:val="24"/>
        </w:rPr>
        <w:t>8,928.5714</w:t>
      </w:r>
      <w:r>
        <w:rPr>
          <w:rFonts w:hint="eastAsia" w:ascii="宋体" w:hAnsi="宋体"/>
          <w:sz w:val="24"/>
          <w:szCs w:val="24"/>
        </w:rPr>
        <w:t>万元</w:t>
      </w:r>
      <w:bookmarkStart w:id="2" w:name="_Hlk527706025"/>
      <w:r>
        <w:rPr>
          <w:rFonts w:hint="eastAsia" w:ascii="宋体" w:hAnsi="宋体"/>
          <w:sz w:val="24"/>
          <w:szCs w:val="24"/>
        </w:rPr>
        <w:t>注册资本</w:t>
      </w:r>
      <w:bookmarkEnd w:id="2"/>
      <w:r>
        <w:rPr>
          <w:rFonts w:hint="eastAsia" w:ascii="宋体" w:hAnsi="宋体"/>
          <w:sz w:val="24"/>
          <w:szCs w:val="24"/>
        </w:rPr>
        <w:t>，每股价格不低于</w:t>
      </w:r>
      <w:r>
        <w:rPr>
          <w:rFonts w:hint="eastAsia" w:ascii="宋体" w:hAnsi="宋体"/>
          <w:kern w:val="0"/>
          <w:sz w:val="24"/>
        </w:rPr>
        <w:t>1</w:t>
      </w:r>
      <w:r>
        <w:rPr>
          <w:rFonts w:ascii="宋体" w:hAnsi="宋体"/>
          <w:kern w:val="0"/>
          <w:sz w:val="24"/>
        </w:rPr>
        <w:t>1.2</w:t>
      </w:r>
      <w:r>
        <w:rPr>
          <w:rFonts w:hint="eastAsia" w:ascii="宋体" w:hAnsi="宋体"/>
          <w:sz w:val="24"/>
          <w:szCs w:val="24"/>
        </w:rPr>
        <w:t>元人民币，总投资额不低</w:t>
      </w:r>
      <w:r>
        <w:rPr>
          <w:rFonts w:hint="eastAsia" w:ascii="宋体" w:hAnsi="宋体"/>
          <w:sz w:val="24"/>
        </w:rPr>
        <w:t>于</w:t>
      </w:r>
      <w:r>
        <w:rPr>
          <w:rFonts w:hint="eastAsia" w:ascii="宋体" w:hAnsi="宋体"/>
          <w:kern w:val="0"/>
          <w:sz w:val="24"/>
        </w:rPr>
        <w:t>1</w:t>
      </w:r>
      <w:r>
        <w:rPr>
          <w:rFonts w:ascii="宋体" w:hAnsi="宋体"/>
          <w:kern w:val="0"/>
          <w:sz w:val="24"/>
        </w:rPr>
        <w:t>0</w:t>
      </w:r>
      <w:r>
        <w:rPr>
          <w:rFonts w:hint="eastAsia" w:ascii="宋体" w:hAnsi="宋体"/>
          <w:kern w:val="0"/>
          <w:sz w:val="24"/>
        </w:rPr>
        <w:t>亿</w:t>
      </w:r>
      <w:r>
        <w:rPr>
          <w:rFonts w:hint="eastAsia" w:ascii="宋体" w:hAnsi="宋体"/>
          <w:sz w:val="24"/>
          <w:szCs w:val="24"/>
        </w:rPr>
        <w:t>元人民币，报名时交</w:t>
      </w:r>
      <w:r>
        <w:rPr>
          <w:rFonts w:hint="eastAsia" w:ascii="宋体" w:hAnsi="宋体"/>
          <w:sz w:val="24"/>
        </w:rPr>
        <w:t>纳</w:t>
      </w:r>
      <w:r>
        <w:rPr>
          <w:rFonts w:hint="eastAsia" w:ascii="宋体" w:hAnsi="宋体" w:cs="Tahoma"/>
          <w:bCs/>
          <w:kern w:val="0"/>
          <w:sz w:val="24"/>
        </w:rPr>
        <w:t>3亿</w:t>
      </w:r>
      <w:r>
        <w:rPr>
          <w:rFonts w:hint="eastAsia" w:ascii="宋体" w:hAnsi="宋体"/>
          <w:sz w:val="24"/>
        </w:rPr>
        <w:t>元</w:t>
      </w:r>
      <w:r>
        <w:rPr>
          <w:rFonts w:hint="eastAsia" w:ascii="宋体" w:hAnsi="宋体"/>
          <w:sz w:val="24"/>
          <w:szCs w:val="24"/>
        </w:rPr>
        <w:t>竞买保证金。</w:t>
      </w:r>
    </w:p>
    <w:p>
      <w:pPr>
        <w:spacing w:line="480" w:lineRule="atLeast"/>
        <w:ind w:right="105" w:rightChars="50" w:firstLine="480" w:firstLineChars="200"/>
        <w:jc w:val="left"/>
        <w:rPr>
          <w:rFonts w:ascii="宋体" w:hAnsi="宋体"/>
          <w:sz w:val="24"/>
          <w:szCs w:val="24"/>
        </w:rPr>
      </w:pPr>
      <w:r>
        <w:rPr>
          <w:rFonts w:hint="eastAsia" w:ascii="宋体" w:hAnsi="宋体"/>
          <w:sz w:val="24"/>
        </w:rPr>
        <w:t>二、增资方式：</w:t>
      </w:r>
      <w:r>
        <w:rPr>
          <w:rFonts w:hint="eastAsia" w:ascii="宋体" w:hAnsi="宋体"/>
          <w:sz w:val="24"/>
          <w:szCs w:val="24"/>
        </w:rPr>
        <w:t>报名截止日仅一家报名的，经确认后由该投资方进行</w:t>
      </w:r>
      <w:r>
        <w:rPr>
          <w:rFonts w:ascii="宋体" w:hAnsi="宋体"/>
          <w:sz w:val="24"/>
          <w:szCs w:val="24"/>
        </w:rPr>
        <w:t>投资</w:t>
      </w:r>
      <w:r>
        <w:rPr>
          <w:rFonts w:hint="eastAsia" w:ascii="宋体" w:hAnsi="宋体"/>
          <w:sz w:val="24"/>
          <w:szCs w:val="24"/>
        </w:rPr>
        <w:t>；有两家或两家以上的，</w:t>
      </w:r>
      <w:r>
        <w:rPr>
          <w:rFonts w:hint="eastAsia" w:cs="宋体"/>
          <w:sz w:val="24"/>
        </w:rPr>
        <w:t>将</w:t>
      </w:r>
      <w:r>
        <w:rPr>
          <w:rFonts w:hint="eastAsia"/>
          <w:sz w:val="24"/>
        </w:rPr>
        <w:t>采取网络竞价方式确定</w:t>
      </w:r>
      <w:r>
        <w:rPr>
          <w:rFonts w:hint="eastAsia" w:cs="宋体"/>
          <w:sz w:val="24"/>
        </w:rPr>
        <w:t>最终投资人及其认购价格</w:t>
      </w:r>
      <w:r>
        <w:rPr>
          <w:rFonts w:hint="eastAsia" w:ascii="宋体" w:hAnsi="宋体"/>
          <w:sz w:val="24"/>
          <w:szCs w:val="24"/>
        </w:rPr>
        <w:t>。</w:t>
      </w:r>
    </w:p>
    <w:p>
      <w:pPr>
        <w:pStyle w:val="44"/>
        <w:numPr>
          <w:ilvl w:val="0"/>
          <w:numId w:val="1"/>
        </w:numPr>
        <w:spacing w:line="500" w:lineRule="atLeast"/>
        <w:ind w:firstLineChars="0"/>
        <w:rPr>
          <w:rFonts w:ascii="宋体" w:hAnsi="宋体"/>
          <w:sz w:val="24"/>
          <w:szCs w:val="24"/>
        </w:rPr>
      </w:pPr>
      <w:r>
        <w:rPr>
          <w:rFonts w:hint="eastAsia" w:ascii="宋体" w:hAnsi="宋体"/>
          <w:sz w:val="24"/>
        </w:rPr>
        <w:t>付款方式</w:t>
      </w:r>
    </w:p>
    <w:p>
      <w:pPr>
        <w:pStyle w:val="44"/>
        <w:spacing w:line="480" w:lineRule="atLeast"/>
        <w:ind w:right="105" w:rightChars="50" w:firstLine="480"/>
        <w:jc w:val="left"/>
        <w:rPr>
          <w:rFonts w:ascii="宋体" w:hAnsi="宋体"/>
          <w:sz w:val="28"/>
          <w:szCs w:val="28"/>
        </w:rPr>
      </w:pPr>
      <w:r>
        <w:rPr>
          <w:rFonts w:hint="eastAsia" w:ascii="宋体" w:hAnsi="宋体"/>
          <w:sz w:val="24"/>
          <w:szCs w:val="24"/>
        </w:rPr>
        <w:t>投资方应在《增资扩股协议》签署后</w:t>
      </w:r>
      <w:r>
        <w:rPr>
          <w:rFonts w:ascii="宋体" w:hAnsi="宋体"/>
          <w:sz w:val="24"/>
          <w:szCs w:val="24"/>
        </w:rPr>
        <w:t>(如需相关政府主管部门</w:t>
      </w:r>
      <w:r>
        <w:rPr>
          <w:rFonts w:hint="eastAsia" w:ascii="宋体" w:hAnsi="宋体"/>
          <w:sz w:val="24"/>
          <w:szCs w:val="24"/>
        </w:rPr>
        <w:t>批准</w:t>
      </w:r>
      <w:r>
        <w:rPr>
          <w:rFonts w:ascii="宋体" w:hAnsi="宋体"/>
          <w:sz w:val="24"/>
          <w:szCs w:val="24"/>
        </w:rPr>
        <w:t>、登记</w:t>
      </w:r>
      <w:r>
        <w:rPr>
          <w:rFonts w:hint="eastAsia" w:ascii="宋体" w:hAnsi="宋体"/>
          <w:sz w:val="24"/>
          <w:szCs w:val="24"/>
        </w:rPr>
        <w:t>及</w:t>
      </w:r>
      <w:r>
        <w:rPr>
          <w:rFonts w:ascii="宋体" w:hAnsi="宋体"/>
          <w:sz w:val="24"/>
          <w:szCs w:val="24"/>
        </w:rPr>
        <w:t>/或备案的，则在政府主管部门</w:t>
      </w:r>
      <w:r>
        <w:rPr>
          <w:rFonts w:hint="eastAsia" w:ascii="宋体" w:hAnsi="宋体"/>
          <w:sz w:val="24"/>
          <w:szCs w:val="24"/>
        </w:rPr>
        <w:t>批准</w:t>
      </w:r>
      <w:r>
        <w:rPr>
          <w:rFonts w:ascii="宋体" w:hAnsi="宋体"/>
          <w:sz w:val="24"/>
          <w:szCs w:val="24"/>
        </w:rPr>
        <w:t>、登记</w:t>
      </w:r>
      <w:r>
        <w:rPr>
          <w:rFonts w:hint="eastAsia" w:ascii="宋体" w:hAnsi="宋体"/>
          <w:sz w:val="24"/>
          <w:szCs w:val="24"/>
        </w:rPr>
        <w:t>及</w:t>
      </w:r>
      <w:r>
        <w:rPr>
          <w:rFonts w:ascii="宋体" w:hAnsi="宋体"/>
          <w:sz w:val="24"/>
          <w:szCs w:val="24"/>
        </w:rPr>
        <w:t>/或备案</w:t>
      </w:r>
      <w:r>
        <w:rPr>
          <w:rFonts w:hint="eastAsia" w:ascii="宋体" w:hAnsi="宋体"/>
          <w:sz w:val="24"/>
          <w:szCs w:val="24"/>
        </w:rPr>
        <w:t>后</w:t>
      </w:r>
      <w:r>
        <w:rPr>
          <w:rFonts w:ascii="宋体" w:hAnsi="宋体"/>
          <w:sz w:val="24"/>
          <w:szCs w:val="24"/>
        </w:rPr>
        <w:t>)</w:t>
      </w:r>
      <w:r>
        <w:rPr>
          <w:rFonts w:hint="eastAsia" w:ascii="宋体" w:hAnsi="宋体"/>
          <w:sz w:val="24"/>
          <w:szCs w:val="24"/>
        </w:rPr>
        <w:t>5</w:t>
      </w:r>
      <w:r>
        <w:rPr>
          <w:rFonts w:ascii="宋体" w:hAnsi="宋体"/>
          <w:sz w:val="24"/>
          <w:szCs w:val="24"/>
        </w:rPr>
        <w:t>个</w:t>
      </w:r>
      <w:r>
        <w:rPr>
          <w:rFonts w:ascii="宋体" w:hAnsi="宋体"/>
          <w:sz w:val="24"/>
        </w:rPr>
        <w:t>工作日</w:t>
      </w:r>
      <w:r>
        <w:rPr>
          <w:rFonts w:hint="eastAsia" w:ascii="宋体" w:hAnsi="宋体"/>
          <w:sz w:val="24"/>
          <w:szCs w:val="24"/>
        </w:rPr>
        <w:t>内向增资方一次性支付全部投资款（投资方</w:t>
      </w:r>
      <w:r>
        <w:rPr>
          <w:rFonts w:ascii="宋体" w:hAnsi="宋体"/>
          <w:sz w:val="24"/>
          <w:szCs w:val="24"/>
        </w:rPr>
        <w:t>先期汇入产交所的竞买保证金应转</w:t>
      </w:r>
      <w:r>
        <w:rPr>
          <w:rFonts w:hint="eastAsia" w:ascii="宋体" w:hAnsi="宋体"/>
          <w:sz w:val="24"/>
          <w:szCs w:val="24"/>
        </w:rPr>
        <w:t>为</w:t>
      </w:r>
      <w:r>
        <w:rPr>
          <w:rFonts w:ascii="宋体" w:hAnsi="宋体"/>
          <w:sz w:val="24"/>
          <w:szCs w:val="24"/>
        </w:rPr>
        <w:t>同额投资款）</w:t>
      </w:r>
      <w:r>
        <w:rPr>
          <w:rFonts w:hint="eastAsia" w:ascii="宋体" w:hAnsi="宋体"/>
          <w:sz w:val="24"/>
          <w:szCs w:val="24"/>
        </w:rPr>
        <w:t>。</w:t>
      </w:r>
    </w:p>
    <w:p>
      <w:pPr>
        <w:spacing w:line="480" w:lineRule="atLeast"/>
        <w:ind w:right="105" w:rightChars="50" w:firstLine="480" w:firstLineChars="200"/>
        <w:jc w:val="left"/>
        <w:rPr>
          <w:rFonts w:ascii="宋体" w:hAnsi="宋体"/>
          <w:sz w:val="24"/>
          <w:szCs w:val="24"/>
        </w:rPr>
      </w:pPr>
      <w:r>
        <w:rPr>
          <w:rFonts w:hint="eastAsia" w:ascii="宋体" w:hAnsi="宋体"/>
          <w:sz w:val="24"/>
          <w:szCs w:val="24"/>
        </w:rPr>
        <w:t>四、投资方条件</w:t>
      </w:r>
    </w:p>
    <w:p>
      <w:pPr>
        <w:widowControl/>
        <w:numPr>
          <w:ilvl w:val="255"/>
          <w:numId w:val="0"/>
        </w:numPr>
        <w:spacing w:line="480" w:lineRule="atLeast"/>
        <w:ind w:right="105" w:rightChars="50" w:firstLine="480" w:firstLineChars="200"/>
        <w:jc w:val="left"/>
        <w:rPr>
          <w:rFonts w:ascii="宋体" w:hAnsi="宋体"/>
          <w:sz w:val="24"/>
          <w:szCs w:val="24"/>
        </w:rPr>
      </w:pPr>
      <w:r>
        <w:rPr>
          <w:rFonts w:hint="eastAsia" w:ascii="宋体" w:hAnsi="宋体"/>
          <w:sz w:val="24"/>
          <w:szCs w:val="24"/>
        </w:rPr>
        <w:t>具有良好的财务状况和支付能力及良好的商业信用的境内外产业投资人或财务投资人，无不良经营记录。</w:t>
      </w:r>
    </w:p>
    <w:p>
      <w:pPr>
        <w:widowControl/>
        <w:numPr>
          <w:ilvl w:val="255"/>
          <w:numId w:val="0"/>
        </w:numPr>
        <w:spacing w:line="480" w:lineRule="atLeast"/>
        <w:ind w:right="105" w:rightChars="50" w:firstLine="480" w:firstLineChars="200"/>
        <w:jc w:val="left"/>
        <w:rPr>
          <w:rFonts w:ascii="宋体" w:hAnsi="宋体"/>
          <w:sz w:val="24"/>
          <w:szCs w:val="24"/>
        </w:rPr>
      </w:pPr>
      <w:r>
        <w:rPr>
          <w:rFonts w:hint="eastAsia" w:ascii="宋体" w:hAnsi="宋体"/>
          <w:sz w:val="24"/>
          <w:szCs w:val="24"/>
        </w:rPr>
        <w:t>投资人或其直接或间接控股股东须提供由银行出具的公告期内本次交易投资款（不低于38.28亿元或等额外币）的资金证明。</w:t>
      </w:r>
    </w:p>
    <w:p>
      <w:pPr>
        <w:widowControl/>
        <w:numPr>
          <w:ilvl w:val="255"/>
          <w:numId w:val="0"/>
        </w:numPr>
        <w:spacing w:line="480" w:lineRule="atLeast"/>
        <w:ind w:right="105" w:rightChars="50" w:firstLine="480" w:firstLineChars="200"/>
        <w:jc w:val="left"/>
        <w:rPr>
          <w:rFonts w:ascii="宋体" w:hAnsi="宋体"/>
          <w:sz w:val="24"/>
          <w:szCs w:val="24"/>
        </w:rPr>
      </w:pPr>
      <w:r>
        <w:rPr>
          <w:rFonts w:hint="eastAsia" w:ascii="宋体" w:hAnsi="宋体"/>
          <w:sz w:val="24"/>
          <w:szCs w:val="24"/>
        </w:rPr>
        <w:t>如果投资人是产业投资人，则其或其控股股东应有不少于300亿元人民币或50亿美元的净资产；如果投资人是财务投资人，则控制其的单一基金实体的承诺资本应不少于300亿元人民币或50亿美元。</w:t>
      </w:r>
    </w:p>
    <w:p>
      <w:pPr>
        <w:widowControl/>
        <w:numPr>
          <w:ilvl w:val="255"/>
          <w:numId w:val="0"/>
        </w:numPr>
        <w:spacing w:line="480" w:lineRule="atLeast"/>
        <w:ind w:right="105" w:rightChars="50" w:firstLine="480" w:firstLineChars="200"/>
        <w:jc w:val="left"/>
        <w:rPr>
          <w:rFonts w:ascii="宋体" w:hAnsi="宋体"/>
          <w:sz w:val="24"/>
          <w:szCs w:val="24"/>
        </w:rPr>
      </w:pPr>
      <w:r>
        <w:rPr>
          <w:rFonts w:hint="eastAsia" w:ascii="宋体" w:hAnsi="宋体"/>
          <w:sz w:val="24"/>
          <w:szCs w:val="24"/>
        </w:rPr>
        <w:t>投资人或其实际控制人或普通合伙人须具备医药领域运营资源及投资管理经验，并拥有不少于2名具有医学、药学、生物学专业人士或医药、医疗产业背景人员，并且该等人员曾在医疗产业担任过董事或高管职务；</w:t>
      </w:r>
    </w:p>
    <w:p>
      <w:pPr>
        <w:widowControl/>
        <w:numPr>
          <w:ilvl w:val="255"/>
          <w:numId w:val="0"/>
        </w:numPr>
        <w:spacing w:line="480" w:lineRule="atLeast"/>
        <w:ind w:right="105" w:rightChars="50" w:firstLine="480" w:firstLineChars="200"/>
        <w:jc w:val="left"/>
        <w:rPr>
          <w:rFonts w:ascii="宋体" w:hAnsi="宋体"/>
          <w:sz w:val="24"/>
          <w:szCs w:val="24"/>
        </w:rPr>
      </w:pPr>
      <w:r>
        <w:rPr>
          <w:rFonts w:hint="eastAsia" w:ascii="宋体" w:hAnsi="宋体"/>
          <w:sz w:val="24"/>
          <w:szCs w:val="24"/>
        </w:rPr>
        <w:t>鉴于海正博锐拟进行境内外上市的战略规划，投资人不得是上市公司或上市公司关联方。</w:t>
      </w:r>
    </w:p>
    <w:p>
      <w:pPr>
        <w:widowControl/>
        <w:numPr>
          <w:ilvl w:val="255"/>
          <w:numId w:val="0"/>
        </w:numPr>
        <w:spacing w:line="480" w:lineRule="atLeast"/>
        <w:ind w:right="105" w:rightChars="50" w:firstLine="480" w:firstLineChars="200"/>
        <w:jc w:val="left"/>
        <w:rPr>
          <w:rFonts w:ascii="宋体" w:hAnsi="宋体"/>
          <w:sz w:val="24"/>
          <w:szCs w:val="24"/>
        </w:rPr>
      </w:pPr>
      <w:r>
        <w:rPr>
          <w:rFonts w:hint="eastAsia" w:ascii="宋体" w:hAnsi="宋体"/>
          <w:sz w:val="24"/>
          <w:szCs w:val="24"/>
        </w:rPr>
        <w:t>投资人或其关联方不得与海正博锐存在直接竞争关系。</w:t>
      </w:r>
    </w:p>
    <w:p>
      <w:pPr>
        <w:widowControl/>
        <w:numPr>
          <w:ilvl w:val="255"/>
          <w:numId w:val="0"/>
        </w:numPr>
        <w:spacing w:line="480" w:lineRule="atLeast"/>
        <w:ind w:right="105" w:rightChars="50" w:firstLine="480" w:firstLineChars="200"/>
        <w:jc w:val="left"/>
        <w:rPr>
          <w:rFonts w:ascii="宋体" w:hAnsi="宋体"/>
          <w:sz w:val="24"/>
          <w:szCs w:val="24"/>
        </w:rPr>
      </w:pPr>
      <w:r>
        <w:rPr>
          <w:rFonts w:hint="eastAsia" w:ascii="宋体" w:hAnsi="宋体"/>
          <w:sz w:val="24"/>
          <w:szCs w:val="24"/>
        </w:rPr>
        <w:t>本次增资及转让老股项目不接受竞标联合投资体报名。</w:t>
      </w:r>
    </w:p>
    <w:p>
      <w:pPr>
        <w:widowControl/>
        <w:numPr>
          <w:ilvl w:val="255"/>
          <w:numId w:val="0"/>
        </w:numPr>
        <w:spacing w:line="480" w:lineRule="atLeast"/>
        <w:ind w:right="105" w:rightChars="50" w:firstLine="480" w:firstLineChars="200"/>
        <w:jc w:val="left"/>
        <w:rPr>
          <w:rFonts w:ascii="宋体" w:hAnsi="宋体"/>
          <w:sz w:val="24"/>
          <w:szCs w:val="24"/>
        </w:rPr>
      </w:pPr>
      <w:r>
        <w:rPr>
          <w:rFonts w:hint="eastAsia" w:ascii="宋体" w:hAnsi="宋体"/>
          <w:sz w:val="24"/>
          <w:szCs w:val="24"/>
        </w:rPr>
        <w:t>本条中的“关联方”特指，就一方而言，控制该方、受该方控制或者同该方共同受第三方控制的任何人士或实体。</w:t>
      </w:r>
    </w:p>
    <w:p>
      <w:pPr>
        <w:spacing w:line="480" w:lineRule="atLeast"/>
        <w:ind w:right="105" w:rightChars="50" w:firstLine="480" w:firstLineChars="200"/>
        <w:jc w:val="left"/>
        <w:rPr>
          <w:rFonts w:ascii="宋体" w:hAnsi="宋体"/>
          <w:sz w:val="24"/>
          <w:szCs w:val="24"/>
        </w:rPr>
      </w:pPr>
      <w:r>
        <w:rPr>
          <w:rFonts w:hint="eastAsia" w:ascii="宋体" w:hAnsi="宋体"/>
          <w:sz w:val="24"/>
          <w:szCs w:val="24"/>
        </w:rPr>
        <w:t>五、报名须知</w:t>
      </w:r>
    </w:p>
    <w:p>
      <w:pPr>
        <w:spacing w:line="480" w:lineRule="atLeast"/>
        <w:ind w:right="105" w:rightChars="50" w:firstLine="480" w:firstLineChars="200"/>
        <w:jc w:val="left"/>
        <w:rPr>
          <w:rFonts w:ascii="宋体" w:hAnsi="宋体"/>
          <w:sz w:val="24"/>
          <w:szCs w:val="24"/>
        </w:rPr>
      </w:pPr>
      <w:r>
        <w:rPr>
          <w:rFonts w:hint="eastAsia" w:ascii="宋体" w:hAnsi="宋体"/>
          <w:sz w:val="24"/>
          <w:szCs w:val="24"/>
        </w:rPr>
        <w:t>1、新投资方认购金额不低于10亿元人民币。</w:t>
      </w:r>
    </w:p>
    <w:p>
      <w:pPr>
        <w:spacing w:line="480" w:lineRule="atLeast"/>
        <w:ind w:right="105" w:rightChars="50" w:firstLine="480" w:firstLineChars="200"/>
        <w:jc w:val="left"/>
        <w:rPr>
          <w:rFonts w:ascii="宋体" w:hAnsi="宋体"/>
          <w:sz w:val="24"/>
          <w:szCs w:val="24"/>
        </w:rPr>
      </w:pPr>
      <w:r>
        <w:rPr>
          <w:rFonts w:hint="eastAsia" w:ascii="宋体" w:hAnsi="宋体"/>
          <w:sz w:val="24"/>
          <w:szCs w:val="24"/>
        </w:rPr>
        <w:t>2、凡报名者企业法人须持营业执照（或者其他注册证明文件）复印件、公章、《增资扩股投资申请书》、法人代表身份证（委托书、委托人身份证、受托人身份证）、公司章程、相关决议、投资方条件要求的相关材料。报名时须足额缴付保证金。</w:t>
      </w:r>
    </w:p>
    <w:p>
      <w:pPr>
        <w:spacing w:line="480" w:lineRule="atLeast"/>
        <w:ind w:right="105" w:rightChars="50" w:firstLine="480" w:firstLineChars="200"/>
        <w:jc w:val="left"/>
        <w:rPr>
          <w:rFonts w:ascii="宋体" w:hAnsi="宋体"/>
          <w:sz w:val="24"/>
          <w:szCs w:val="24"/>
        </w:rPr>
      </w:pPr>
      <w:r>
        <w:rPr>
          <w:rFonts w:hint="eastAsia" w:ascii="宋体" w:hAnsi="宋体"/>
          <w:sz w:val="24"/>
          <w:szCs w:val="24"/>
        </w:rPr>
        <w:t>(1) 投资方为境内主体适用：单位名称：台州市产权交易所有限公司，开户行：浙江民泰商业银行台州椒江支行，</w:t>
      </w:r>
      <w:bookmarkStart w:id="3" w:name="待定02"/>
      <w:r>
        <w:rPr>
          <w:rFonts w:hint="eastAsia" w:ascii="宋体" w:hAnsi="宋体"/>
          <w:sz w:val="24"/>
          <w:szCs w:val="24"/>
        </w:rPr>
        <w:t>帐号：583016260800015。</w:t>
      </w:r>
    </w:p>
    <w:bookmarkEnd w:id="3"/>
    <w:p>
      <w:pPr>
        <w:spacing w:line="480" w:lineRule="atLeast"/>
        <w:ind w:right="105" w:rightChars="50" w:firstLine="480" w:firstLineChars="200"/>
        <w:jc w:val="left"/>
        <w:rPr>
          <w:rFonts w:ascii="宋体" w:hAnsi="宋体"/>
          <w:sz w:val="24"/>
          <w:szCs w:val="24"/>
        </w:rPr>
      </w:pPr>
      <w:r>
        <w:rPr>
          <w:rFonts w:hint="eastAsia" w:ascii="宋体" w:hAnsi="宋体"/>
          <w:sz w:val="24"/>
          <w:szCs w:val="24"/>
        </w:rPr>
        <w:t>(2) 投资方为境外主体适用：单位名称：台州市产权交易所有限公司，开户行：中国农业银行台州市经济开发区支行，帐号：19900101040022292。</w:t>
      </w:r>
    </w:p>
    <w:p>
      <w:pPr>
        <w:spacing w:line="480" w:lineRule="atLeast"/>
        <w:ind w:right="105" w:rightChars="50" w:firstLine="480" w:firstLineChars="200"/>
        <w:jc w:val="left"/>
        <w:rPr>
          <w:rFonts w:ascii="宋体" w:hAnsi="宋体"/>
          <w:sz w:val="24"/>
          <w:szCs w:val="24"/>
        </w:rPr>
      </w:pPr>
      <w:r>
        <w:rPr>
          <w:rFonts w:hint="eastAsia" w:ascii="宋体" w:hAnsi="宋体"/>
          <w:sz w:val="24"/>
          <w:szCs w:val="24"/>
        </w:rPr>
        <w:t>六、实行网络报名：台州市公共资源交易网（</w:t>
      </w:r>
      <w:r>
        <w:fldChar w:fldCharType="begin"/>
      </w:r>
      <w:r>
        <w:instrText xml:space="preserve"> HYPERLINK "http://www.tzztb.com/tzcms/" </w:instrText>
      </w:r>
      <w:r>
        <w:fldChar w:fldCharType="separate"/>
      </w:r>
      <w:r>
        <w:rPr>
          <w:rFonts w:hint="eastAsia" w:ascii="宋体" w:hAnsi="宋体"/>
          <w:sz w:val="24"/>
          <w:szCs w:val="24"/>
        </w:rPr>
        <w:t>http://www.tzztb.com/tzcms/</w:t>
      </w:r>
      <w:r>
        <w:rPr>
          <w:rFonts w:hint="eastAsia" w:ascii="宋体" w:hAnsi="宋体"/>
          <w:sz w:val="24"/>
          <w:szCs w:val="24"/>
        </w:rPr>
        <w:fldChar w:fldCharType="end"/>
      </w:r>
      <w:r>
        <w:rPr>
          <w:rFonts w:hint="eastAsia" w:ascii="宋体" w:hAnsi="宋体"/>
          <w:sz w:val="24"/>
          <w:szCs w:val="24"/>
        </w:rPr>
        <w:t>），现场资格确认。</w:t>
      </w:r>
    </w:p>
    <w:p>
      <w:pPr>
        <w:widowControl/>
        <w:spacing w:line="480" w:lineRule="atLeast"/>
        <w:ind w:right="105" w:rightChars="50" w:firstLine="480" w:firstLineChars="200"/>
        <w:jc w:val="left"/>
        <w:rPr>
          <w:rFonts w:ascii="宋体" w:hAnsi="宋体"/>
          <w:sz w:val="24"/>
          <w:szCs w:val="24"/>
        </w:rPr>
      </w:pPr>
      <w:r>
        <w:rPr>
          <w:rFonts w:hint="eastAsia" w:ascii="宋体" w:hAnsi="宋体"/>
          <w:sz w:val="24"/>
          <w:szCs w:val="24"/>
        </w:rPr>
        <w:t>资格确认时间：2019年7月10日至2019年9月3日下午4：00前（上午8：30－11：30，下午14：00－16：00时，节假日除外）。</w:t>
      </w:r>
    </w:p>
    <w:p>
      <w:pPr>
        <w:widowControl/>
        <w:spacing w:line="480" w:lineRule="atLeast"/>
        <w:ind w:right="105" w:rightChars="50" w:firstLine="480" w:firstLineChars="200"/>
        <w:jc w:val="left"/>
        <w:rPr>
          <w:rFonts w:ascii="宋体" w:hAnsi="宋体"/>
          <w:sz w:val="24"/>
          <w:szCs w:val="24"/>
        </w:rPr>
      </w:pPr>
      <w:r>
        <w:rPr>
          <w:rFonts w:hint="eastAsia" w:ascii="宋体" w:hAnsi="宋体"/>
          <w:sz w:val="24"/>
          <w:szCs w:val="24"/>
        </w:rPr>
        <w:t>资格确认地址：台州市产权交易所（台州市市府大道777号浙江民泰商业银行五楼511室）。</w:t>
      </w:r>
    </w:p>
    <w:p>
      <w:pPr>
        <w:spacing w:line="480" w:lineRule="atLeast"/>
        <w:ind w:right="105" w:rightChars="50" w:firstLine="480" w:firstLineChars="200"/>
        <w:jc w:val="left"/>
        <w:rPr>
          <w:rFonts w:ascii="宋体" w:hAnsi="宋体"/>
          <w:sz w:val="24"/>
          <w:szCs w:val="24"/>
        </w:rPr>
      </w:pPr>
      <w:r>
        <w:rPr>
          <w:rFonts w:hint="eastAsia" w:ascii="宋体" w:hAnsi="宋体"/>
          <w:sz w:val="24"/>
          <w:szCs w:val="24"/>
        </w:rPr>
        <w:t xml:space="preserve">七、网络竞价时间：2019年9月4日（星期三）上午9:30 </w:t>
      </w:r>
    </w:p>
    <w:p>
      <w:pPr>
        <w:spacing w:line="480" w:lineRule="atLeast"/>
        <w:ind w:right="105" w:rightChars="50" w:firstLine="480" w:firstLineChars="200"/>
        <w:jc w:val="left"/>
        <w:rPr>
          <w:rFonts w:ascii="宋体" w:hAnsi="宋体"/>
          <w:sz w:val="24"/>
          <w:szCs w:val="24"/>
        </w:rPr>
      </w:pPr>
      <w:r>
        <w:rPr>
          <w:rFonts w:hint="eastAsia" w:ascii="宋体" w:hAnsi="宋体"/>
          <w:sz w:val="24"/>
          <w:szCs w:val="24"/>
        </w:rPr>
        <w:t>八、联系人：潘女士     电话（传真）：0576-88685180</w:t>
      </w:r>
    </w:p>
    <w:p>
      <w:pPr>
        <w:spacing w:line="480" w:lineRule="atLeast"/>
        <w:ind w:right="105" w:rightChars="50" w:firstLine="480" w:firstLineChars="200"/>
        <w:jc w:val="left"/>
        <w:rPr>
          <w:rFonts w:ascii="宋体" w:hAnsi="宋体"/>
          <w:sz w:val="24"/>
          <w:szCs w:val="24"/>
        </w:rPr>
      </w:pPr>
      <w:r>
        <w:rPr>
          <w:rFonts w:hint="eastAsia" w:ascii="宋体" w:hAnsi="宋体"/>
          <w:sz w:val="24"/>
          <w:szCs w:val="24"/>
        </w:rPr>
        <w:t>九、具体情况详见须知及相关说明。</w:t>
      </w:r>
    </w:p>
    <w:p>
      <w:pPr>
        <w:spacing w:line="480" w:lineRule="atLeast"/>
        <w:ind w:right="105" w:rightChars="50" w:firstLine="480" w:firstLineChars="200"/>
        <w:jc w:val="left"/>
        <w:rPr>
          <w:rFonts w:ascii="宋体" w:hAnsi="宋体"/>
          <w:sz w:val="24"/>
          <w:szCs w:val="24"/>
        </w:rPr>
      </w:pPr>
      <w:r>
        <w:rPr>
          <w:rFonts w:hint="eastAsia" w:ascii="宋体" w:hAnsi="宋体"/>
          <w:sz w:val="24"/>
          <w:szCs w:val="24"/>
        </w:rPr>
        <w:t xml:space="preserve">详情登陆 www.tzpre.com   </w:t>
      </w:r>
      <w:r>
        <w:fldChar w:fldCharType="begin"/>
      </w:r>
      <w:r>
        <w:instrText xml:space="preserve"> HYPERLINK "http://www.tzztb.com" </w:instrText>
      </w:r>
      <w:r>
        <w:fldChar w:fldCharType="separate"/>
      </w:r>
      <w:r>
        <w:rPr>
          <w:rFonts w:hint="eastAsia" w:ascii="宋体" w:hAnsi="宋体"/>
          <w:sz w:val="24"/>
          <w:szCs w:val="24"/>
        </w:rPr>
        <w:t>www.tzztb.com</w:t>
      </w:r>
      <w:r>
        <w:rPr>
          <w:rFonts w:hint="eastAsia" w:ascii="宋体" w:hAnsi="宋体"/>
          <w:sz w:val="24"/>
          <w:szCs w:val="24"/>
        </w:rPr>
        <w:fldChar w:fldCharType="end"/>
      </w:r>
      <w:r>
        <w:rPr>
          <w:rFonts w:hint="eastAsia" w:ascii="宋体" w:hAnsi="宋体"/>
          <w:sz w:val="24"/>
          <w:szCs w:val="24"/>
        </w:rPr>
        <w:t>/tzcm</w:t>
      </w:r>
    </w:p>
    <w:p>
      <w:pPr>
        <w:spacing w:line="480" w:lineRule="atLeast"/>
        <w:ind w:right="105" w:rightChars="50" w:firstLine="480" w:firstLineChars="200"/>
        <w:jc w:val="left"/>
        <w:rPr>
          <w:rFonts w:ascii="宋体" w:hAnsi="宋体"/>
          <w:sz w:val="24"/>
          <w:szCs w:val="24"/>
        </w:rPr>
      </w:pPr>
    </w:p>
    <w:p>
      <w:pPr>
        <w:spacing w:line="480" w:lineRule="atLeast"/>
        <w:ind w:right="105" w:rightChars="50" w:firstLine="480" w:firstLineChars="200"/>
        <w:jc w:val="right"/>
        <w:rPr>
          <w:rFonts w:ascii="宋体" w:hAnsi="宋体"/>
          <w:sz w:val="24"/>
          <w:szCs w:val="24"/>
        </w:rPr>
      </w:pPr>
      <w:r>
        <w:rPr>
          <w:rFonts w:hint="eastAsia" w:ascii="宋体" w:hAnsi="宋体"/>
          <w:sz w:val="24"/>
          <w:szCs w:val="24"/>
        </w:rPr>
        <w:t>台州市产权交易所有限公司</w:t>
      </w:r>
    </w:p>
    <w:p>
      <w:pPr>
        <w:spacing w:line="480" w:lineRule="atLeast"/>
        <w:ind w:right="105" w:rightChars="50" w:firstLine="480" w:firstLineChars="200"/>
        <w:jc w:val="right"/>
        <w:rPr>
          <w:rFonts w:ascii="宋体" w:hAnsi="宋体"/>
          <w:sz w:val="24"/>
          <w:szCs w:val="24"/>
        </w:rPr>
      </w:pPr>
      <w:r>
        <w:rPr>
          <w:rFonts w:hint="eastAsia" w:ascii="宋体" w:hAnsi="宋体"/>
          <w:sz w:val="24"/>
          <w:szCs w:val="24"/>
        </w:rPr>
        <w:t xml:space="preserve">二〇一九年七月十日 </w:t>
      </w:r>
    </w:p>
    <w:p>
      <w:pPr>
        <w:widowControl/>
        <w:jc w:val="left"/>
        <w:rPr>
          <w:rFonts w:ascii="宋体" w:hAnsi="宋体"/>
          <w:b/>
          <w:sz w:val="24"/>
          <w:szCs w:val="24"/>
        </w:rPr>
      </w:pPr>
      <w:bookmarkStart w:id="4" w:name="_Hlk527706449"/>
    </w:p>
    <w:p>
      <w:pPr>
        <w:jc w:val="center"/>
        <w:rPr>
          <w:sz w:val="32"/>
          <w:szCs w:val="32"/>
        </w:rPr>
      </w:pPr>
      <w:r>
        <w:rPr>
          <w:rFonts w:hint="eastAsia"/>
          <w:b/>
          <w:sz w:val="32"/>
          <w:szCs w:val="32"/>
        </w:rPr>
        <w:t>浙江海正博锐生物制药有限公司</w:t>
      </w:r>
      <w:bookmarkEnd w:id="4"/>
      <w:r>
        <w:rPr>
          <w:rFonts w:hint="eastAsia"/>
          <w:b/>
          <w:sz w:val="32"/>
          <w:szCs w:val="32"/>
        </w:rPr>
        <w:t>新增</w:t>
      </w:r>
      <w:bookmarkStart w:id="5" w:name="_Hlk527706469"/>
      <w:r>
        <w:rPr>
          <w:rFonts w:hint="eastAsia"/>
          <w:b/>
          <w:sz w:val="32"/>
          <w:szCs w:val="32"/>
        </w:rPr>
        <w:t>8,928.5714万元注册资本</w:t>
      </w:r>
      <w:bookmarkEnd w:id="5"/>
      <w:r>
        <w:rPr>
          <w:rFonts w:hint="eastAsia"/>
          <w:b/>
          <w:sz w:val="32"/>
          <w:szCs w:val="32"/>
        </w:rPr>
        <w:t>项目文件</w:t>
      </w:r>
      <w:bookmarkStart w:id="6" w:name="_Toc14337"/>
      <w:r>
        <w:rPr>
          <w:rFonts w:hint="eastAsia"/>
          <w:sz w:val="32"/>
          <w:szCs w:val="32"/>
        </w:rPr>
        <w:t>须知及相关说明</w:t>
      </w:r>
      <w:bookmarkEnd w:id="6"/>
    </w:p>
    <w:p>
      <w:pPr>
        <w:spacing w:line="500" w:lineRule="atLeast"/>
        <w:ind w:firstLine="482" w:firstLineChars="200"/>
        <w:jc w:val="center"/>
        <w:rPr>
          <w:rFonts w:ascii="宋体"/>
          <w:b/>
          <w:sz w:val="24"/>
          <w:szCs w:val="24"/>
        </w:rPr>
      </w:pPr>
    </w:p>
    <w:p>
      <w:pPr>
        <w:spacing w:line="500" w:lineRule="atLeast"/>
        <w:ind w:firstLine="480" w:firstLineChars="200"/>
        <w:rPr>
          <w:rFonts w:ascii="宋体"/>
          <w:sz w:val="24"/>
          <w:szCs w:val="24"/>
        </w:rPr>
      </w:pPr>
      <w:r>
        <w:rPr>
          <w:rFonts w:hint="eastAsia" w:ascii="宋体" w:hAnsi="宋体"/>
          <w:sz w:val="24"/>
          <w:szCs w:val="24"/>
        </w:rPr>
        <w:t>本公司（即台州市产权交易所有限公司）受浙江海正博锐生物制药有限公司的委托，</w:t>
      </w:r>
      <w:r>
        <w:rPr>
          <w:rFonts w:hint="eastAsia" w:ascii="宋体"/>
          <w:sz w:val="24"/>
          <w:szCs w:val="24"/>
        </w:rPr>
        <w:t>通过挂牌方式对其新增8,928.5714万元注册资本项目公开引进一家投资方</w:t>
      </w:r>
      <w:r>
        <w:rPr>
          <w:rFonts w:hint="eastAsia" w:ascii="宋体" w:hAnsi="宋体"/>
          <w:sz w:val="24"/>
          <w:szCs w:val="24"/>
        </w:rPr>
        <w:t>（不接受</w:t>
      </w:r>
      <w:r>
        <w:rPr>
          <w:rFonts w:hint="eastAsia" w:ascii="宋体"/>
          <w:sz w:val="24"/>
          <w:szCs w:val="24"/>
        </w:rPr>
        <w:t>联合投标体）。</w:t>
      </w:r>
      <w:r>
        <w:rPr>
          <w:rFonts w:hint="eastAsia" w:ascii="宋体" w:hAnsi="宋体"/>
          <w:sz w:val="24"/>
          <w:szCs w:val="24"/>
        </w:rPr>
        <w:t>为切实保障各参与当事人的权利和义务，根据《中华人民共和国合同法》、《中华人民共和国企业国有资产法》和《企业国有资产交易监督管理办法》（</w:t>
      </w:r>
      <w:r>
        <w:rPr>
          <w:rFonts w:ascii="宋体" w:hAnsi="宋体"/>
          <w:sz w:val="24"/>
          <w:szCs w:val="24"/>
        </w:rPr>
        <w:t>3</w:t>
      </w:r>
      <w:r>
        <w:rPr>
          <w:rFonts w:hint="eastAsia" w:ascii="宋体" w:hAnsi="宋体"/>
          <w:sz w:val="24"/>
          <w:szCs w:val="24"/>
        </w:rPr>
        <w:t>2号令），本着公开、公平、公正、诚实信用的原则，特制定须知及特别约定如下：</w:t>
      </w:r>
    </w:p>
    <w:p>
      <w:pPr>
        <w:numPr>
          <w:ilvl w:val="0"/>
          <w:numId w:val="2"/>
        </w:numPr>
        <w:spacing w:line="500" w:lineRule="atLeast"/>
        <w:ind w:left="0" w:firstLine="720"/>
        <w:rPr>
          <w:rFonts w:ascii="宋体"/>
          <w:b/>
          <w:sz w:val="24"/>
          <w:szCs w:val="24"/>
        </w:rPr>
      </w:pPr>
      <w:r>
        <w:rPr>
          <w:rFonts w:hint="eastAsia" w:ascii="宋体" w:hAnsi="宋体"/>
          <w:b/>
          <w:sz w:val="24"/>
          <w:szCs w:val="24"/>
        </w:rPr>
        <w:t>定义和释义</w:t>
      </w:r>
    </w:p>
    <w:p>
      <w:pPr>
        <w:spacing w:line="500" w:lineRule="atLeast"/>
        <w:ind w:firstLine="480" w:firstLineChars="200"/>
        <w:rPr>
          <w:rFonts w:ascii="宋体"/>
          <w:sz w:val="24"/>
          <w:szCs w:val="24"/>
        </w:rPr>
      </w:pPr>
      <w:r>
        <w:rPr>
          <w:rFonts w:hint="eastAsia" w:ascii="宋体" w:hAnsi="宋体"/>
          <w:sz w:val="24"/>
          <w:szCs w:val="24"/>
        </w:rPr>
        <w:t>（一）定义</w:t>
      </w:r>
    </w:p>
    <w:p>
      <w:pPr>
        <w:numPr>
          <w:ilvl w:val="0"/>
          <w:numId w:val="3"/>
        </w:numPr>
        <w:spacing w:line="500" w:lineRule="atLeast"/>
        <w:ind w:firstLine="480" w:firstLineChars="200"/>
        <w:rPr>
          <w:rFonts w:ascii="宋体"/>
          <w:sz w:val="24"/>
          <w:szCs w:val="24"/>
        </w:rPr>
      </w:pPr>
      <w:r>
        <w:rPr>
          <w:rFonts w:hint="eastAsia" w:ascii="宋体" w:hAnsi="宋体"/>
          <w:sz w:val="24"/>
          <w:szCs w:val="24"/>
        </w:rPr>
        <w:t>本项目：浙江海正博锐生物制药有限公司新增8,928.5714万元注册资本。</w:t>
      </w:r>
    </w:p>
    <w:p>
      <w:pPr>
        <w:numPr>
          <w:ilvl w:val="0"/>
          <w:numId w:val="3"/>
        </w:numPr>
        <w:spacing w:line="500" w:lineRule="atLeast"/>
        <w:ind w:firstLine="480" w:firstLineChars="200"/>
        <w:rPr>
          <w:rFonts w:ascii="宋体"/>
          <w:sz w:val="24"/>
          <w:szCs w:val="24"/>
        </w:rPr>
      </w:pPr>
      <w:r>
        <w:rPr>
          <w:rFonts w:hint="eastAsia" w:ascii="宋体" w:hAnsi="宋体"/>
          <w:sz w:val="24"/>
          <w:szCs w:val="24"/>
        </w:rPr>
        <w:t>标的公司：浙江海正博锐生物制药有限公司（以下简称“海正博锐”）。</w:t>
      </w:r>
    </w:p>
    <w:p>
      <w:pPr>
        <w:numPr>
          <w:ilvl w:val="0"/>
          <w:numId w:val="3"/>
        </w:numPr>
        <w:spacing w:line="500" w:lineRule="atLeast"/>
        <w:ind w:firstLine="480" w:firstLineChars="200"/>
        <w:rPr>
          <w:rFonts w:ascii="宋体"/>
          <w:sz w:val="24"/>
          <w:szCs w:val="24"/>
        </w:rPr>
      </w:pPr>
      <w:r>
        <w:rPr>
          <w:rFonts w:hint="eastAsia" w:ascii="宋体" w:hAnsi="宋体"/>
          <w:sz w:val="24"/>
          <w:szCs w:val="24"/>
        </w:rPr>
        <w:t>申请方：浙江海正博锐生物制药有限公司（也称融资方、增资方）。</w:t>
      </w:r>
    </w:p>
    <w:p>
      <w:pPr>
        <w:numPr>
          <w:ilvl w:val="0"/>
          <w:numId w:val="3"/>
        </w:numPr>
        <w:spacing w:line="500" w:lineRule="atLeast"/>
        <w:ind w:firstLine="480" w:firstLineChars="200"/>
        <w:rPr>
          <w:rFonts w:ascii="宋体"/>
          <w:sz w:val="24"/>
          <w:szCs w:val="24"/>
        </w:rPr>
      </w:pPr>
      <w:r>
        <w:rPr>
          <w:rFonts w:hint="eastAsia" w:ascii="宋体" w:hAnsi="宋体"/>
          <w:sz w:val="24"/>
          <w:szCs w:val="24"/>
        </w:rPr>
        <w:t>组织人：指台州市产权交易所有限公司（以下简称“台交所”）。</w:t>
      </w:r>
    </w:p>
    <w:p>
      <w:pPr>
        <w:numPr>
          <w:ilvl w:val="0"/>
          <w:numId w:val="3"/>
        </w:numPr>
        <w:spacing w:line="500" w:lineRule="atLeast"/>
        <w:ind w:firstLine="480" w:firstLineChars="200"/>
        <w:rPr>
          <w:rFonts w:ascii="宋体" w:hAnsi="宋体"/>
          <w:sz w:val="24"/>
          <w:szCs w:val="24"/>
        </w:rPr>
      </w:pPr>
      <w:r>
        <w:rPr>
          <w:rFonts w:hint="eastAsia" w:ascii="宋体" w:hAnsi="宋体"/>
          <w:sz w:val="24"/>
          <w:szCs w:val="24"/>
        </w:rPr>
        <w:t>意向投资方：指经资格确认参与本项目并按时交纳足额保证金的意向投资主体；</w:t>
      </w:r>
      <w:r>
        <w:rPr>
          <w:rFonts w:ascii="宋体" w:hAnsi="宋体"/>
          <w:sz w:val="24"/>
          <w:szCs w:val="24"/>
        </w:rPr>
        <w:t>为免疑义，</w:t>
      </w:r>
      <w:r>
        <w:rPr>
          <w:rFonts w:hint="eastAsia" w:ascii="宋体" w:hAnsi="宋体"/>
          <w:sz w:val="24"/>
          <w:szCs w:val="24"/>
        </w:rPr>
        <w:t>意向</w:t>
      </w:r>
      <w:r>
        <w:rPr>
          <w:rFonts w:ascii="宋体" w:hAnsi="宋体"/>
          <w:sz w:val="24"/>
          <w:szCs w:val="24"/>
        </w:rPr>
        <w:t>投资方</w:t>
      </w:r>
      <w:r>
        <w:rPr>
          <w:rFonts w:hint="eastAsia" w:ascii="宋体" w:hAnsi="宋体"/>
          <w:sz w:val="24"/>
          <w:szCs w:val="24"/>
        </w:rPr>
        <w:t>仅</w:t>
      </w:r>
      <w:r>
        <w:rPr>
          <w:rFonts w:ascii="宋体" w:hAnsi="宋体"/>
          <w:sz w:val="24"/>
          <w:szCs w:val="24"/>
        </w:rPr>
        <w:t>可为</w:t>
      </w:r>
      <w:r>
        <w:rPr>
          <w:rFonts w:hint="eastAsia" w:ascii="宋体" w:hAnsi="宋体"/>
          <w:sz w:val="24"/>
          <w:szCs w:val="24"/>
        </w:rPr>
        <w:t>单个</w:t>
      </w:r>
      <w:r>
        <w:rPr>
          <w:rFonts w:ascii="宋体" w:hAnsi="宋体"/>
          <w:sz w:val="24"/>
          <w:szCs w:val="24"/>
        </w:rPr>
        <w:t>主体</w:t>
      </w:r>
      <w:r>
        <w:rPr>
          <w:rFonts w:hint="eastAsia" w:ascii="宋体" w:hAnsi="宋体"/>
          <w:sz w:val="24"/>
          <w:szCs w:val="24"/>
        </w:rPr>
        <w:t>，不</w:t>
      </w:r>
      <w:r>
        <w:rPr>
          <w:rFonts w:ascii="宋体" w:hAnsi="宋体"/>
          <w:sz w:val="24"/>
          <w:szCs w:val="24"/>
        </w:rPr>
        <w:t>接受</w:t>
      </w:r>
      <w:r>
        <w:rPr>
          <w:rFonts w:hint="eastAsia" w:ascii="宋体" w:hAnsi="宋体"/>
          <w:sz w:val="24"/>
          <w:szCs w:val="24"/>
        </w:rPr>
        <w:t>任何联合投</w:t>
      </w:r>
      <w:r>
        <w:rPr>
          <w:rFonts w:ascii="宋体" w:hAnsi="宋体"/>
          <w:sz w:val="24"/>
          <w:szCs w:val="24"/>
        </w:rPr>
        <w:t>标体</w:t>
      </w:r>
      <w:r>
        <w:rPr>
          <w:rFonts w:hint="eastAsia" w:ascii="宋体" w:hAnsi="宋体"/>
          <w:sz w:val="24"/>
          <w:szCs w:val="24"/>
        </w:rPr>
        <w:t>。</w:t>
      </w:r>
    </w:p>
    <w:p>
      <w:pPr>
        <w:numPr>
          <w:ilvl w:val="0"/>
          <w:numId w:val="3"/>
        </w:numPr>
        <w:spacing w:line="500" w:lineRule="atLeast"/>
        <w:ind w:firstLine="480" w:firstLineChars="200"/>
        <w:rPr>
          <w:rFonts w:ascii="宋体"/>
          <w:sz w:val="24"/>
          <w:szCs w:val="24"/>
        </w:rPr>
      </w:pPr>
      <w:r>
        <w:rPr>
          <w:rFonts w:hint="eastAsia" w:ascii="宋体" w:hAnsi="宋体"/>
          <w:sz w:val="24"/>
          <w:szCs w:val="24"/>
        </w:rPr>
        <w:t>投资方：本项目最终确定的投资主体。</w:t>
      </w:r>
    </w:p>
    <w:p>
      <w:pPr>
        <w:numPr>
          <w:ilvl w:val="0"/>
          <w:numId w:val="3"/>
        </w:numPr>
        <w:spacing w:line="500" w:lineRule="atLeast"/>
        <w:ind w:firstLine="480" w:firstLineChars="200"/>
        <w:rPr>
          <w:rFonts w:ascii="宋体"/>
          <w:sz w:val="24"/>
          <w:szCs w:val="24"/>
        </w:rPr>
      </w:pPr>
      <w:r>
        <w:rPr>
          <w:rFonts w:hint="eastAsia" w:ascii="宋体" w:hAnsi="宋体"/>
          <w:sz w:val="24"/>
          <w:szCs w:val="24"/>
        </w:rPr>
        <w:t>增资协议：指融资方与投资方就本项目签订的《浙江海正博锐生物制药有限公司增资扩股协议》。</w:t>
      </w:r>
    </w:p>
    <w:p>
      <w:pPr>
        <w:numPr>
          <w:ilvl w:val="0"/>
          <w:numId w:val="3"/>
        </w:numPr>
        <w:spacing w:line="500" w:lineRule="atLeast"/>
        <w:rPr>
          <w:rFonts w:ascii="宋体"/>
          <w:sz w:val="24"/>
          <w:szCs w:val="24"/>
        </w:rPr>
      </w:pPr>
      <w:r>
        <w:rPr>
          <w:rFonts w:hint="eastAsia" w:ascii="宋体" w:hAnsi="宋体"/>
          <w:sz w:val="24"/>
          <w:szCs w:val="24"/>
        </w:rPr>
        <w:t>增资文件：指《浙江海正博锐生物制药有限公司新增8,928.5714万元注册资本增资扩股项目增资文件》。</w:t>
      </w:r>
    </w:p>
    <w:p>
      <w:pPr>
        <w:numPr>
          <w:ilvl w:val="0"/>
          <w:numId w:val="3"/>
        </w:numPr>
        <w:spacing w:line="500" w:lineRule="atLeast"/>
        <w:ind w:firstLine="480" w:firstLineChars="200"/>
        <w:rPr>
          <w:rFonts w:ascii="宋体"/>
          <w:sz w:val="24"/>
          <w:szCs w:val="24"/>
        </w:rPr>
      </w:pPr>
      <w:r>
        <w:rPr>
          <w:rFonts w:hint="eastAsia" w:ascii="宋体" w:hAnsi="宋体"/>
          <w:sz w:val="24"/>
          <w:szCs w:val="24"/>
        </w:rPr>
        <w:t>报名截止时间：</w:t>
      </w:r>
      <w:r>
        <w:rPr>
          <w:rFonts w:ascii="宋体" w:hAnsi="宋体"/>
          <w:sz w:val="24"/>
          <w:szCs w:val="24"/>
          <w:u w:val="single"/>
        </w:rPr>
        <w:t xml:space="preserve"> 2019</w:t>
      </w:r>
      <w:r>
        <w:rPr>
          <w:rFonts w:hint="eastAsia" w:ascii="宋体" w:hAnsi="宋体"/>
          <w:sz w:val="24"/>
          <w:szCs w:val="24"/>
        </w:rPr>
        <w:t>年</w:t>
      </w:r>
      <w:r>
        <w:rPr>
          <w:rFonts w:hint="eastAsia" w:ascii="宋体" w:hAnsi="宋体"/>
          <w:sz w:val="24"/>
          <w:szCs w:val="24"/>
          <w:u w:val="single"/>
        </w:rPr>
        <w:t>9</w:t>
      </w:r>
      <w:r>
        <w:rPr>
          <w:rFonts w:hint="eastAsia" w:ascii="宋体" w:hAnsi="宋体"/>
          <w:sz w:val="24"/>
          <w:szCs w:val="24"/>
        </w:rPr>
        <w:t>月</w:t>
      </w:r>
      <w:r>
        <w:rPr>
          <w:rFonts w:hint="eastAsia" w:ascii="宋体" w:hAnsi="宋体"/>
          <w:sz w:val="24"/>
          <w:szCs w:val="24"/>
          <w:u w:val="single"/>
        </w:rPr>
        <w:t>3</w:t>
      </w:r>
      <w:r>
        <w:rPr>
          <w:rFonts w:hint="eastAsia" w:ascii="宋体" w:hAnsi="宋体"/>
          <w:sz w:val="24"/>
        </w:rPr>
        <w:t>日</w:t>
      </w:r>
      <w:r>
        <w:rPr>
          <w:rFonts w:hint="eastAsia" w:ascii="宋体" w:hAnsi="宋体"/>
          <w:sz w:val="24"/>
          <w:szCs w:val="24"/>
        </w:rPr>
        <w:t>下午</w:t>
      </w:r>
      <w:r>
        <w:rPr>
          <w:rFonts w:ascii="宋体" w:hAnsi="宋体"/>
          <w:sz w:val="24"/>
        </w:rPr>
        <w:t>4</w:t>
      </w:r>
      <w:r>
        <w:rPr>
          <w:rFonts w:hint="eastAsia" w:ascii="宋体" w:hAnsi="宋体"/>
          <w:sz w:val="24"/>
          <w:szCs w:val="24"/>
        </w:rPr>
        <w:t>时整。</w:t>
      </w:r>
    </w:p>
    <w:p>
      <w:pPr>
        <w:spacing w:line="500" w:lineRule="atLeast"/>
        <w:ind w:firstLine="480" w:firstLineChars="200"/>
        <w:rPr>
          <w:rFonts w:ascii="宋体"/>
          <w:sz w:val="24"/>
          <w:szCs w:val="24"/>
        </w:rPr>
      </w:pPr>
      <w:r>
        <w:rPr>
          <w:rFonts w:ascii="宋体" w:hAnsi="宋体"/>
          <w:sz w:val="24"/>
          <w:szCs w:val="24"/>
        </w:rPr>
        <w:t>10.</w:t>
      </w:r>
      <w:r>
        <w:rPr>
          <w:rFonts w:hint="eastAsia" w:ascii="宋体" w:hAnsi="宋体"/>
          <w:sz w:val="24"/>
          <w:szCs w:val="24"/>
        </w:rPr>
        <w:t>保证金到账截止时间：指意向投资方的保证金到达组织人指定账户的截止时间，以银行到账为准。</w:t>
      </w:r>
    </w:p>
    <w:p>
      <w:pPr>
        <w:spacing w:line="500" w:lineRule="atLeast"/>
        <w:ind w:firstLine="480" w:firstLineChars="200"/>
        <w:rPr>
          <w:rFonts w:ascii="宋体"/>
          <w:sz w:val="24"/>
          <w:szCs w:val="24"/>
        </w:rPr>
      </w:pPr>
      <w:r>
        <w:rPr>
          <w:rFonts w:hint="eastAsia" w:ascii="宋体" w:hAnsi="宋体"/>
          <w:sz w:val="24"/>
          <w:szCs w:val="24"/>
        </w:rPr>
        <w:t>（二）释义</w:t>
      </w:r>
    </w:p>
    <w:p>
      <w:pPr>
        <w:numPr>
          <w:ilvl w:val="0"/>
          <w:numId w:val="4"/>
        </w:numPr>
        <w:spacing w:line="500" w:lineRule="atLeast"/>
        <w:ind w:left="0" w:firstLine="480" w:firstLineChars="200"/>
        <w:rPr>
          <w:rFonts w:ascii="宋体"/>
          <w:sz w:val="24"/>
          <w:szCs w:val="24"/>
        </w:rPr>
      </w:pPr>
      <w:r>
        <w:rPr>
          <w:rFonts w:hint="eastAsia" w:ascii="宋体" w:hAnsi="宋体"/>
          <w:sz w:val="24"/>
          <w:szCs w:val="24"/>
        </w:rPr>
        <w:t>除非上下文另有所指，所提及的条款指本增资文件的条款。</w:t>
      </w:r>
    </w:p>
    <w:p>
      <w:pPr>
        <w:numPr>
          <w:ilvl w:val="0"/>
          <w:numId w:val="4"/>
        </w:numPr>
        <w:spacing w:line="500" w:lineRule="atLeast"/>
        <w:ind w:left="0" w:firstLine="480" w:firstLineChars="200"/>
        <w:rPr>
          <w:rFonts w:ascii="宋体"/>
          <w:sz w:val="24"/>
          <w:szCs w:val="24"/>
        </w:rPr>
      </w:pPr>
      <w:r>
        <w:rPr>
          <w:rFonts w:hint="eastAsia" w:ascii="宋体" w:hAnsi="宋体"/>
          <w:sz w:val="24"/>
          <w:szCs w:val="24"/>
        </w:rPr>
        <w:t>本增资文件提及的时间皆为北京时间，货币指人民币。</w:t>
      </w:r>
    </w:p>
    <w:p>
      <w:pPr>
        <w:numPr>
          <w:ilvl w:val="0"/>
          <w:numId w:val="4"/>
        </w:numPr>
        <w:spacing w:line="500" w:lineRule="atLeast"/>
        <w:ind w:left="0" w:firstLine="480" w:firstLineChars="200"/>
        <w:rPr>
          <w:rFonts w:ascii="宋体"/>
          <w:sz w:val="24"/>
          <w:szCs w:val="24"/>
        </w:rPr>
      </w:pPr>
      <w:r>
        <w:rPr>
          <w:rFonts w:hint="eastAsia" w:ascii="宋体" w:hAnsi="宋体"/>
          <w:sz w:val="24"/>
          <w:szCs w:val="24"/>
        </w:rPr>
        <w:t>本增资文件提供中文文本。</w:t>
      </w:r>
    </w:p>
    <w:p>
      <w:pPr>
        <w:numPr>
          <w:ilvl w:val="0"/>
          <w:numId w:val="2"/>
        </w:numPr>
        <w:spacing w:line="500" w:lineRule="atLeast"/>
        <w:rPr>
          <w:rFonts w:ascii="宋体"/>
          <w:b/>
          <w:sz w:val="24"/>
          <w:szCs w:val="24"/>
        </w:rPr>
      </w:pPr>
      <w:r>
        <w:rPr>
          <w:rFonts w:hint="eastAsia" w:ascii="宋体" w:hAnsi="宋体"/>
          <w:b/>
          <w:sz w:val="24"/>
          <w:szCs w:val="24"/>
        </w:rPr>
        <w:t>须知</w:t>
      </w:r>
    </w:p>
    <w:p>
      <w:pPr>
        <w:spacing w:beforeLines="50" w:line="360" w:lineRule="auto"/>
        <w:ind w:firstLine="482" w:firstLineChars="200"/>
        <w:rPr>
          <w:rFonts w:ascii="宋体"/>
          <w:b/>
          <w:bCs/>
          <w:sz w:val="24"/>
          <w:szCs w:val="24"/>
        </w:rPr>
      </w:pPr>
      <w:r>
        <w:rPr>
          <w:rFonts w:hint="eastAsia" w:ascii="宋体" w:hAnsi="宋体"/>
          <w:b/>
          <w:bCs/>
          <w:sz w:val="24"/>
          <w:szCs w:val="24"/>
        </w:rPr>
        <w:t>（一）海正博锐基本情况</w:t>
      </w:r>
    </w:p>
    <w:p>
      <w:pPr>
        <w:autoSpaceDE w:val="0"/>
        <w:autoSpaceDN w:val="0"/>
        <w:adjustRightInd w:val="0"/>
        <w:spacing w:beforeLines="50" w:line="360" w:lineRule="auto"/>
        <w:ind w:firstLine="480" w:firstLineChars="200"/>
        <w:rPr>
          <w:rFonts w:ascii="宋体" w:hAnsi="宋体"/>
          <w:sz w:val="24"/>
        </w:rPr>
      </w:pPr>
      <w:r>
        <w:rPr>
          <w:rFonts w:hint="eastAsia" w:ascii="宋体" w:hAnsi="宋体"/>
          <w:sz w:val="24"/>
        </w:rPr>
        <w:t>海正博锐是一家专注于</w:t>
      </w:r>
      <w:r>
        <w:rPr>
          <w:rFonts w:hint="eastAsia" w:ascii="宋体" w:hAnsi="宋体"/>
          <w:sz w:val="24"/>
          <w:szCs w:val="24"/>
        </w:rPr>
        <w:t>单抗类生物药研发、生产和销售</w:t>
      </w:r>
      <w:r>
        <w:rPr>
          <w:rFonts w:hint="eastAsia" w:ascii="宋体" w:hAnsi="宋体"/>
          <w:sz w:val="24"/>
        </w:rPr>
        <w:t>的专业化公司。组建于</w:t>
      </w:r>
      <w:r>
        <w:rPr>
          <w:rFonts w:hint="eastAsia" w:ascii="宋体" w:hAnsi="宋体"/>
          <w:sz w:val="24"/>
          <w:szCs w:val="24"/>
        </w:rPr>
        <w:t>2019年1月</w:t>
      </w:r>
      <w:r>
        <w:rPr>
          <w:rFonts w:hint="eastAsia" w:ascii="宋体" w:hAnsi="宋体"/>
          <w:sz w:val="24"/>
        </w:rPr>
        <w:t>，注册资本</w:t>
      </w:r>
      <w:r>
        <w:rPr>
          <w:rFonts w:hint="eastAsia" w:ascii="宋体" w:hAnsi="宋体"/>
          <w:sz w:val="24"/>
          <w:szCs w:val="24"/>
        </w:rPr>
        <w:t>5</w:t>
      </w:r>
      <w:r>
        <w:rPr>
          <w:rFonts w:hint="eastAsia" w:ascii="宋体" w:hAnsi="宋体"/>
          <w:sz w:val="24"/>
        </w:rPr>
        <w:t>亿元，统一社会信用代码为</w:t>
      </w:r>
      <w:r>
        <w:rPr>
          <w:rFonts w:ascii="宋体" w:hAnsi="宋体"/>
          <w:sz w:val="24"/>
          <w:szCs w:val="24"/>
        </w:rPr>
        <w:t>91331002MA2DTHGU4M</w:t>
      </w:r>
      <w:r>
        <w:rPr>
          <w:rFonts w:hint="eastAsia" w:ascii="宋体" w:hAnsi="宋体"/>
          <w:sz w:val="24"/>
        </w:rPr>
        <w:t>，法定代表人</w:t>
      </w:r>
      <w:r>
        <w:rPr>
          <w:rFonts w:hint="eastAsia" w:ascii="宋体" w:hAnsi="宋体"/>
          <w:sz w:val="24"/>
          <w:szCs w:val="24"/>
        </w:rPr>
        <w:t>蒋国平</w:t>
      </w:r>
      <w:r>
        <w:rPr>
          <w:rFonts w:hint="eastAsia" w:ascii="宋体" w:hAnsi="宋体"/>
          <w:sz w:val="24"/>
        </w:rPr>
        <w:t>。海正博锐现有股权结构如下：</w:t>
      </w:r>
    </w:p>
    <w:tbl>
      <w:tblPr>
        <w:tblStyle w:val="18"/>
        <w:tblW w:w="875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38"/>
        <w:gridCol w:w="2551"/>
        <w:gridCol w:w="19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4238" w:type="dxa"/>
            <w:shd w:val="clear" w:color="auto" w:fill="auto"/>
            <w:vAlign w:val="center"/>
          </w:tcPr>
          <w:p>
            <w:pPr>
              <w:widowControl/>
              <w:spacing w:line="360" w:lineRule="auto"/>
              <w:jc w:val="center"/>
              <w:rPr>
                <w:rFonts w:ascii="宋体" w:hAnsi="宋体"/>
                <w:kern w:val="0"/>
                <w:sz w:val="24"/>
              </w:rPr>
            </w:pPr>
            <w:r>
              <w:rPr>
                <w:rFonts w:hint="eastAsia" w:ascii="宋体" w:hAnsi="宋体"/>
                <w:kern w:val="0"/>
                <w:sz w:val="24"/>
              </w:rPr>
              <w:t>股东名称</w:t>
            </w:r>
          </w:p>
        </w:tc>
        <w:tc>
          <w:tcPr>
            <w:tcW w:w="2551" w:type="dxa"/>
            <w:shd w:val="clear" w:color="auto" w:fill="auto"/>
            <w:vAlign w:val="center"/>
          </w:tcPr>
          <w:p>
            <w:pPr>
              <w:widowControl/>
              <w:spacing w:line="360" w:lineRule="auto"/>
              <w:jc w:val="center"/>
              <w:rPr>
                <w:rFonts w:ascii="宋体" w:hAnsi="宋体"/>
                <w:kern w:val="0"/>
                <w:sz w:val="24"/>
              </w:rPr>
            </w:pPr>
            <w:r>
              <w:rPr>
                <w:rFonts w:hint="eastAsia" w:ascii="宋体" w:hAnsi="宋体"/>
                <w:kern w:val="0"/>
                <w:sz w:val="24"/>
              </w:rPr>
              <w:t>出资额（万元）</w:t>
            </w:r>
          </w:p>
        </w:tc>
        <w:tc>
          <w:tcPr>
            <w:tcW w:w="1966" w:type="dxa"/>
            <w:shd w:val="clear" w:color="auto" w:fill="auto"/>
            <w:vAlign w:val="center"/>
          </w:tcPr>
          <w:p>
            <w:pPr>
              <w:widowControl/>
              <w:spacing w:line="360" w:lineRule="auto"/>
              <w:jc w:val="center"/>
              <w:rPr>
                <w:rFonts w:ascii="宋体" w:hAnsi="宋体"/>
                <w:kern w:val="0"/>
                <w:sz w:val="24"/>
              </w:rPr>
            </w:pPr>
            <w:r>
              <w:rPr>
                <w:rFonts w:hint="eastAsia" w:ascii="宋体" w:hAnsi="宋体"/>
                <w:kern w:val="0"/>
                <w:sz w:val="24"/>
              </w:rPr>
              <w:t>出资比例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4238" w:type="dxa"/>
            <w:vAlign w:val="center"/>
          </w:tcPr>
          <w:p>
            <w:pPr>
              <w:jc w:val="center"/>
              <w:rPr>
                <w:rFonts w:ascii="宋体" w:hAnsi="宋体"/>
                <w:sz w:val="24"/>
              </w:rPr>
            </w:pPr>
            <w:r>
              <w:rPr>
                <w:rFonts w:hint="eastAsia" w:ascii="宋体" w:hAnsi="宋体"/>
                <w:sz w:val="24"/>
              </w:rPr>
              <w:t>浙江海正药业股份有限公司</w:t>
            </w:r>
          </w:p>
        </w:tc>
        <w:tc>
          <w:tcPr>
            <w:tcW w:w="2551" w:type="dxa"/>
            <w:vAlign w:val="center"/>
          </w:tcPr>
          <w:p>
            <w:pPr>
              <w:jc w:val="center"/>
              <w:rPr>
                <w:rFonts w:ascii="宋体" w:hAnsi="宋体"/>
                <w:sz w:val="24"/>
              </w:rPr>
            </w:pPr>
            <w:r>
              <w:rPr>
                <w:rFonts w:ascii="宋体" w:hAnsi="宋体"/>
                <w:sz w:val="24"/>
                <w:szCs w:val="24"/>
              </w:rPr>
              <w:t>29,829.5</w:t>
            </w:r>
            <w:r>
              <w:rPr>
                <w:rFonts w:hint="eastAsia" w:ascii="宋体" w:hAnsi="宋体"/>
                <w:sz w:val="24"/>
                <w:szCs w:val="24"/>
              </w:rPr>
              <w:t>0</w:t>
            </w:r>
          </w:p>
        </w:tc>
        <w:tc>
          <w:tcPr>
            <w:tcW w:w="1966" w:type="dxa"/>
            <w:vAlign w:val="center"/>
          </w:tcPr>
          <w:p>
            <w:pPr>
              <w:jc w:val="center"/>
              <w:rPr>
                <w:rFonts w:ascii="宋体" w:hAnsi="宋体"/>
                <w:sz w:val="24"/>
              </w:rPr>
            </w:pPr>
            <w:r>
              <w:rPr>
                <w:rFonts w:hint="eastAsia" w:ascii="宋体" w:hAnsi="宋体"/>
                <w:sz w:val="24"/>
                <w:szCs w:val="24"/>
              </w:rPr>
              <w:t>59</w:t>
            </w:r>
            <w:r>
              <w:rPr>
                <w:rFonts w:ascii="宋体" w:hAnsi="宋体"/>
                <w:sz w:val="24"/>
                <w:szCs w:val="24"/>
              </w:rPr>
              <w:t>.6</w:t>
            </w:r>
            <w:r>
              <w:rPr>
                <w:rFonts w:hint="eastAsia" w:ascii="宋体" w:hAnsi="宋体"/>
                <w:sz w:val="24"/>
                <w:szCs w:val="24"/>
              </w:rPr>
              <w:t>6</w:t>
            </w:r>
            <w:r>
              <w:rPr>
                <w:rFonts w:ascii="宋体" w:hAnsi="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4238" w:type="dxa"/>
            <w:vAlign w:val="center"/>
          </w:tcPr>
          <w:p>
            <w:pPr>
              <w:jc w:val="center"/>
              <w:rPr>
                <w:rFonts w:ascii="宋体" w:hAnsi="宋体"/>
                <w:sz w:val="24"/>
              </w:rPr>
            </w:pPr>
            <w:r>
              <w:rPr>
                <w:rFonts w:hint="eastAsia" w:ascii="宋体" w:hAnsi="宋体"/>
                <w:sz w:val="24"/>
              </w:rPr>
              <w:t>海正药业（杭州）有限公司</w:t>
            </w:r>
          </w:p>
        </w:tc>
        <w:tc>
          <w:tcPr>
            <w:tcW w:w="2551" w:type="dxa"/>
            <w:vAlign w:val="center"/>
          </w:tcPr>
          <w:p>
            <w:pPr>
              <w:jc w:val="center"/>
              <w:rPr>
                <w:rFonts w:ascii="宋体" w:hAnsi="宋体"/>
                <w:sz w:val="24"/>
              </w:rPr>
            </w:pPr>
            <w:r>
              <w:rPr>
                <w:rFonts w:ascii="宋体" w:hAnsi="宋体"/>
                <w:sz w:val="24"/>
                <w:szCs w:val="24"/>
              </w:rPr>
              <w:t>20,170.5</w:t>
            </w:r>
            <w:r>
              <w:rPr>
                <w:rFonts w:hint="eastAsia" w:ascii="宋体" w:hAnsi="宋体"/>
                <w:sz w:val="24"/>
                <w:szCs w:val="24"/>
              </w:rPr>
              <w:t>0</w:t>
            </w:r>
          </w:p>
        </w:tc>
        <w:tc>
          <w:tcPr>
            <w:tcW w:w="1966" w:type="dxa"/>
            <w:vAlign w:val="center"/>
          </w:tcPr>
          <w:p>
            <w:pPr>
              <w:jc w:val="center"/>
              <w:rPr>
                <w:rFonts w:ascii="宋体" w:hAnsi="宋体"/>
                <w:sz w:val="24"/>
              </w:rPr>
            </w:pPr>
            <w:r>
              <w:rPr>
                <w:rFonts w:hint="eastAsia" w:ascii="宋体" w:hAnsi="宋体"/>
                <w:sz w:val="24"/>
                <w:szCs w:val="24"/>
              </w:rPr>
              <w:t>40</w:t>
            </w:r>
            <w:r>
              <w:rPr>
                <w:rFonts w:ascii="宋体" w:hAnsi="宋体"/>
                <w:sz w:val="24"/>
                <w:szCs w:val="24"/>
              </w:rPr>
              <w:t>.</w:t>
            </w:r>
            <w:r>
              <w:rPr>
                <w:rFonts w:hint="eastAsia" w:ascii="宋体" w:hAnsi="宋体"/>
                <w:sz w:val="24"/>
                <w:szCs w:val="24"/>
              </w:rPr>
              <w:t>3</w:t>
            </w:r>
            <w:r>
              <w:rPr>
                <w:rFonts w:ascii="宋体" w:hAnsi="宋体"/>
                <w:sz w:val="24"/>
                <w:szCs w:val="24"/>
              </w:rPr>
              <w:t>4</w:t>
            </w:r>
            <w:r>
              <w:rPr>
                <w:rFonts w:hint="eastAsia" w:ascii="宋体" w:hAnsi="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4238" w:type="dxa"/>
            <w:vAlign w:val="center"/>
          </w:tcPr>
          <w:p>
            <w:pPr>
              <w:jc w:val="center"/>
              <w:rPr>
                <w:rFonts w:ascii="宋体" w:hAnsi="宋体"/>
                <w:sz w:val="24"/>
              </w:rPr>
            </w:pPr>
            <w:r>
              <w:rPr>
                <w:rFonts w:hint="eastAsia" w:ascii="宋体" w:hAnsi="宋体"/>
                <w:sz w:val="24"/>
              </w:rPr>
              <w:t>合计</w:t>
            </w:r>
          </w:p>
        </w:tc>
        <w:tc>
          <w:tcPr>
            <w:tcW w:w="2551" w:type="dxa"/>
            <w:vAlign w:val="center"/>
          </w:tcPr>
          <w:p>
            <w:pPr>
              <w:jc w:val="center"/>
              <w:rPr>
                <w:rFonts w:ascii="宋体" w:hAnsi="宋体"/>
                <w:sz w:val="24"/>
              </w:rPr>
            </w:pPr>
            <w:r>
              <w:rPr>
                <w:rFonts w:hint="eastAsia" w:ascii="宋体" w:hAnsi="宋体"/>
                <w:sz w:val="24"/>
                <w:szCs w:val="24"/>
              </w:rPr>
              <w:t>5</w:t>
            </w:r>
            <w:r>
              <w:rPr>
                <w:rFonts w:ascii="宋体" w:hAnsi="宋体"/>
                <w:sz w:val="24"/>
                <w:szCs w:val="24"/>
              </w:rPr>
              <w:t>0</w:t>
            </w:r>
            <w:r>
              <w:rPr>
                <w:rFonts w:ascii="宋体" w:hAnsi="宋体"/>
                <w:sz w:val="24"/>
              </w:rPr>
              <w:t>,000.00</w:t>
            </w:r>
          </w:p>
        </w:tc>
        <w:tc>
          <w:tcPr>
            <w:tcW w:w="1966" w:type="dxa"/>
            <w:vAlign w:val="center"/>
          </w:tcPr>
          <w:p>
            <w:pPr>
              <w:jc w:val="center"/>
              <w:rPr>
                <w:rFonts w:ascii="宋体" w:hAnsi="宋体"/>
                <w:sz w:val="24"/>
              </w:rPr>
            </w:pPr>
            <w:r>
              <w:rPr>
                <w:rFonts w:ascii="宋体" w:hAnsi="宋体"/>
                <w:kern w:val="0"/>
                <w:sz w:val="24"/>
              </w:rPr>
              <w:t>100.00%</w:t>
            </w:r>
          </w:p>
        </w:tc>
      </w:tr>
    </w:tbl>
    <w:p>
      <w:pPr>
        <w:spacing w:line="480" w:lineRule="atLeast"/>
        <w:ind w:right="105" w:rightChars="50"/>
        <w:jc w:val="left"/>
        <w:rPr>
          <w:rFonts w:ascii="宋体" w:hAnsi="宋体"/>
          <w:sz w:val="24"/>
        </w:rPr>
      </w:pPr>
    </w:p>
    <w:p>
      <w:pPr>
        <w:spacing w:line="600" w:lineRule="auto"/>
        <w:ind w:right="105" w:rightChars="50" w:firstLine="480" w:firstLineChars="200"/>
        <w:jc w:val="left"/>
        <w:rPr>
          <w:rFonts w:ascii="宋体" w:hAnsi="宋体"/>
          <w:sz w:val="24"/>
        </w:rPr>
      </w:pPr>
      <w:r>
        <w:rPr>
          <w:rFonts w:hint="eastAsia" w:ascii="宋体" w:hAnsi="宋体"/>
          <w:sz w:val="24"/>
        </w:rPr>
        <w:t>海正博锐公司主要财务数据</w:t>
      </w:r>
    </w:p>
    <w:tbl>
      <w:tblPr>
        <w:tblStyle w:val="18"/>
        <w:tblW w:w="894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
        <w:gridCol w:w="1936"/>
        <w:gridCol w:w="1816"/>
        <w:gridCol w:w="1838"/>
        <w:gridCol w:w="1679"/>
        <w:gridCol w:w="1651"/>
        <w:gridCol w:w="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6" w:type="dxa"/>
          <w:wAfter w:w="19" w:type="dxa"/>
          <w:cantSplit/>
          <w:trHeight w:val="857" w:hRule="exact"/>
          <w:jc w:val="center"/>
        </w:trPr>
        <w:tc>
          <w:tcPr>
            <w:tcW w:w="1936" w:type="dxa"/>
            <w:vAlign w:val="center"/>
          </w:tcPr>
          <w:p>
            <w:pPr>
              <w:jc w:val="center"/>
              <w:rPr>
                <w:rFonts w:ascii="宋体" w:hAnsi="宋体"/>
                <w:b/>
                <w:sz w:val="24"/>
              </w:rPr>
            </w:pPr>
            <w:r>
              <w:rPr>
                <w:rFonts w:hint="eastAsia" w:ascii="宋体" w:hAnsi="宋体"/>
                <w:b/>
                <w:sz w:val="24"/>
              </w:rPr>
              <w:t>主要财务指标</w:t>
            </w:r>
          </w:p>
          <w:p>
            <w:pPr>
              <w:jc w:val="center"/>
              <w:rPr>
                <w:rFonts w:ascii="宋体" w:hAnsi="宋体"/>
                <w:b/>
                <w:sz w:val="24"/>
              </w:rPr>
            </w:pPr>
            <w:r>
              <w:rPr>
                <w:rFonts w:hint="eastAsia" w:ascii="宋体" w:hAnsi="宋体"/>
                <w:b/>
                <w:sz w:val="24"/>
              </w:rPr>
              <w:t>（单位：人民币万元）</w:t>
            </w:r>
          </w:p>
        </w:tc>
        <w:tc>
          <w:tcPr>
            <w:tcW w:w="6984" w:type="dxa"/>
            <w:gridSpan w:val="4"/>
            <w:vAlign w:val="center"/>
          </w:tcPr>
          <w:p>
            <w:pPr>
              <w:ind w:firstLine="480"/>
              <w:jc w:val="center"/>
              <w:rPr>
                <w:rFonts w:ascii="宋体" w:hAnsi="宋体"/>
                <w:sz w:val="24"/>
              </w:rPr>
            </w:pPr>
            <w:r>
              <w:rPr>
                <w:rFonts w:hint="eastAsia" w:ascii="宋体" w:hAnsi="宋体"/>
                <w:sz w:val="24"/>
              </w:rPr>
              <w:t>以下数据出自企业2019年1-4月审计报告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9" w:hRule="exact"/>
          <w:jc w:val="center"/>
        </w:trPr>
        <w:tc>
          <w:tcPr>
            <w:tcW w:w="1942" w:type="dxa"/>
            <w:gridSpan w:val="2"/>
            <w:vMerge w:val="restart"/>
            <w:vAlign w:val="center"/>
          </w:tcPr>
          <w:p>
            <w:pPr>
              <w:ind w:firstLine="482"/>
              <w:jc w:val="center"/>
              <w:rPr>
                <w:rFonts w:ascii="宋体" w:hAnsi="宋体"/>
                <w:b/>
                <w:sz w:val="24"/>
              </w:rPr>
            </w:pPr>
          </w:p>
        </w:tc>
        <w:tc>
          <w:tcPr>
            <w:tcW w:w="1816" w:type="dxa"/>
            <w:vAlign w:val="center"/>
          </w:tcPr>
          <w:p>
            <w:pPr>
              <w:jc w:val="center"/>
              <w:rPr>
                <w:rFonts w:ascii="宋体" w:hAnsi="宋体"/>
                <w:b/>
                <w:sz w:val="24"/>
              </w:rPr>
            </w:pPr>
            <w:r>
              <w:rPr>
                <w:rFonts w:hint="eastAsia" w:ascii="宋体" w:hAnsi="宋体"/>
                <w:b/>
                <w:sz w:val="24"/>
              </w:rPr>
              <w:t>年度日期</w:t>
            </w:r>
          </w:p>
        </w:tc>
        <w:tc>
          <w:tcPr>
            <w:tcW w:w="1838" w:type="dxa"/>
            <w:vAlign w:val="center"/>
          </w:tcPr>
          <w:p>
            <w:pPr>
              <w:jc w:val="center"/>
              <w:rPr>
                <w:rFonts w:ascii="宋体" w:hAnsi="宋体"/>
                <w:b/>
                <w:sz w:val="24"/>
              </w:rPr>
            </w:pPr>
            <w:r>
              <w:rPr>
                <w:rFonts w:hint="eastAsia" w:ascii="宋体" w:hAnsi="宋体"/>
                <w:b/>
                <w:sz w:val="24"/>
              </w:rPr>
              <w:t>资产总计</w:t>
            </w:r>
          </w:p>
        </w:tc>
        <w:tc>
          <w:tcPr>
            <w:tcW w:w="1679" w:type="dxa"/>
            <w:vAlign w:val="center"/>
          </w:tcPr>
          <w:p>
            <w:pPr>
              <w:jc w:val="center"/>
              <w:rPr>
                <w:rFonts w:ascii="宋体" w:hAnsi="宋体"/>
                <w:b/>
                <w:sz w:val="24"/>
              </w:rPr>
            </w:pPr>
            <w:r>
              <w:rPr>
                <w:rFonts w:hint="eastAsia" w:ascii="宋体" w:hAnsi="宋体"/>
                <w:b/>
                <w:sz w:val="24"/>
              </w:rPr>
              <w:t>负债总计</w:t>
            </w:r>
          </w:p>
        </w:tc>
        <w:tc>
          <w:tcPr>
            <w:tcW w:w="1670" w:type="dxa"/>
            <w:gridSpan w:val="2"/>
            <w:vAlign w:val="center"/>
          </w:tcPr>
          <w:p>
            <w:pPr>
              <w:jc w:val="center"/>
              <w:rPr>
                <w:rFonts w:ascii="宋体" w:hAnsi="宋体"/>
                <w:b/>
                <w:sz w:val="24"/>
              </w:rPr>
            </w:pPr>
            <w:r>
              <w:rPr>
                <w:rFonts w:hint="eastAsia" w:ascii="宋体" w:hAnsi="宋体"/>
                <w:b/>
                <w:sz w:val="24"/>
              </w:rPr>
              <w:t>所有者权益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9" w:hRule="exact"/>
          <w:jc w:val="center"/>
        </w:trPr>
        <w:tc>
          <w:tcPr>
            <w:tcW w:w="1942" w:type="dxa"/>
            <w:gridSpan w:val="2"/>
            <w:vMerge w:val="continue"/>
            <w:vAlign w:val="center"/>
          </w:tcPr>
          <w:p>
            <w:pPr>
              <w:ind w:firstLine="482"/>
              <w:jc w:val="center"/>
              <w:rPr>
                <w:rFonts w:ascii="宋体" w:hAnsi="宋体"/>
                <w:b/>
                <w:sz w:val="24"/>
              </w:rPr>
            </w:pPr>
          </w:p>
        </w:tc>
        <w:tc>
          <w:tcPr>
            <w:tcW w:w="1816" w:type="dxa"/>
            <w:vMerge w:val="restart"/>
            <w:vAlign w:val="center"/>
          </w:tcPr>
          <w:p>
            <w:pPr>
              <w:jc w:val="center"/>
              <w:rPr>
                <w:rFonts w:ascii="宋体" w:hAnsi="宋体"/>
                <w:sz w:val="24"/>
                <w:u w:val="single"/>
              </w:rPr>
            </w:pPr>
            <w:r>
              <w:rPr>
                <w:rFonts w:hint="eastAsia" w:ascii="宋体" w:hAnsi="宋体"/>
              </w:rPr>
              <w:t>2019年</w:t>
            </w:r>
            <w:r>
              <w:rPr>
                <w:rFonts w:ascii="宋体" w:hAnsi="宋体"/>
              </w:rPr>
              <w:t>4</w:t>
            </w:r>
            <w:r>
              <w:rPr>
                <w:rFonts w:hint="eastAsia" w:ascii="宋体" w:hAnsi="宋体"/>
              </w:rPr>
              <w:t>月3</w:t>
            </w:r>
            <w:r>
              <w:rPr>
                <w:rFonts w:ascii="宋体" w:hAnsi="宋体"/>
              </w:rPr>
              <w:t>0</w:t>
            </w:r>
            <w:r>
              <w:rPr>
                <w:rFonts w:hint="eastAsia" w:ascii="宋体" w:hAnsi="宋体"/>
              </w:rPr>
              <w:t>日</w:t>
            </w:r>
          </w:p>
        </w:tc>
        <w:tc>
          <w:tcPr>
            <w:tcW w:w="1838" w:type="dxa"/>
            <w:vAlign w:val="center"/>
          </w:tcPr>
          <w:p>
            <w:pPr>
              <w:jc w:val="center"/>
              <w:rPr>
                <w:rFonts w:ascii="宋体" w:hAnsi="宋体"/>
                <w:bCs/>
                <w:sz w:val="24"/>
              </w:rPr>
            </w:pPr>
            <w:r>
              <w:rPr>
                <w:rFonts w:ascii="宋体" w:hAnsi="宋体" w:cs="宋体"/>
                <w:sz w:val="20"/>
                <w:szCs w:val="18"/>
              </w:rPr>
              <w:t>128</w:t>
            </w:r>
            <w:r>
              <w:rPr>
                <w:rFonts w:hint="eastAsia" w:ascii="宋体" w:hAnsi="宋体" w:cs="宋体"/>
                <w:sz w:val="20"/>
                <w:szCs w:val="18"/>
              </w:rPr>
              <w:t>,</w:t>
            </w:r>
            <w:r>
              <w:rPr>
                <w:rFonts w:ascii="宋体" w:hAnsi="宋体" w:cs="宋体"/>
                <w:sz w:val="20"/>
                <w:szCs w:val="18"/>
              </w:rPr>
              <w:t>347</w:t>
            </w:r>
            <w:r>
              <w:rPr>
                <w:rFonts w:hint="eastAsia" w:ascii="宋体" w:hAnsi="宋体" w:cs="宋体"/>
                <w:sz w:val="20"/>
                <w:szCs w:val="18"/>
              </w:rPr>
              <w:t>.</w:t>
            </w:r>
            <w:r>
              <w:rPr>
                <w:rFonts w:ascii="宋体" w:hAnsi="宋体" w:cs="宋体"/>
                <w:sz w:val="20"/>
                <w:szCs w:val="18"/>
              </w:rPr>
              <w:t>30</w:t>
            </w:r>
          </w:p>
        </w:tc>
        <w:tc>
          <w:tcPr>
            <w:tcW w:w="1679" w:type="dxa"/>
            <w:vAlign w:val="center"/>
          </w:tcPr>
          <w:p>
            <w:pPr>
              <w:jc w:val="center"/>
              <w:rPr>
                <w:rFonts w:ascii="宋体" w:hAnsi="宋体"/>
                <w:bCs/>
                <w:sz w:val="24"/>
              </w:rPr>
            </w:pPr>
            <w:r>
              <w:rPr>
                <w:rFonts w:ascii="宋体" w:hAnsi="宋体" w:cs="宋体"/>
                <w:sz w:val="20"/>
                <w:szCs w:val="18"/>
              </w:rPr>
              <w:t>36</w:t>
            </w:r>
            <w:r>
              <w:rPr>
                <w:rFonts w:hint="eastAsia" w:ascii="宋体" w:hAnsi="宋体" w:cs="宋体"/>
                <w:sz w:val="20"/>
                <w:szCs w:val="18"/>
              </w:rPr>
              <w:t>,</w:t>
            </w:r>
            <w:r>
              <w:rPr>
                <w:rFonts w:ascii="宋体" w:hAnsi="宋体" w:cs="宋体"/>
                <w:sz w:val="20"/>
                <w:szCs w:val="18"/>
              </w:rPr>
              <w:t>751</w:t>
            </w:r>
            <w:r>
              <w:rPr>
                <w:rFonts w:hint="eastAsia" w:ascii="宋体" w:hAnsi="宋体" w:cs="宋体"/>
                <w:sz w:val="20"/>
                <w:szCs w:val="18"/>
              </w:rPr>
              <w:t>.</w:t>
            </w:r>
            <w:r>
              <w:rPr>
                <w:rFonts w:ascii="宋体" w:hAnsi="宋体" w:cs="宋体"/>
                <w:sz w:val="20"/>
                <w:szCs w:val="18"/>
              </w:rPr>
              <w:t>06</w:t>
            </w:r>
          </w:p>
        </w:tc>
        <w:tc>
          <w:tcPr>
            <w:tcW w:w="1670" w:type="dxa"/>
            <w:gridSpan w:val="2"/>
            <w:vAlign w:val="center"/>
          </w:tcPr>
          <w:p>
            <w:pPr>
              <w:jc w:val="center"/>
              <w:rPr>
                <w:rFonts w:ascii="宋体" w:hAnsi="宋体"/>
                <w:bCs/>
                <w:sz w:val="24"/>
              </w:rPr>
            </w:pPr>
            <w:r>
              <w:rPr>
                <w:rFonts w:ascii="宋体" w:hAnsi="宋体" w:cs="宋体"/>
                <w:sz w:val="20"/>
                <w:szCs w:val="18"/>
              </w:rPr>
              <w:t>91</w:t>
            </w:r>
            <w:r>
              <w:rPr>
                <w:rFonts w:hint="eastAsia" w:ascii="宋体" w:hAnsi="宋体" w:cs="宋体"/>
                <w:sz w:val="20"/>
                <w:szCs w:val="18"/>
              </w:rPr>
              <w:t>,</w:t>
            </w:r>
            <w:r>
              <w:rPr>
                <w:rFonts w:ascii="宋体" w:hAnsi="宋体" w:cs="宋体"/>
                <w:sz w:val="20"/>
                <w:szCs w:val="18"/>
              </w:rPr>
              <w:t>596</w:t>
            </w:r>
            <w:r>
              <w:rPr>
                <w:rFonts w:hint="eastAsia" w:ascii="宋体" w:hAnsi="宋体" w:cs="宋体"/>
                <w:sz w:val="20"/>
                <w:szCs w:val="18"/>
              </w:rPr>
              <w:t>.</w:t>
            </w:r>
            <w:r>
              <w:rPr>
                <w:rFonts w:ascii="宋体" w:hAnsi="宋体" w:cs="宋体"/>
                <w:sz w:val="20"/>
                <w:szCs w:val="18"/>
              </w:rPr>
              <w:t>2</w:t>
            </w:r>
            <w:r>
              <w:rPr>
                <w:rFonts w:hint="eastAsia" w:ascii="宋体" w:hAnsi="宋体" w:cs="宋体"/>
                <w:sz w:val="20"/>
                <w:szCs w:val="1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9" w:hRule="exact"/>
          <w:jc w:val="center"/>
        </w:trPr>
        <w:tc>
          <w:tcPr>
            <w:tcW w:w="1942" w:type="dxa"/>
            <w:gridSpan w:val="2"/>
            <w:vMerge w:val="continue"/>
            <w:shd w:val="clear" w:color="auto" w:fill="auto"/>
            <w:vAlign w:val="center"/>
          </w:tcPr>
          <w:p>
            <w:pPr>
              <w:ind w:firstLine="482"/>
              <w:jc w:val="center"/>
              <w:rPr>
                <w:rFonts w:ascii="宋体" w:hAnsi="宋体"/>
                <w:b/>
                <w:sz w:val="24"/>
              </w:rPr>
            </w:pPr>
          </w:p>
        </w:tc>
        <w:tc>
          <w:tcPr>
            <w:tcW w:w="1816" w:type="dxa"/>
            <w:vMerge w:val="continue"/>
            <w:shd w:val="clear" w:color="auto" w:fill="auto"/>
            <w:vAlign w:val="center"/>
          </w:tcPr>
          <w:p>
            <w:pPr>
              <w:jc w:val="center"/>
              <w:rPr>
                <w:rFonts w:ascii="宋体" w:hAnsi="宋体"/>
                <w:sz w:val="24"/>
                <w:u w:val="single"/>
              </w:rPr>
            </w:pPr>
          </w:p>
        </w:tc>
        <w:tc>
          <w:tcPr>
            <w:tcW w:w="1838" w:type="dxa"/>
            <w:shd w:val="clear" w:color="auto" w:fill="auto"/>
            <w:vAlign w:val="center"/>
          </w:tcPr>
          <w:p>
            <w:pPr>
              <w:jc w:val="center"/>
              <w:rPr>
                <w:rFonts w:ascii="宋体" w:hAnsi="宋体"/>
                <w:b/>
                <w:sz w:val="24"/>
              </w:rPr>
            </w:pPr>
            <w:r>
              <w:rPr>
                <w:rFonts w:hint="eastAsia" w:ascii="宋体" w:hAnsi="宋体"/>
                <w:b/>
                <w:sz w:val="24"/>
              </w:rPr>
              <w:t>营业收入</w:t>
            </w:r>
          </w:p>
        </w:tc>
        <w:tc>
          <w:tcPr>
            <w:tcW w:w="1679" w:type="dxa"/>
            <w:shd w:val="clear" w:color="auto" w:fill="FFFFFF"/>
            <w:vAlign w:val="center"/>
          </w:tcPr>
          <w:p>
            <w:pPr>
              <w:jc w:val="center"/>
              <w:rPr>
                <w:rFonts w:ascii="宋体" w:hAnsi="宋体"/>
                <w:b/>
                <w:sz w:val="24"/>
              </w:rPr>
            </w:pPr>
            <w:r>
              <w:rPr>
                <w:rFonts w:hint="eastAsia" w:ascii="宋体" w:hAnsi="宋体"/>
                <w:b/>
                <w:sz w:val="24"/>
              </w:rPr>
              <w:t>利润总额</w:t>
            </w:r>
          </w:p>
        </w:tc>
        <w:tc>
          <w:tcPr>
            <w:tcW w:w="1670" w:type="dxa"/>
            <w:gridSpan w:val="2"/>
            <w:shd w:val="clear" w:color="auto" w:fill="FFFFFF"/>
            <w:vAlign w:val="center"/>
          </w:tcPr>
          <w:p>
            <w:pPr>
              <w:jc w:val="center"/>
              <w:rPr>
                <w:rFonts w:ascii="宋体" w:hAnsi="宋体"/>
                <w:b/>
                <w:sz w:val="24"/>
              </w:rPr>
            </w:pPr>
            <w:r>
              <w:rPr>
                <w:rFonts w:hint="eastAsia" w:ascii="宋体" w:hAnsi="宋体"/>
                <w:b/>
                <w:sz w:val="24"/>
              </w:rPr>
              <w:t>净利润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9" w:hRule="exact"/>
          <w:jc w:val="center"/>
        </w:trPr>
        <w:tc>
          <w:tcPr>
            <w:tcW w:w="1942" w:type="dxa"/>
            <w:gridSpan w:val="2"/>
            <w:vMerge w:val="continue"/>
            <w:shd w:val="clear" w:color="auto" w:fill="auto"/>
            <w:vAlign w:val="center"/>
          </w:tcPr>
          <w:p>
            <w:pPr>
              <w:ind w:firstLine="482"/>
              <w:jc w:val="center"/>
              <w:rPr>
                <w:rFonts w:ascii="宋体" w:hAnsi="宋体"/>
                <w:b/>
                <w:sz w:val="24"/>
              </w:rPr>
            </w:pPr>
          </w:p>
        </w:tc>
        <w:tc>
          <w:tcPr>
            <w:tcW w:w="1816" w:type="dxa"/>
            <w:vMerge w:val="continue"/>
            <w:shd w:val="clear" w:color="auto" w:fill="auto"/>
            <w:vAlign w:val="center"/>
          </w:tcPr>
          <w:p>
            <w:pPr>
              <w:jc w:val="center"/>
              <w:rPr>
                <w:rFonts w:ascii="宋体" w:hAnsi="宋体"/>
                <w:sz w:val="24"/>
                <w:u w:val="single"/>
              </w:rPr>
            </w:pPr>
          </w:p>
        </w:tc>
        <w:tc>
          <w:tcPr>
            <w:tcW w:w="1838" w:type="dxa"/>
            <w:shd w:val="clear" w:color="auto" w:fill="auto"/>
            <w:vAlign w:val="center"/>
          </w:tcPr>
          <w:p>
            <w:pPr>
              <w:jc w:val="center"/>
              <w:rPr>
                <w:rFonts w:ascii="宋体" w:hAnsi="宋体"/>
                <w:sz w:val="20"/>
              </w:rPr>
            </w:pPr>
            <w:r>
              <w:rPr>
                <w:rFonts w:ascii="宋体" w:hAnsi="宋体" w:cs="宋体"/>
                <w:sz w:val="20"/>
                <w:szCs w:val="18"/>
              </w:rPr>
              <w:t>5</w:t>
            </w:r>
            <w:r>
              <w:rPr>
                <w:rFonts w:hint="eastAsia" w:ascii="宋体" w:hAnsi="宋体" w:cs="宋体"/>
                <w:sz w:val="20"/>
                <w:szCs w:val="18"/>
              </w:rPr>
              <w:t>,</w:t>
            </w:r>
            <w:r>
              <w:rPr>
                <w:rFonts w:ascii="宋体" w:hAnsi="宋体" w:cs="宋体"/>
                <w:sz w:val="20"/>
                <w:szCs w:val="18"/>
              </w:rPr>
              <w:t>317</w:t>
            </w:r>
            <w:r>
              <w:rPr>
                <w:rFonts w:hint="eastAsia" w:ascii="宋体" w:hAnsi="宋体" w:cs="宋体"/>
                <w:sz w:val="20"/>
                <w:szCs w:val="18"/>
              </w:rPr>
              <w:t>.</w:t>
            </w:r>
            <w:r>
              <w:rPr>
                <w:rFonts w:ascii="宋体" w:hAnsi="宋体" w:cs="宋体"/>
                <w:sz w:val="20"/>
                <w:szCs w:val="18"/>
              </w:rPr>
              <w:t>14</w:t>
            </w:r>
          </w:p>
        </w:tc>
        <w:tc>
          <w:tcPr>
            <w:tcW w:w="1679" w:type="dxa"/>
            <w:shd w:val="clear" w:color="auto" w:fill="FFFFFF"/>
          </w:tcPr>
          <w:p>
            <w:pPr>
              <w:jc w:val="center"/>
              <w:rPr>
                <w:rFonts w:ascii="宋体" w:hAnsi="宋体"/>
                <w:sz w:val="24"/>
              </w:rPr>
            </w:pPr>
            <w:r>
              <w:rPr>
                <w:rFonts w:ascii="宋体" w:hAnsi="宋体" w:cs="宋体"/>
                <w:sz w:val="20"/>
                <w:szCs w:val="18"/>
              </w:rPr>
              <w:t>-832</w:t>
            </w:r>
            <w:r>
              <w:rPr>
                <w:rFonts w:hint="eastAsia" w:ascii="宋体" w:hAnsi="宋体" w:cs="宋体"/>
                <w:sz w:val="20"/>
                <w:szCs w:val="18"/>
              </w:rPr>
              <w:t>.</w:t>
            </w:r>
            <w:r>
              <w:rPr>
                <w:rFonts w:ascii="宋体" w:hAnsi="宋体" w:cs="宋体"/>
                <w:sz w:val="20"/>
                <w:szCs w:val="18"/>
              </w:rPr>
              <w:t>7</w:t>
            </w:r>
            <w:r>
              <w:rPr>
                <w:rFonts w:hint="eastAsia" w:ascii="宋体" w:hAnsi="宋体" w:cs="宋体"/>
                <w:sz w:val="20"/>
                <w:szCs w:val="18"/>
              </w:rPr>
              <w:t>9</w:t>
            </w:r>
          </w:p>
        </w:tc>
        <w:tc>
          <w:tcPr>
            <w:tcW w:w="1670" w:type="dxa"/>
            <w:gridSpan w:val="2"/>
            <w:shd w:val="clear" w:color="auto" w:fill="FFFFFF"/>
          </w:tcPr>
          <w:p>
            <w:pPr>
              <w:jc w:val="center"/>
              <w:rPr>
                <w:rFonts w:ascii="宋体" w:hAnsi="宋体"/>
                <w:sz w:val="24"/>
              </w:rPr>
            </w:pPr>
            <w:r>
              <w:rPr>
                <w:rFonts w:ascii="宋体" w:hAnsi="宋体" w:cs="宋体"/>
                <w:sz w:val="20"/>
                <w:szCs w:val="18"/>
              </w:rPr>
              <w:t>-832</w:t>
            </w:r>
            <w:r>
              <w:rPr>
                <w:rFonts w:hint="eastAsia" w:ascii="宋体" w:hAnsi="宋体" w:cs="宋体"/>
                <w:sz w:val="20"/>
                <w:szCs w:val="18"/>
              </w:rPr>
              <w:t>.</w:t>
            </w:r>
            <w:r>
              <w:rPr>
                <w:rFonts w:ascii="宋体" w:hAnsi="宋体" w:cs="宋体"/>
                <w:sz w:val="20"/>
                <w:szCs w:val="18"/>
              </w:rPr>
              <w:t>7</w:t>
            </w:r>
            <w:r>
              <w:rPr>
                <w:rFonts w:hint="eastAsia" w:ascii="宋体" w:hAnsi="宋体" w:cs="宋体"/>
                <w:sz w:val="20"/>
                <w:szCs w:val="18"/>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6" w:type="dxa"/>
          <w:wAfter w:w="19" w:type="dxa"/>
          <w:cantSplit/>
          <w:trHeight w:val="429" w:hRule="exact"/>
          <w:jc w:val="center"/>
        </w:trPr>
        <w:tc>
          <w:tcPr>
            <w:tcW w:w="1936" w:type="dxa"/>
            <w:vMerge w:val="restart"/>
            <w:shd w:val="clear" w:color="auto" w:fill="auto"/>
            <w:vAlign w:val="center"/>
          </w:tcPr>
          <w:p>
            <w:pPr>
              <w:ind w:firstLine="482"/>
              <w:jc w:val="center"/>
              <w:rPr>
                <w:rFonts w:ascii="宋体" w:hAnsi="宋体"/>
                <w:b/>
                <w:sz w:val="24"/>
              </w:rPr>
            </w:pPr>
          </w:p>
        </w:tc>
        <w:tc>
          <w:tcPr>
            <w:tcW w:w="1816" w:type="dxa"/>
            <w:shd w:val="clear" w:color="auto" w:fill="auto"/>
            <w:vAlign w:val="center"/>
          </w:tcPr>
          <w:p>
            <w:pPr>
              <w:jc w:val="center"/>
              <w:rPr>
                <w:rFonts w:ascii="宋体" w:hAnsi="宋体"/>
                <w:b/>
                <w:sz w:val="24"/>
              </w:rPr>
            </w:pPr>
            <w:r>
              <w:rPr>
                <w:rFonts w:hint="eastAsia" w:ascii="宋体" w:hAnsi="宋体"/>
                <w:b/>
                <w:sz w:val="24"/>
              </w:rPr>
              <w:t>审计机构</w:t>
            </w:r>
          </w:p>
        </w:tc>
        <w:tc>
          <w:tcPr>
            <w:tcW w:w="5168" w:type="dxa"/>
            <w:gridSpan w:val="3"/>
            <w:shd w:val="clear" w:color="auto" w:fill="FFFFFF"/>
            <w:vAlign w:val="center"/>
          </w:tcPr>
          <w:p>
            <w:pPr>
              <w:jc w:val="center"/>
              <w:rPr>
                <w:rFonts w:ascii="宋体" w:hAnsi="宋体"/>
                <w:sz w:val="24"/>
              </w:rPr>
            </w:pPr>
            <w:r>
              <w:rPr>
                <w:rFonts w:hint="eastAsia" w:ascii="宋体" w:hAnsi="宋体"/>
                <w:sz w:val="24"/>
              </w:rPr>
              <w:t>天健会计师事务所（特殊普通合伙）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6" w:type="dxa"/>
          <w:wAfter w:w="19" w:type="dxa"/>
          <w:cantSplit/>
          <w:trHeight w:val="429" w:hRule="exact"/>
          <w:jc w:val="center"/>
        </w:trPr>
        <w:tc>
          <w:tcPr>
            <w:tcW w:w="1936" w:type="dxa"/>
            <w:vMerge w:val="continue"/>
            <w:shd w:val="clear" w:color="auto" w:fill="auto"/>
            <w:vAlign w:val="center"/>
          </w:tcPr>
          <w:p>
            <w:pPr>
              <w:ind w:firstLine="482"/>
              <w:jc w:val="center"/>
              <w:rPr>
                <w:rFonts w:ascii="宋体" w:hAnsi="宋体"/>
                <w:b/>
                <w:sz w:val="24"/>
              </w:rPr>
            </w:pPr>
          </w:p>
        </w:tc>
        <w:tc>
          <w:tcPr>
            <w:tcW w:w="6984" w:type="dxa"/>
            <w:gridSpan w:val="4"/>
            <w:shd w:val="clear" w:color="auto" w:fill="FFFFFF"/>
            <w:vAlign w:val="center"/>
          </w:tcPr>
          <w:p>
            <w:pPr>
              <w:jc w:val="center"/>
              <w:rPr>
                <w:rFonts w:ascii="宋体" w:hAnsi="宋体"/>
                <w:sz w:val="24"/>
              </w:rPr>
            </w:pPr>
            <w:r>
              <w:rPr>
                <w:rFonts w:hint="eastAsia" w:ascii="宋体" w:hAnsi="宋体"/>
                <w:sz w:val="24"/>
              </w:rPr>
              <w:t>以下数据出自企业财务报表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9" w:hRule="exact"/>
          <w:jc w:val="center"/>
        </w:trPr>
        <w:tc>
          <w:tcPr>
            <w:tcW w:w="1942" w:type="dxa"/>
            <w:gridSpan w:val="2"/>
            <w:vMerge w:val="restart"/>
            <w:shd w:val="clear" w:color="auto" w:fill="auto"/>
            <w:vAlign w:val="center"/>
          </w:tcPr>
          <w:p>
            <w:pPr>
              <w:ind w:firstLine="480"/>
              <w:jc w:val="center"/>
              <w:rPr>
                <w:rFonts w:ascii="宋体" w:hAnsi="宋体"/>
                <w:sz w:val="24"/>
              </w:rPr>
            </w:pPr>
          </w:p>
        </w:tc>
        <w:tc>
          <w:tcPr>
            <w:tcW w:w="1816" w:type="dxa"/>
            <w:shd w:val="clear" w:color="auto" w:fill="auto"/>
            <w:vAlign w:val="center"/>
          </w:tcPr>
          <w:p>
            <w:pPr>
              <w:jc w:val="center"/>
              <w:rPr>
                <w:rFonts w:ascii="宋体" w:hAnsi="宋体"/>
                <w:b/>
                <w:sz w:val="24"/>
              </w:rPr>
            </w:pPr>
            <w:r>
              <w:rPr>
                <w:rFonts w:hint="eastAsia" w:ascii="宋体" w:hAnsi="宋体"/>
                <w:b/>
                <w:sz w:val="24"/>
              </w:rPr>
              <w:t>报表日期</w:t>
            </w:r>
          </w:p>
        </w:tc>
        <w:tc>
          <w:tcPr>
            <w:tcW w:w="1838" w:type="dxa"/>
            <w:shd w:val="clear" w:color="auto" w:fill="auto"/>
            <w:vAlign w:val="center"/>
          </w:tcPr>
          <w:p>
            <w:pPr>
              <w:jc w:val="center"/>
              <w:rPr>
                <w:rFonts w:ascii="宋体" w:hAnsi="宋体"/>
                <w:b/>
                <w:sz w:val="24"/>
              </w:rPr>
            </w:pPr>
            <w:r>
              <w:rPr>
                <w:rFonts w:hint="eastAsia" w:ascii="宋体" w:hAnsi="宋体"/>
                <w:b/>
                <w:sz w:val="24"/>
              </w:rPr>
              <w:t>资产总计</w:t>
            </w:r>
          </w:p>
        </w:tc>
        <w:tc>
          <w:tcPr>
            <w:tcW w:w="1679" w:type="dxa"/>
            <w:shd w:val="clear" w:color="auto" w:fill="FFFFFF"/>
            <w:vAlign w:val="center"/>
          </w:tcPr>
          <w:p>
            <w:pPr>
              <w:jc w:val="center"/>
              <w:rPr>
                <w:rFonts w:ascii="宋体" w:hAnsi="宋体"/>
                <w:b/>
                <w:sz w:val="24"/>
              </w:rPr>
            </w:pPr>
            <w:r>
              <w:rPr>
                <w:rFonts w:hint="eastAsia" w:ascii="宋体" w:hAnsi="宋体"/>
                <w:b/>
                <w:sz w:val="24"/>
              </w:rPr>
              <w:t>负债总计</w:t>
            </w:r>
          </w:p>
        </w:tc>
        <w:tc>
          <w:tcPr>
            <w:tcW w:w="1670" w:type="dxa"/>
            <w:gridSpan w:val="2"/>
            <w:shd w:val="clear" w:color="auto" w:fill="FFFFFF"/>
            <w:vAlign w:val="center"/>
          </w:tcPr>
          <w:p>
            <w:pPr>
              <w:jc w:val="center"/>
              <w:rPr>
                <w:rFonts w:ascii="宋体" w:hAnsi="宋体"/>
                <w:b/>
                <w:sz w:val="24"/>
              </w:rPr>
            </w:pPr>
            <w:r>
              <w:rPr>
                <w:rFonts w:hint="eastAsia" w:ascii="宋体" w:hAnsi="宋体"/>
                <w:b/>
                <w:sz w:val="24"/>
              </w:rPr>
              <w:t>所有者权益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41" w:hRule="exact"/>
          <w:jc w:val="center"/>
        </w:trPr>
        <w:tc>
          <w:tcPr>
            <w:tcW w:w="1942" w:type="dxa"/>
            <w:gridSpan w:val="2"/>
            <w:vMerge w:val="continue"/>
            <w:shd w:val="clear" w:color="auto" w:fill="auto"/>
            <w:vAlign w:val="center"/>
          </w:tcPr>
          <w:p>
            <w:pPr>
              <w:ind w:firstLine="480"/>
              <w:rPr>
                <w:rFonts w:ascii="宋体" w:hAnsi="宋体"/>
                <w:sz w:val="24"/>
              </w:rPr>
            </w:pPr>
          </w:p>
        </w:tc>
        <w:tc>
          <w:tcPr>
            <w:tcW w:w="1816" w:type="dxa"/>
            <w:shd w:val="clear" w:color="auto" w:fill="auto"/>
            <w:vAlign w:val="center"/>
          </w:tcPr>
          <w:p>
            <w:pPr>
              <w:jc w:val="center"/>
              <w:rPr>
                <w:rFonts w:ascii="宋体" w:hAnsi="宋体"/>
                <w:sz w:val="24"/>
              </w:rPr>
            </w:pPr>
            <w:r>
              <w:rPr>
                <w:rFonts w:hint="eastAsia" w:ascii="宋体" w:hAnsi="宋体"/>
              </w:rPr>
              <w:t>2019年4月30日</w:t>
            </w:r>
          </w:p>
        </w:tc>
        <w:tc>
          <w:tcPr>
            <w:tcW w:w="1838" w:type="dxa"/>
            <w:shd w:val="clear" w:color="auto" w:fill="auto"/>
            <w:vAlign w:val="center"/>
          </w:tcPr>
          <w:p>
            <w:pPr>
              <w:jc w:val="center"/>
              <w:rPr>
                <w:rFonts w:ascii="宋体" w:hAnsi="宋体"/>
                <w:sz w:val="24"/>
              </w:rPr>
            </w:pPr>
            <w:r>
              <w:rPr>
                <w:rFonts w:ascii="宋体" w:hAnsi="宋体" w:cs="宋体"/>
                <w:sz w:val="20"/>
                <w:szCs w:val="18"/>
              </w:rPr>
              <w:t>128</w:t>
            </w:r>
            <w:r>
              <w:rPr>
                <w:rFonts w:hint="eastAsia" w:ascii="宋体" w:hAnsi="宋体" w:cs="宋体"/>
                <w:sz w:val="20"/>
                <w:szCs w:val="18"/>
              </w:rPr>
              <w:t>,</w:t>
            </w:r>
            <w:r>
              <w:rPr>
                <w:rFonts w:ascii="宋体" w:hAnsi="宋体" w:cs="宋体"/>
                <w:sz w:val="20"/>
                <w:szCs w:val="18"/>
              </w:rPr>
              <w:t>347</w:t>
            </w:r>
            <w:r>
              <w:rPr>
                <w:rFonts w:hint="eastAsia" w:ascii="宋体" w:hAnsi="宋体" w:cs="宋体"/>
                <w:sz w:val="20"/>
                <w:szCs w:val="18"/>
              </w:rPr>
              <w:t>.</w:t>
            </w:r>
            <w:r>
              <w:rPr>
                <w:rFonts w:ascii="宋体" w:hAnsi="宋体" w:cs="宋体"/>
                <w:sz w:val="20"/>
                <w:szCs w:val="18"/>
              </w:rPr>
              <w:t>30</w:t>
            </w:r>
          </w:p>
        </w:tc>
        <w:tc>
          <w:tcPr>
            <w:tcW w:w="1679" w:type="dxa"/>
            <w:shd w:val="clear" w:color="auto" w:fill="FFFFFF"/>
            <w:vAlign w:val="center"/>
          </w:tcPr>
          <w:p>
            <w:pPr>
              <w:jc w:val="center"/>
              <w:rPr>
                <w:rFonts w:ascii="宋体" w:hAnsi="宋体"/>
                <w:sz w:val="24"/>
              </w:rPr>
            </w:pPr>
            <w:r>
              <w:rPr>
                <w:rFonts w:ascii="宋体" w:hAnsi="宋体" w:cs="宋体"/>
                <w:sz w:val="20"/>
                <w:szCs w:val="18"/>
              </w:rPr>
              <w:t>36</w:t>
            </w:r>
            <w:r>
              <w:rPr>
                <w:rFonts w:hint="eastAsia" w:ascii="宋体" w:hAnsi="宋体" w:cs="宋体"/>
                <w:sz w:val="20"/>
                <w:szCs w:val="18"/>
              </w:rPr>
              <w:t>,</w:t>
            </w:r>
            <w:r>
              <w:rPr>
                <w:rFonts w:ascii="宋体" w:hAnsi="宋体" w:cs="宋体"/>
                <w:sz w:val="20"/>
                <w:szCs w:val="18"/>
              </w:rPr>
              <w:t>751</w:t>
            </w:r>
            <w:r>
              <w:rPr>
                <w:rFonts w:hint="eastAsia" w:ascii="宋体" w:hAnsi="宋体" w:cs="宋体"/>
                <w:sz w:val="20"/>
                <w:szCs w:val="18"/>
              </w:rPr>
              <w:t>.</w:t>
            </w:r>
            <w:r>
              <w:rPr>
                <w:rFonts w:ascii="宋体" w:hAnsi="宋体" w:cs="宋体"/>
                <w:sz w:val="20"/>
                <w:szCs w:val="18"/>
              </w:rPr>
              <w:t>06</w:t>
            </w:r>
          </w:p>
        </w:tc>
        <w:tc>
          <w:tcPr>
            <w:tcW w:w="1670" w:type="dxa"/>
            <w:gridSpan w:val="2"/>
            <w:shd w:val="clear" w:color="auto" w:fill="FFFFFF"/>
            <w:vAlign w:val="center"/>
          </w:tcPr>
          <w:p>
            <w:pPr>
              <w:jc w:val="center"/>
              <w:rPr>
                <w:rFonts w:ascii="宋体" w:hAnsi="宋体"/>
                <w:sz w:val="24"/>
              </w:rPr>
            </w:pPr>
            <w:r>
              <w:rPr>
                <w:rFonts w:ascii="宋体" w:hAnsi="宋体" w:cs="宋体"/>
                <w:sz w:val="20"/>
                <w:szCs w:val="18"/>
              </w:rPr>
              <w:t>91</w:t>
            </w:r>
            <w:r>
              <w:rPr>
                <w:rFonts w:hint="eastAsia" w:ascii="宋体" w:hAnsi="宋体" w:cs="宋体"/>
                <w:sz w:val="20"/>
                <w:szCs w:val="18"/>
              </w:rPr>
              <w:t>,</w:t>
            </w:r>
            <w:r>
              <w:rPr>
                <w:rFonts w:ascii="宋体" w:hAnsi="宋体" w:cs="宋体"/>
                <w:sz w:val="20"/>
                <w:szCs w:val="18"/>
              </w:rPr>
              <w:t>596</w:t>
            </w:r>
            <w:r>
              <w:rPr>
                <w:rFonts w:hint="eastAsia" w:ascii="宋体" w:hAnsi="宋体" w:cs="宋体"/>
                <w:sz w:val="20"/>
                <w:szCs w:val="18"/>
              </w:rPr>
              <w:t>.</w:t>
            </w:r>
            <w:r>
              <w:rPr>
                <w:rFonts w:ascii="宋体" w:hAnsi="宋体" w:cs="宋体"/>
                <w:sz w:val="20"/>
                <w:szCs w:val="18"/>
              </w:rPr>
              <w:t>2</w:t>
            </w:r>
            <w:r>
              <w:rPr>
                <w:rFonts w:hint="eastAsia" w:ascii="宋体" w:hAnsi="宋体" w:cs="宋体"/>
                <w:sz w:val="20"/>
                <w:szCs w:val="1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9" w:hRule="exact"/>
          <w:jc w:val="center"/>
        </w:trPr>
        <w:tc>
          <w:tcPr>
            <w:tcW w:w="1942" w:type="dxa"/>
            <w:gridSpan w:val="2"/>
            <w:vMerge w:val="continue"/>
            <w:shd w:val="clear" w:color="auto" w:fill="auto"/>
            <w:vAlign w:val="center"/>
          </w:tcPr>
          <w:p>
            <w:pPr>
              <w:ind w:firstLine="480"/>
              <w:rPr>
                <w:rFonts w:ascii="宋体" w:hAnsi="宋体"/>
                <w:sz w:val="24"/>
              </w:rPr>
            </w:pPr>
          </w:p>
        </w:tc>
        <w:tc>
          <w:tcPr>
            <w:tcW w:w="1816" w:type="dxa"/>
            <w:shd w:val="clear" w:color="auto" w:fill="auto"/>
            <w:vAlign w:val="center"/>
          </w:tcPr>
          <w:p>
            <w:pPr>
              <w:jc w:val="center"/>
              <w:rPr>
                <w:rFonts w:ascii="宋体" w:hAnsi="宋体"/>
                <w:b/>
                <w:sz w:val="24"/>
              </w:rPr>
            </w:pPr>
            <w:r>
              <w:rPr>
                <w:rFonts w:hint="eastAsia" w:ascii="宋体" w:hAnsi="宋体"/>
                <w:b/>
                <w:sz w:val="24"/>
              </w:rPr>
              <w:t>报表类型</w:t>
            </w:r>
          </w:p>
        </w:tc>
        <w:tc>
          <w:tcPr>
            <w:tcW w:w="1838" w:type="dxa"/>
            <w:shd w:val="clear" w:color="auto" w:fill="auto"/>
            <w:vAlign w:val="center"/>
          </w:tcPr>
          <w:p>
            <w:pPr>
              <w:jc w:val="center"/>
              <w:rPr>
                <w:rFonts w:ascii="宋体" w:hAnsi="宋体"/>
                <w:b/>
                <w:sz w:val="24"/>
              </w:rPr>
            </w:pPr>
            <w:r>
              <w:rPr>
                <w:rFonts w:hint="eastAsia" w:ascii="宋体" w:hAnsi="宋体"/>
                <w:b/>
                <w:sz w:val="24"/>
              </w:rPr>
              <w:t>营业收入</w:t>
            </w:r>
          </w:p>
        </w:tc>
        <w:tc>
          <w:tcPr>
            <w:tcW w:w="1679" w:type="dxa"/>
            <w:shd w:val="clear" w:color="auto" w:fill="FFFFFF"/>
            <w:vAlign w:val="center"/>
          </w:tcPr>
          <w:p>
            <w:pPr>
              <w:jc w:val="center"/>
              <w:rPr>
                <w:rFonts w:ascii="宋体" w:hAnsi="宋体"/>
                <w:b/>
                <w:sz w:val="24"/>
              </w:rPr>
            </w:pPr>
            <w:r>
              <w:rPr>
                <w:rFonts w:hint="eastAsia" w:ascii="宋体" w:hAnsi="宋体"/>
                <w:b/>
                <w:sz w:val="24"/>
              </w:rPr>
              <w:t>利润总额</w:t>
            </w:r>
          </w:p>
        </w:tc>
        <w:tc>
          <w:tcPr>
            <w:tcW w:w="1670" w:type="dxa"/>
            <w:gridSpan w:val="2"/>
            <w:shd w:val="clear" w:color="auto" w:fill="FFFFFF"/>
            <w:vAlign w:val="center"/>
          </w:tcPr>
          <w:p>
            <w:pPr>
              <w:jc w:val="center"/>
              <w:rPr>
                <w:rFonts w:ascii="宋体" w:hAnsi="宋体"/>
                <w:b/>
                <w:sz w:val="24"/>
              </w:rPr>
            </w:pPr>
            <w:r>
              <w:rPr>
                <w:rFonts w:hint="eastAsia" w:ascii="宋体" w:hAnsi="宋体"/>
                <w:b/>
                <w:sz w:val="24"/>
              </w:rPr>
              <w:t>净利润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9" w:hRule="exact"/>
          <w:jc w:val="center"/>
        </w:trPr>
        <w:tc>
          <w:tcPr>
            <w:tcW w:w="1942" w:type="dxa"/>
            <w:gridSpan w:val="2"/>
            <w:vMerge w:val="continue"/>
            <w:shd w:val="clear" w:color="auto" w:fill="auto"/>
            <w:vAlign w:val="center"/>
          </w:tcPr>
          <w:p>
            <w:pPr>
              <w:ind w:firstLine="480"/>
              <w:rPr>
                <w:rFonts w:ascii="宋体" w:hAnsi="宋体"/>
                <w:sz w:val="24"/>
              </w:rPr>
            </w:pPr>
          </w:p>
        </w:tc>
        <w:tc>
          <w:tcPr>
            <w:tcW w:w="1816" w:type="dxa"/>
            <w:shd w:val="clear" w:color="auto" w:fill="auto"/>
            <w:vAlign w:val="center"/>
          </w:tcPr>
          <w:p>
            <w:pPr>
              <w:jc w:val="center"/>
              <w:rPr>
                <w:rFonts w:ascii="宋体" w:hAnsi="宋体"/>
                <w:sz w:val="24"/>
              </w:rPr>
            </w:pPr>
            <w:r>
              <w:rPr>
                <w:rFonts w:hint="eastAsia" w:ascii="宋体" w:hAnsi="宋体"/>
              </w:rPr>
              <w:t>月报表</w:t>
            </w:r>
          </w:p>
        </w:tc>
        <w:tc>
          <w:tcPr>
            <w:tcW w:w="1838" w:type="dxa"/>
            <w:shd w:val="clear" w:color="auto" w:fill="auto"/>
            <w:vAlign w:val="center"/>
          </w:tcPr>
          <w:p>
            <w:pPr>
              <w:jc w:val="center"/>
              <w:rPr>
                <w:rFonts w:ascii="宋体" w:hAnsi="宋体"/>
                <w:sz w:val="24"/>
              </w:rPr>
            </w:pPr>
            <w:r>
              <w:rPr>
                <w:rFonts w:ascii="宋体" w:hAnsi="宋体" w:cs="宋体"/>
                <w:sz w:val="20"/>
                <w:szCs w:val="18"/>
              </w:rPr>
              <w:t>5</w:t>
            </w:r>
            <w:r>
              <w:rPr>
                <w:rFonts w:hint="eastAsia" w:ascii="宋体" w:hAnsi="宋体" w:cs="宋体"/>
                <w:sz w:val="20"/>
                <w:szCs w:val="18"/>
              </w:rPr>
              <w:t>,</w:t>
            </w:r>
            <w:r>
              <w:rPr>
                <w:rFonts w:ascii="宋体" w:hAnsi="宋体" w:cs="宋体"/>
                <w:sz w:val="20"/>
                <w:szCs w:val="18"/>
              </w:rPr>
              <w:t>317</w:t>
            </w:r>
            <w:r>
              <w:rPr>
                <w:rFonts w:hint="eastAsia" w:ascii="宋体" w:hAnsi="宋体" w:cs="宋体"/>
                <w:sz w:val="20"/>
                <w:szCs w:val="18"/>
              </w:rPr>
              <w:t>.</w:t>
            </w:r>
            <w:r>
              <w:rPr>
                <w:rFonts w:ascii="宋体" w:hAnsi="宋体" w:cs="宋体"/>
                <w:sz w:val="20"/>
                <w:szCs w:val="18"/>
              </w:rPr>
              <w:t>14</w:t>
            </w:r>
          </w:p>
        </w:tc>
        <w:tc>
          <w:tcPr>
            <w:tcW w:w="1679" w:type="dxa"/>
            <w:shd w:val="clear" w:color="auto" w:fill="FFFFFF"/>
          </w:tcPr>
          <w:p>
            <w:pPr>
              <w:jc w:val="center"/>
              <w:rPr>
                <w:rFonts w:ascii="宋体" w:hAnsi="宋体"/>
                <w:sz w:val="24"/>
              </w:rPr>
            </w:pPr>
            <w:r>
              <w:rPr>
                <w:rFonts w:ascii="宋体" w:hAnsi="宋体" w:cs="宋体"/>
                <w:sz w:val="20"/>
                <w:szCs w:val="18"/>
              </w:rPr>
              <w:t>-832</w:t>
            </w:r>
            <w:r>
              <w:rPr>
                <w:rFonts w:hint="eastAsia" w:ascii="宋体" w:hAnsi="宋体" w:cs="宋体"/>
                <w:sz w:val="20"/>
                <w:szCs w:val="18"/>
              </w:rPr>
              <w:t>.</w:t>
            </w:r>
            <w:r>
              <w:rPr>
                <w:rFonts w:ascii="宋体" w:hAnsi="宋体" w:cs="宋体"/>
                <w:sz w:val="20"/>
                <w:szCs w:val="18"/>
              </w:rPr>
              <w:t>7</w:t>
            </w:r>
            <w:r>
              <w:rPr>
                <w:rFonts w:hint="eastAsia" w:ascii="宋体" w:hAnsi="宋体" w:cs="宋体"/>
                <w:sz w:val="20"/>
                <w:szCs w:val="18"/>
              </w:rPr>
              <w:t>9</w:t>
            </w:r>
          </w:p>
        </w:tc>
        <w:tc>
          <w:tcPr>
            <w:tcW w:w="1670" w:type="dxa"/>
            <w:gridSpan w:val="2"/>
            <w:shd w:val="clear" w:color="auto" w:fill="FFFFFF"/>
          </w:tcPr>
          <w:p>
            <w:pPr>
              <w:jc w:val="center"/>
              <w:rPr>
                <w:rFonts w:ascii="宋体" w:hAnsi="宋体"/>
                <w:sz w:val="24"/>
              </w:rPr>
            </w:pPr>
            <w:r>
              <w:rPr>
                <w:rFonts w:ascii="宋体" w:hAnsi="宋体" w:cs="宋体"/>
                <w:sz w:val="20"/>
                <w:szCs w:val="18"/>
              </w:rPr>
              <w:t>-832</w:t>
            </w:r>
            <w:r>
              <w:rPr>
                <w:rFonts w:hint="eastAsia" w:ascii="宋体" w:hAnsi="宋体" w:cs="宋体"/>
                <w:sz w:val="20"/>
                <w:szCs w:val="18"/>
              </w:rPr>
              <w:t>.</w:t>
            </w:r>
            <w:r>
              <w:rPr>
                <w:rFonts w:ascii="宋体" w:hAnsi="宋体" w:cs="宋体"/>
                <w:sz w:val="20"/>
                <w:szCs w:val="18"/>
              </w:rPr>
              <w:t>7</w:t>
            </w:r>
            <w:r>
              <w:rPr>
                <w:rFonts w:hint="eastAsia" w:ascii="宋体" w:hAnsi="宋体" w:cs="宋体"/>
                <w:sz w:val="20"/>
                <w:szCs w:val="18"/>
              </w:rPr>
              <w:t>9</w:t>
            </w:r>
          </w:p>
        </w:tc>
      </w:tr>
    </w:tbl>
    <w:p>
      <w:pPr>
        <w:pStyle w:val="38"/>
        <w:spacing w:line="360" w:lineRule="auto"/>
        <w:ind w:left="562" w:firstLine="0" w:firstLineChars="0"/>
        <w:rPr>
          <w:rFonts w:ascii="宋体" w:hAnsi="宋体"/>
          <w:sz w:val="24"/>
          <w:szCs w:val="24"/>
        </w:rPr>
      </w:pPr>
    </w:p>
    <w:p>
      <w:pPr>
        <w:pStyle w:val="38"/>
        <w:spacing w:line="360" w:lineRule="auto"/>
        <w:ind w:left="562" w:firstLine="0" w:firstLineChars="0"/>
        <w:rPr>
          <w:rFonts w:ascii="宋体"/>
          <w:b/>
          <w:sz w:val="24"/>
          <w:szCs w:val="24"/>
        </w:rPr>
      </w:pPr>
      <w:r>
        <w:rPr>
          <w:rFonts w:ascii="宋体" w:hAnsi="宋体"/>
          <w:sz w:val="24"/>
          <w:szCs w:val="24"/>
        </w:rPr>
        <w:t>(</w:t>
      </w:r>
      <w:r>
        <w:rPr>
          <w:rFonts w:hint="eastAsia" w:ascii="宋体" w:hAnsi="宋体"/>
          <w:sz w:val="24"/>
          <w:szCs w:val="24"/>
        </w:rPr>
        <w:t>二</w:t>
      </w:r>
      <w:r>
        <w:rPr>
          <w:rFonts w:ascii="宋体" w:hAnsi="宋体"/>
          <w:sz w:val="24"/>
          <w:szCs w:val="24"/>
        </w:rPr>
        <w:t>)</w:t>
      </w:r>
      <w:r>
        <w:rPr>
          <w:rFonts w:hint="eastAsia" w:ascii="宋体" w:hAnsi="宋体"/>
          <w:b/>
          <w:sz w:val="24"/>
          <w:szCs w:val="24"/>
        </w:rPr>
        <w:t>增资扩股及原股东转让部分股权后的股权结构</w:t>
      </w:r>
    </w:p>
    <w:p>
      <w:pPr>
        <w:spacing w:line="360" w:lineRule="auto"/>
        <w:ind w:firstLine="480"/>
        <w:jc w:val="left"/>
        <w:rPr>
          <w:rFonts w:ascii="宋体" w:hAnsi="宋体"/>
          <w:sz w:val="24"/>
          <w:szCs w:val="24"/>
        </w:rPr>
      </w:pPr>
      <w:r>
        <w:rPr>
          <w:rFonts w:hint="eastAsia" w:ascii="宋体" w:hAnsi="宋体"/>
          <w:sz w:val="24"/>
          <w:szCs w:val="24"/>
        </w:rPr>
        <w:t>融资方在本次增资过程中，原股东浙江海正药业股份有限公司(</w:t>
      </w:r>
      <w:r>
        <w:rPr>
          <w:rFonts w:ascii="宋体" w:hAnsi="宋体"/>
          <w:sz w:val="24"/>
          <w:szCs w:val="24"/>
        </w:rPr>
        <w:t>“</w:t>
      </w:r>
      <w:r>
        <w:rPr>
          <w:rFonts w:hint="eastAsia" w:ascii="宋体" w:hAnsi="宋体"/>
          <w:sz w:val="24"/>
          <w:szCs w:val="24"/>
        </w:rPr>
        <w:t>海正</w:t>
      </w:r>
      <w:r>
        <w:rPr>
          <w:rFonts w:ascii="宋体" w:hAnsi="宋体"/>
          <w:sz w:val="24"/>
          <w:szCs w:val="24"/>
        </w:rPr>
        <w:t>药业”</w:t>
      </w:r>
      <w:r>
        <w:rPr>
          <w:rFonts w:hint="eastAsia" w:ascii="宋体" w:hAnsi="宋体"/>
          <w:sz w:val="24"/>
          <w:szCs w:val="24"/>
        </w:rPr>
        <w:t>)、海正药业（杭州）有限公司（“</w:t>
      </w:r>
      <w:r>
        <w:rPr>
          <w:rFonts w:ascii="宋体" w:hAnsi="宋体"/>
          <w:sz w:val="24"/>
          <w:szCs w:val="24"/>
        </w:rPr>
        <w:t>海正杭州公司”）</w:t>
      </w:r>
      <w:r>
        <w:rPr>
          <w:rFonts w:hint="eastAsia" w:ascii="宋体" w:hAnsi="宋体"/>
          <w:sz w:val="24"/>
          <w:szCs w:val="24"/>
        </w:rPr>
        <w:t>同时将向投资方转让各自持有的5079.50万元和20170.50万元注册</w:t>
      </w:r>
      <w:r>
        <w:rPr>
          <w:rFonts w:ascii="宋体" w:hAnsi="宋体"/>
          <w:sz w:val="24"/>
          <w:szCs w:val="24"/>
        </w:rPr>
        <w:t>资本</w:t>
      </w:r>
      <w:r>
        <w:rPr>
          <w:rFonts w:hint="eastAsia" w:ascii="宋体" w:hAnsi="宋体"/>
          <w:sz w:val="24"/>
          <w:szCs w:val="24"/>
        </w:rPr>
        <w:t>，分别</w:t>
      </w:r>
      <w:r>
        <w:rPr>
          <w:rFonts w:ascii="宋体" w:hAnsi="宋体"/>
          <w:sz w:val="24"/>
          <w:szCs w:val="24"/>
        </w:rPr>
        <w:t>代表</w:t>
      </w:r>
      <w:r>
        <w:rPr>
          <w:rFonts w:hint="eastAsia" w:ascii="宋体" w:hAnsi="宋体"/>
          <w:bCs/>
          <w:sz w:val="24"/>
        </w:rPr>
        <w:t>海正博锐增资前的</w:t>
      </w:r>
      <w:r>
        <w:rPr>
          <w:rFonts w:ascii="宋体" w:hAnsi="宋体"/>
          <w:bCs/>
          <w:sz w:val="24"/>
        </w:rPr>
        <w:t>10.1590%</w:t>
      </w:r>
      <w:r>
        <w:rPr>
          <w:rFonts w:hint="eastAsia" w:ascii="宋体" w:hAnsi="宋体"/>
          <w:bCs/>
          <w:sz w:val="24"/>
        </w:rPr>
        <w:t>及</w:t>
      </w:r>
      <w:r>
        <w:rPr>
          <w:rFonts w:ascii="宋体" w:hAnsi="宋体"/>
          <w:bCs/>
          <w:sz w:val="24"/>
        </w:rPr>
        <w:t>40.3410%</w:t>
      </w:r>
      <w:r>
        <w:rPr>
          <w:rFonts w:hint="eastAsia" w:ascii="宋体" w:hAnsi="宋体"/>
          <w:bCs/>
          <w:sz w:val="24"/>
        </w:rPr>
        <w:t>股权，</w:t>
      </w:r>
      <w:r>
        <w:rPr>
          <w:rFonts w:hint="eastAsia" w:ascii="宋体" w:hAnsi="宋体"/>
          <w:sz w:val="24"/>
          <w:szCs w:val="24"/>
        </w:rPr>
        <w:t>转让价格依据本次增资确定的价格而定。本次增资及股权转让完成后，融资方股权结构如下：</w:t>
      </w:r>
    </w:p>
    <w:p>
      <w:pPr>
        <w:spacing w:line="360" w:lineRule="auto"/>
        <w:ind w:firstLine="480"/>
        <w:jc w:val="right"/>
        <w:rPr>
          <w:rFonts w:ascii="宋体" w:hAnsi="宋体"/>
          <w:sz w:val="24"/>
          <w:szCs w:val="24"/>
        </w:rPr>
      </w:pPr>
      <w:r>
        <w:rPr>
          <w:rFonts w:hint="eastAsia" w:ascii="宋体" w:hAnsi="宋体"/>
          <w:sz w:val="24"/>
          <w:szCs w:val="24"/>
        </w:rPr>
        <w:t>单位：万元</w:t>
      </w:r>
    </w:p>
    <w:tbl>
      <w:tblPr>
        <w:tblStyle w:val="18"/>
        <w:tblW w:w="8723"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471"/>
        <w:gridCol w:w="1646"/>
        <w:gridCol w:w="1275"/>
        <w:gridCol w:w="877"/>
        <w:gridCol w:w="1166"/>
        <w:gridCol w:w="1312"/>
        <w:gridCol w:w="1122"/>
        <w:gridCol w:w="85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317" w:hRule="atLeast"/>
        </w:trPr>
        <w:tc>
          <w:tcPr>
            <w:tcW w:w="471" w:type="dxa"/>
            <w:vMerge w:val="restart"/>
            <w:tcBorders>
              <w:tl2br w:val="nil"/>
              <w:tr2bl w:val="nil"/>
            </w:tcBorders>
            <w:shd w:val="clear" w:color="000000" w:fill="D9D9D9"/>
            <w:vAlign w:val="center"/>
          </w:tcPr>
          <w:p>
            <w:pPr>
              <w:widowControl/>
              <w:jc w:val="center"/>
              <w:rPr>
                <w:rFonts w:ascii="Times New Roman" w:hAnsi="Times New Roman"/>
                <w:b/>
                <w:bCs/>
                <w:kern w:val="0"/>
                <w:szCs w:val="21"/>
              </w:rPr>
            </w:pPr>
            <w:r>
              <w:rPr>
                <w:rFonts w:hint="eastAsia" w:ascii="宋体" w:hAnsi="宋体"/>
                <w:b/>
                <w:bCs/>
                <w:kern w:val="0"/>
                <w:szCs w:val="21"/>
              </w:rPr>
              <w:t>序号</w:t>
            </w:r>
          </w:p>
        </w:tc>
        <w:tc>
          <w:tcPr>
            <w:tcW w:w="1646" w:type="dxa"/>
            <w:vMerge w:val="restart"/>
            <w:tcBorders>
              <w:tl2br w:val="nil"/>
              <w:tr2bl w:val="nil"/>
            </w:tcBorders>
            <w:shd w:val="clear" w:color="000000" w:fill="D9D9D9"/>
            <w:vAlign w:val="center"/>
          </w:tcPr>
          <w:p>
            <w:pPr>
              <w:widowControl/>
              <w:jc w:val="center"/>
              <w:rPr>
                <w:rFonts w:ascii="Times New Roman" w:hAnsi="Times New Roman"/>
                <w:b/>
                <w:bCs/>
                <w:kern w:val="0"/>
                <w:szCs w:val="21"/>
              </w:rPr>
            </w:pPr>
            <w:r>
              <w:rPr>
                <w:rFonts w:hint="eastAsia" w:ascii="宋体" w:hAnsi="宋体"/>
                <w:b/>
                <w:bCs/>
                <w:kern w:val="0"/>
                <w:szCs w:val="21"/>
              </w:rPr>
              <w:t>股东名称或姓名</w:t>
            </w:r>
          </w:p>
        </w:tc>
        <w:tc>
          <w:tcPr>
            <w:tcW w:w="2152" w:type="dxa"/>
            <w:gridSpan w:val="2"/>
            <w:tcBorders>
              <w:tl2br w:val="nil"/>
              <w:tr2bl w:val="nil"/>
            </w:tcBorders>
            <w:shd w:val="clear" w:color="000000" w:fill="D9D9D9"/>
            <w:vAlign w:val="center"/>
          </w:tcPr>
          <w:p>
            <w:pPr>
              <w:widowControl/>
              <w:jc w:val="center"/>
              <w:rPr>
                <w:rFonts w:ascii="Times New Roman" w:hAnsi="Times New Roman"/>
                <w:b/>
                <w:bCs/>
                <w:kern w:val="0"/>
                <w:szCs w:val="21"/>
              </w:rPr>
            </w:pPr>
            <w:r>
              <w:rPr>
                <w:rFonts w:hint="eastAsia" w:ascii="宋体" w:hAnsi="宋体"/>
                <w:b/>
                <w:bCs/>
                <w:kern w:val="0"/>
                <w:szCs w:val="21"/>
              </w:rPr>
              <w:t>增资及转让前</w:t>
            </w:r>
          </w:p>
        </w:tc>
        <w:tc>
          <w:tcPr>
            <w:tcW w:w="2478" w:type="dxa"/>
            <w:gridSpan w:val="2"/>
            <w:tcBorders>
              <w:tl2br w:val="nil"/>
              <w:tr2bl w:val="nil"/>
            </w:tcBorders>
            <w:shd w:val="clear" w:color="000000" w:fill="D9D9D9"/>
            <w:vAlign w:val="center"/>
          </w:tcPr>
          <w:p>
            <w:pPr>
              <w:widowControl/>
              <w:jc w:val="center"/>
              <w:rPr>
                <w:rFonts w:ascii="Times New Roman" w:hAnsi="Times New Roman"/>
                <w:b/>
                <w:bCs/>
                <w:kern w:val="0"/>
                <w:szCs w:val="21"/>
              </w:rPr>
            </w:pPr>
            <w:r>
              <w:rPr>
                <w:rFonts w:hint="eastAsia" w:ascii="宋体" w:hAnsi="宋体"/>
                <w:b/>
                <w:bCs/>
                <w:kern w:val="0"/>
                <w:szCs w:val="21"/>
              </w:rPr>
              <w:t>增资及转让股本</w:t>
            </w:r>
          </w:p>
        </w:tc>
        <w:tc>
          <w:tcPr>
            <w:tcW w:w="1976" w:type="dxa"/>
            <w:gridSpan w:val="2"/>
            <w:tcBorders>
              <w:tl2br w:val="nil"/>
              <w:tr2bl w:val="nil"/>
            </w:tcBorders>
            <w:shd w:val="clear" w:color="000000" w:fill="D9D9D9"/>
            <w:vAlign w:val="center"/>
          </w:tcPr>
          <w:p>
            <w:pPr>
              <w:widowControl/>
              <w:jc w:val="center"/>
              <w:rPr>
                <w:rFonts w:ascii="宋体" w:hAnsi="宋体" w:cs="宋体"/>
                <w:b/>
                <w:bCs/>
                <w:kern w:val="0"/>
                <w:szCs w:val="21"/>
              </w:rPr>
            </w:pPr>
            <w:r>
              <w:rPr>
                <w:rFonts w:hint="eastAsia" w:ascii="宋体" w:hAnsi="宋体" w:cs="宋体"/>
                <w:b/>
                <w:bCs/>
                <w:kern w:val="0"/>
                <w:szCs w:val="21"/>
              </w:rPr>
              <w:t>增资及转让后</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317" w:hRule="atLeast"/>
        </w:trPr>
        <w:tc>
          <w:tcPr>
            <w:tcW w:w="471" w:type="dxa"/>
            <w:vMerge w:val="continue"/>
            <w:tcBorders>
              <w:tl2br w:val="nil"/>
              <w:tr2bl w:val="nil"/>
            </w:tcBorders>
            <w:vAlign w:val="center"/>
          </w:tcPr>
          <w:p>
            <w:pPr>
              <w:widowControl/>
              <w:jc w:val="left"/>
              <w:rPr>
                <w:rFonts w:ascii="Times New Roman" w:hAnsi="Times New Roman"/>
                <w:b/>
                <w:bCs/>
                <w:kern w:val="0"/>
                <w:szCs w:val="21"/>
              </w:rPr>
            </w:pPr>
          </w:p>
        </w:tc>
        <w:tc>
          <w:tcPr>
            <w:tcW w:w="1646" w:type="dxa"/>
            <w:vMerge w:val="continue"/>
            <w:tcBorders>
              <w:tl2br w:val="nil"/>
              <w:tr2bl w:val="nil"/>
            </w:tcBorders>
            <w:vAlign w:val="center"/>
          </w:tcPr>
          <w:p>
            <w:pPr>
              <w:widowControl/>
              <w:jc w:val="left"/>
              <w:rPr>
                <w:rFonts w:ascii="Times New Roman" w:hAnsi="Times New Roman"/>
                <w:b/>
                <w:bCs/>
                <w:kern w:val="0"/>
                <w:szCs w:val="21"/>
              </w:rPr>
            </w:pPr>
          </w:p>
        </w:tc>
        <w:tc>
          <w:tcPr>
            <w:tcW w:w="1275" w:type="dxa"/>
            <w:tcBorders>
              <w:tl2br w:val="nil"/>
              <w:tr2bl w:val="nil"/>
            </w:tcBorders>
            <w:shd w:val="clear" w:color="000000" w:fill="D9D9D9"/>
            <w:vAlign w:val="center"/>
          </w:tcPr>
          <w:p>
            <w:pPr>
              <w:widowControl/>
              <w:jc w:val="center"/>
              <w:rPr>
                <w:rFonts w:ascii="Times New Roman" w:hAnsi="Times New Roman"/>
                <w:b/>
                <w:bCs/>
                <w:kern w:val="0"/>
                <w:szCs w:val="21"/>
              </w:rPr>
            </w:pPr>
            <w:r>
              <w:rPr>
                <w:rFonts w:hint="eastAsia" w:ascii="宋体" w:hAnsi="宋体"/>
                <w:b/>
                <w:bCs/>
                <w:kern w:val="0"/>
                <w:szCs w:val="21"/>
              </w:rPr>
              <w:t>注册资本</w:t>
            </w:r>
          </w:p>
        </w:tc>
        <w:tc>
          <w:tcPr>
            <w:tcW w:w="877" w:type="dxa"/>
            <w:tcBorders>
              <w:tl2br w:val="nil"/>
              <w:tr2bl w:val="nil"/>
            </w:tcBorders>
            <w:shd w:val="clear" w:color="000000" w:fill="D9D9D9"/>
            <w:vAlign w:val="center"/>
          </w:tcPr>
          <w:p>
            <w:pPr>
              <w:widowControl/>
              <w:jc w:val="center"/>
              <w:rPr>
                <w:rFonts w:ascii="Times New Roman" w:hAnsi="Times New Roman"/>
                <w:b/>
                <w:bCs/>
                <w:kern w:val="0"/>
                <w:szCs w:val="21"/>
              </w:rPr>
            </w:pPr>
            <w:r>
              <w:rPr>
                <w:rFonts w:hint="eastAsia" w:ascii="宋体" w:hAnsi="宋体"/>
                <w:b/>
                <w:bCs/>
                <w:kern w:val="0"/>
                <w:szCs w:val="21"/>
              </w:rPr>
              <w:t>比例</w:t>
            </w:r>
          </w:p>
        </w:tc>
        <w:tc>
          <w:tcPr>
            <w:tcW w:w="1166" w:type="dxa"/>
            <w:tcBorders>
              <w:tl2br w:val="nil"/>
              <w:tr2bl w:val="nil"/>
            </w:tcBorders>
            <w:shd w:val="clear" w:color="000000" w:fill="D9D9D9"/>
            <w:vAlign w:val="center"/>
          </w:tcPr>
          <w:p>
            <w:pPr>
              <w:widowControl/>
              <w:jc w:val="center"/>
              <w:rPr>
                <w:rFonts w:ascii="Times New Roman" w:hAnsi="Times New Roman"/>
                <w:b/>
                <w:bCs/>
                <w:kern w:val="0"/>
                <w:szCs w:val="21"/>
              </w:rPr>
            </w:pPr>
            <w:r>
              <w:rPr>
                <w:rFonts w:hint="eastAsia" w:ascii="宋体" w:hAnsi="宋体"/>
                <w:b/>
                <w:bCs/>
                <w:kern w:val="0"/>
                <w:szCs w:val="21"/>
              </w:rPr>
              <w:t>新增注册资本</w:t>
            </w:r>
          </w:p>
        </w:tc>
        <w:tc>
          <w:tcPr>
            <w:tcW w:w="1312" w:type="dxa"/>
            <w:tcBorders>
              <w:tl2br w:val="nil"/>
              <w:tr2bl w:val="nil"/>
            </w:tcBorders>
            <w:shd w:val="clear" w:color="000000" w:fill="D9D9D9"/>
            <w:vAlign w:val="center"/>
          </w:tcPr>
          <w:p>
            <w:pPr>
              <w:widowControl/>
              <w:jc w:val="center"/>
              <w:rPr>
                <w:rFonts w:ascii="Times New Roman" w:hAnsi="Times New Roman"/>
                <w:b/>
                <w:bCs/>
                <w:kern w:val="0"/>
                <w:szCs w:val="21"/>
              </w:rPr>
            </w:pPr>
            <w:r>
              <w:rPr>
                <w:rFonts w:hint="eastAsia" w:ascii="宋体" w:hAnsi="宋体"/>
                <w:b/>
                <w:bCs/>
                <w:kern w:val="0"/>
                <w:szCs w:val="21"/>
              </w:rPr>
              <w:t>转让注册资本</w:t>
            </w:r>
          </w:p>
        </w:tc>
        <w:tc>
          <w:tcPr>
            <w:tcW w:w="1122" w:type="dxa"/>
            <w:tcBorders>
              <w:tl2br w:val="nil"/>
              <w:tr2bl w:val="nil"/>
            </w:tcBorders>
            <w:shd w:val="clear" w:color="000000" w:fill="D9D9D9"/>
            <w:vAlign w:val="center"/>
          </w:tcPr>
          <w:p>
            <w:pPr>
              <w:widowControl/>
              <w:jc w:val="center"/>
              <w:rPr>
                <w:rFonts w:ascii="宋体" w:hAnsi="宋体" w:cs="宋体"/>
                <w:b/>
                <w:bCs/>
                <w:kern w:val="0"/>
                <w:szCs w:val="21"/>
              </w:rPr>
            </w:pPr>
            <w:r>
              <w:rPr>
                <w:rFonts w:hint="eastAsia" w:ascii="宋体" w:hAnsi="宋体" w:cs="宋体"/>
                <w:b/>
                <w:bCs/>
                <w:kern w:val="0"/>
                <w:szCs w:val="21"/>
              </w:rPr>
              <w:t>注册资本</w:t>
            </w:r>
          </w:p>
        </w:tc>
        <w:tc>
          <w:tcPr>
            <w:tcW w:w="854" w:type="dxa"/>
            <w:tcBorders>
              <w:tl2br w:val="nil"/>
              <w:tr2bl w:val="nil"/>
            </w:tcBorders>
            <w:shd w:val="clear" w:color="000000" w:fill="D9D9D9"/>
            <w:vAlign w:val="center"/>
          </w:tcPr>
          <w:p>
            <w:pPr>
              <w:widowControl/>
              <w:jc w:val="center"/>
              <w:rPr>
                <w:rFonts w:ascii="Times New Roman" w:hAnsi="Times New Roman"/>
                <w:b/>
                <w:bCs/>
                <w:kern w:val="0"/>
                <w:szCs w:val="21"/>
              </w:rPr>
            </w:pPr>
            <w:r>
              <w:rPr>
                <w:rFonts w:hint="eastAsia" w:ascii="宋体" w:hAnsi="宋体"/>
                <w:b/>
                <w:bCs/>
                <w:kern w:val="0"/>
                <w:szCs w:val="21"/>
              </w:rPr>
              <w:t>持股比例</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306" w:hRule="atLeast"/>
        </w:trPr>
        <w:tc>
          <w:tcPr>
            <w:tcW w:w="471" w:type="dxa"/>
            <w:tcBorders>
              <w:tl2br w:val="nil"/>
              <w:tr2bl w:val="nil"/>
            </w:tcBorders>
            <w:shd w:val="clear" w:color="auto" w:fill="auto"/>
            <w:vAlign w:val="center"/>
          </w:tcPr>
          <w:p>
            <w:pPr>
              <w:widowControl/>
              <w:jc w:val="center"/>
              <w:rPr>
                <w:rFonts w:ascii="Times New Roman" w:hAnsi="Times New Roman"/>
                <w:kern w:val="0"/>
                <w:szCs w:val="21"/>
              </w:rPr>
            </w:pPr>
            <w:r>
              <w:rPr>
                <w:rFonts w:ascii="Times New Roman" w:hAnsi="Times New Roman"/>
                <w:kern w:val="0"/>
                <w:szCs w:val="21"/>
              </w:rPr>
              <w:t>1</w:t>
            </w:r>
          </w:p>
        </w:tc>
        <w:tc>
          <w:tcPr>
            <w:tcW w:w="1646" w:type="dxa"/>
            <w:tcBorders>
              <w:tl2br w:val="nil"/>
              <w:tr2bl w:val="nil"/>
            </w:tcBorders>
            <w:shd w:val="clear" w:color="auto" w:fill="auto"/>
            <w:vAlign w:val="center"/>
          </w:tcPr>
          <w:p>
            <w:pPr>
              <w:widowControl/>
              <w:rPr>
                <w:rFonts w:ascii="宋体" w:hAnsi="宋体" w:cs="宋体"/>
                <w:kern w:val="0"/>
                <w:sz w:val="22"/>
                <w:lang w:eastAsia="en-US"/>
              </w:rPr>
            </w:pPr>
            <w:r>
              <w:rPr>
                <w:rFonts w:ascii="宋体" w:hAnsi="宋体" w:cs="宋体"/>
                <w:kern w:val="0"/>
                <w:sz w:val="22"/>
                <w:lang w:eastAsia="en-US"/>
              </w:rPr>
              <w:t>海正药业</w:t>
            </w:r>
          </w:p>
        </w:tc>
        <w:tc>
          <w:tcPr>
            <w:tcW w:w="1275" w:type="dxa"/>
            <w:tcBorders>
              <w:tl2br w:val="nil"/>
              <w:tr2bl w:val="nil"/>
            </w:tcBorders>
          </w:tcPr>
          <w:p>
            <w:pPr>
              <w:widowControl/>
              <w:jc w:val="right"/>
              <w:rPr>
                <w:rFonts w:ascii="Times New Roman" w:hAnsi="Times New Roman"/>
                <w:kern w:val="0"/>
                <w:szCs w:val="21"/>
              </w:rPr>
            </w:pPr>
            <w:r>
              <w:rPr>
                <w:rFonts w:ascii="Times New Roman" w:hAnsi="Times New Roman" w:eastAsia="Times New Roman"/>
                <w:kern w:val="0"/>
                <w:sz w:val="22"/>
                <w:lang w:eastAsia="en-US"/>
              </w:rPr>
              <w:t>29,829.50</w:t>
            </w:r>
            <w:r>
              <w:rPr>
                <w:rFonts w:ascii="Times New Roman" w:hAnsi="Times New Roman" w:eastAsia="Times New Roman"/>
                <w:spacing w:val="-3"/>
                <w:kern w:val="0"/>
                <w:sz w:val="22"/>
                <w:lang w:eastAsia="en-US"/>
              </w:rPr>
              <w:t>0</w:t>
            </w:r>
            <w:r>
              <w:rPr>
                <w:rFonts w:ascii="Times New Roman" w:hAnsi="Times New Roman" w:eastAsia="Times New Roman"/>
                <w:kern w:val="0"/>
                <w:sz w:val="22"/>
                <w:lang w:eastAsia="en-US"/>
              </w:rPr>
              <w:t>0</w:t>
            </w:r>
          </w:p>
        </w:tc>
        <w:tc>
          <w:tcPr>
            <w:tcW w:w="877" w:type="dxa"/>
            <w:tcBorders>
              <w:tl2br w:val="nil"/>
              <w:tr2bl w:val="nil"/>
            </w:tcBorders>
          </w:tcPr>
          <w:p>
            <w:pPr>
              <w:widowControl/>
              <w:jc w:val="right"/>
              <w:rPr>
                <w:rFonts w:ascii="Times New Roman" w:hAnsi="Times New Roman"/>
                <w:kern w:val="0"/>
                <w:szCs w:val="21"/>
              </w:rPr>
            </w:pPr>
            <w:r>
              <w:rPr>
                <w:rFonts w:ascii="Times New Roman" w:hAnsi="Times New Roman" w:eastAsia="Times New Roman"/>
                <w:kern w:val="0"/>
                <w:sz w:val="22"/>
                <w:lang w:eastAsia="en-US"/>
              </w:rPr>
              <w:t>59.66%</w:t>
            </w:r>
          </w:p>
        </w:tc>
        <w:tc>
          <w:tcPr>
            <w:tcW w:w="1166" w:type="dxa"/>
            <w:tcBorders>
              <w:tl2br w:val="nil"/>
              <w:tr2bl w:val="nil"/>
            </w:tcBorders>
            <w:shd w:val="clear" w:color="auto" w:fill="auto"/>
            <w:vAlign w:val="center"/>
          </w:tcPr>
          <w:p>
            <w:pPr>
              <w:widowControl/>
              <w:jc w:val="right"/>
              <w:rPr>
                <w:rFonts w:ascii="Times New Roman" w:hAnsi="Times New Roman"/>
                <w:kern w:val="0"/>
                <w:szCs w:val="21"/>
              </w:rPr>
            </w:pPr>
            <w:r>
              <w:rPr>
                <w:rFonts w:hint="eastAsia" w:ascii="Times New Roman" w:hAnsi="Times New Roman"/>
                <w:kern w:val="0"/>
                <w:szCs w:val="21"/>
              </w:rPr>
              <w:t>-</w:t>
            </w:r>
          </w:p>
        </w:tc>
        <w:tc>
          <w:tcPr>
            <w:tcW w:w="1312" w:type="dxa"/>
            <w:tcBorders>
              <w:tl2br w:val="nil"/>
              <w:tr2bl w:val="nil"/>
            </w:tcBorders>
          </w:tcPr>
          <w:p>
            <w:pPr>
              <w:widowControl/>
              <w:jc w:val="right"/>
              <w:rPr>
                <w:rFonts w:ascii="Times New Roman" w:hAnsi="Times New Roman"/>
                <w:kern w:val="0"/>
                <w:szCs w:val="21"/>
              </w:rPr>
            </w:pPr>
            <w:r>
              <w:rPr>
                <w:rFonts w:ascii="Times New Roman" w:hAnsi="Times New Roman" w:eastAsia="Times New Roman"/>
                <w:spacing w:val="-4"/>
                <w:kern w:val="0"/>
                <w:sz w:val="22"/>
                <w:lang w:eastAsia="en-US"/>
              </w:rPr>
              <w:t>-</w:t>
            </w:r>
            <w:r>
              <w:rPr>
                <w:rFonts w:ascii="Times New Roman" w:hAnsi="Times New Roman" w:eastAsia="Times New Roman"/>
                <w:kern w:val="0"/>
                <w:sz w:val="22"/>
                <w:lang w:eastAsia="en-US"/>
              </w:rPr>
              <w:t>5,079.5000</w:t>
            </w:r>
          </w:p>
        </w:tc>
        <w:tc>
          <w:tcPr>
            <w:tcW w:w="1122" w:type="dxa"/>
            <w:tcBorders>
              <w:tl2br w:val="nil"/>
              <w:tr2bl w:val="nil"/>
            </w:tcBorders>
          </w:tcPr>
          <w:p>
            <w:pPr>
              <w:widowControl/>
              <w:jc w:val="right"/>
              <w:rPr>
                <w:rFonts w:ascii="Times New Roman" w:hAnsi="Times New Roman"/>
                <w:kern w:val="0"/>
                <w:szCs w:val="21"/>
              </w:rPr>
            </w:pPr>
            <w:r>
              <w:rPr>
                <w:rFonts w:ascii="Times New Roman" w:hAnsi="Times New Roman" w:eastAsia="Times New Roman"/>
                <w:kern w:val="0"/>
                <w:sz w:val="22"/>
                <w:lang w:eastAsia="en-US"/>
              </w:rPr>
              <w:t>24,750.00</w:t>
            </w:r>
            <w:r>
              <w:rPr>
                <w:rFonts w:ascii="Times New Roman" w:hAnsi="Times New Roman" w:eastAsia="Times New Roman"/>
                <w:spacing w:val="-3"/>
                <w:kern w:val="0"/>
                <w:sz w:val="22"/>
                <w:lang w:eastAsia="en-US"/>
              </w:rPr>
              <w:t>0</w:t>
            </w:r>
            <w:r>
              <w:rPr>
                <w:rFonts w:ascii="Times New Roman" w:hAnsi="Times New Roman" w:eastAsia="Times New Roman"/>
                <w:kern w:val="0"/>
                <w:sz w:val="22"/>
                <w:lang w:eastAsia="en-US"/>
              </w:rPr>
              <w:t>0</w:t>
            </w:r>
          </w:p>
        </w:tc>
        <w:tc>
          <w:tcPr>
            <w:tcW w:w="854" w:type="dxa"/>
            <w:tcBorders>
              <w:tl2br w:val="nil"/>
              <w:tr2bl w:val="nil"/>
            </w:tcBorders>
          </w:tcPr>
          <w:p>
            <w:pPr>
              <w:widowControl/>
              <w:jc w:val="right"/>
              <w:rPr>
                <w:rFonts w:ascii="Times New Roman" w:hAnsi="Times New Roman"/>
                <w:kern w:val="0"/>
                <w:szCs w:val="21"/>
              </w:rPr>
            </w:pPr>
            <w:r>
              <w:rPr>
                <w:rFonts w:ascii="Times New Roman" w:hAnsi="Times New Roman" w:eastAsia="Times New Roman"/>
                <w:kern w:val="0"/>
                <w:sz w:val="22"/>
                <w:lang w:eastAsia="en-US"/>
              </w:rPr>
              <w:t>42.00%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306" w:hRule="atLeast"/>
        </w:trPr>
        <w:tc>
          <w:tcPr>
            <w:tcW w:w="471" w:type="dxa"/>
            <w:tcBorders>
              <w:tl2br w:val="nil"/>
              <w:tr2bl w:val="nil"/>
            </w:tcBorders>
            <w:shd w:val="clear" w:color="auto" w:fill="auto"/>
            <w:vAlign w:val="center"/>
          </w:tcPr>
          <w:p>
            <w:pPr>
              <w:widowControl/>
              <w:jc w:val="center"/>
              <w:rPr>
                <w:rFonts w:ascii="Times New Roman" w:hAnsi="Times New Roman"/>
                <w:kern w:val="0"/>
                <w:szCs w:val="21"/>
              </w:rPr>
            </w:pPr>
            <w:r>
              <w:rPr>
                <w:rFonts w:ascii="Times New Roman" w:hAnsi="Times New Roman"/>
                <w:kern w:val="0"/>
                <w:szCs w:val="21"/>
              </w:rPr>
              <w:t>2</w:t>
            </w:r>
          </w:p>
        </w:tc>
        <w:tc>
          <w:tcPr>
            <w:tcW w:w="1646" w:type="dxa"/>
            <w:tcBorders>
              <w:tl2br w:val="nil"/>
              <w:tr2bl w:val="nil"/>
            </w:tcBorders>
            <w:shd w:val="clear" w:color="auto" w:fill="auto"/>
            <w:vAlign w:val="center"/>
          </w:tcPr>
          <w:p>
            <w:pPr>
              <w:widowControl/>
              <w:rPr>
                <w:rFonts w:ascii="宋体" w:hAnsi="宋体" w:cs="宋体"/>
                <w:kern w:val="0"/>
                <w:sz w:val="22"/>
                <w:lang w:eastAsia="en-US"/>
              </w:rPr>
            </w:pPr>
            <w:r>
              <w:rPr>
                <w:rFonts w:ascii="宋体" w:hAnsi="宋体" w:cs="宋体"/>
                <w:kern w:val="0"/>
                <w:sz w:val="22"/>
                <w:lang w:eastAsia="en-US"/>
              </w:rPr>
              <w:t>海正杭州公司</w:t>
            </w:r>
          </w:p>
        </w:tc>
        <w:tc>
          <w:tcPr>
            <w:tcW w:w="1275" w:type="dxa"/>
            <w:tcBorders>
              <w:tl2br w:val="nil"/>
              <w:tr2bl w:val="nil"/>
            </w:tcBorders>
          </w:tcPr>
          <w:p>
            <w:pPr>
              <w:widowControl/>
              <w:jc w:val="right"/>
              <w:rPr>
                <w:rFonts w:ascii="Times New Roman" w:hAnsi="Times New Roman"/>
                <w:kern w:val="0"/>
                <w:szCs w:val="21"/>
              </w:rPr>
            </w:pPr>
            <w:r>
              <w:rPr>
                <w:rFonts w:ascii="Times New Roman" w:hAnsi="Times New Roman" w:eastAsia="Times New Roman"/>
                <w:kern w:val="0"/>
                <w:sz w:val="22"/>
                <w:lang w:eastAsia="en-US"/>
              </w:rPr>
              <w:t>20,170.50</w:t>
            </w:r>
            <w:r>
              <w:rPr>
                <w:rFonts w:ascii="Times New Roman" w:hAnsi="Times New Roman" w:eastAsia="Times New Roman"/>
                <w:spacing w:val="-3"/>
                <w:kern w:val="0"/>
                <w:sz w:val="22"/>
                <w:lang w:eastAsia="en-US"/>
              </w:rPr>
              <w:t>00</w:t>
            </w:r>
          </w:p>
        </w:tc>
        <w:tc>
          <w:tcPr>
            <w:tcW w:w="877" w:type="dxa"/>
            <w:tcBorders>
              <w:tl2br w:val="nil"/>
              <w:tr2bl w:val="nil"/>
            </w:tcBorders>
          </w:tcPr>
          <w:p>
            <w:pPr>
              <w:widowControl/>
              <w:jc w:val="right"/>
              <w:rPr>
                <w:rFonts w:ascii="Times New Roman" w:hAnsi="Times New Roman"/>
                <w:kern w:val="0"/>
                <w:szCs w:val="21"/>
              </w:rPr>
            </w:pPr>
            <w:r>
              <w:rPr>
                <w:rFonts w:ascii="Times New Roman" w:hAnsi="Times New Roman" w:eastAsia="Times New Roman"/>
                <w:kern w:val="0"/>
                <w:sz w:val="22"/>
                <w:lang w:eastAsia="en-US"/>
              </w:rPr>
              <w:t>40.34%</w:t>
            </w:r>
          </w:p>
        </w:tc>
        <w:tc>
          <w:tcPr>
            <w:tcW w:w="1166" w:type="dxa"/>
            <w:tcBorders>
              <w:tl2br w:val="nil"/>
              <w:tr2bl w:val="nil"/>
            </w:tcBorders>
            <w:shd w:val="clear" w:color="auto" w:fill="auto"/>
            <w:vAlign w:val="center"/>
          </w:tcPr>
          <w:p>
            <w:pPr>
              <w:widowControl/>
              <w:jc w:val="right"/>
              <w:rPr>
                <w:rFonts w:ascii="Times New Roman" w:hAnsi="Times New Roman"/>
                <w:kern w:val="0"/>
                <w:szCs w:val="21"/>
              </w:rPr>
            </w:pPr>
            <w:r>
              <w:rPr>
                <w:rFonts w:ascii="Times New Roman" w:hAnsi="Times New Roman"/>
                <w:kern w:val="0"/>
                <w:szCs w:val="21"/>
              </w:rPr>
              <w:t>-</w:t>
            </w:r>
          </w:p>
        </w:tc>
        <w:tc>
          <w:tcPr>
            <w:tcW w:w="1312" w:type="dxa"/>
            <w:tcBorders>
              <w:tl2br w:val="nil"/>
              <w:tr2bl w:val="nil"/>
            </w:tcBorders>
          </w:tcPr>
          <w:p>
            <w:pPr>
              <w:widowControl/>
              <w:jc w:val="right"/>
              <w:rPr>
                <w:rFonts w:ascii="Times New Roman" w:hAnsi="Times New Roman"/>
                <w:kern w:val="0"/>
                <w:szCs w:val="21"/>
              </w:rPr>
            </w:pPr>
            <w:r>
              <w:rPr>
                <w:rFonts w:ascii="Times New Roman" w:hAnsi="Times New Roman" w:eastAsia="Times New Roman"/>
                <w:spacing w:val="-4"/>
                <w:kern w:val="0"/>
                <w:sz w:val="22"/>
                <w:lang w:eastAsia="en-US"/>
              </w:rPr>
              <w:t>-</w:t>
            </w:r>
            <w:r>
              <w:rPr>
                <w:rFonts w:ascii="Times New Roman" w:hAnsi="Times New Roman" w:eastAsia="Times New Roman"/>
                <w:kern w:val="0"/>
                <w:sz w:val="22"/>
                <w:lang w:eastAsia="en-US"/>
              </w:rPr>
              <w:t>20,170.5000</w:t>
            </w:r>
          </w:p>
        </w:tc>
        <w:tc>
          <w:tcPr>
            <w:tcW w:w="1122" w:type="dxa"/>
            <w:tcBorders>
              <w:tl2br w:val="nil"/>
              <w:tr2bl w:val="nil"/>
            </w:tcBorders>
          </w:tcPr>
          <w:p>
            <w:pPr>
              <w:widowControl/>
              <w:jc w:val="right"/>
              <w:rPr>
                <w:rFonts w:ascii="Times New Roman" w:hAnsi="Times New Roman"/>
                <w:kern w:val="0"/>
                <w:szCs w:val="21"/>
              </w:rPr>
            </w:pPr>
            <w:r>
              <w:rPr>
                <w:rFonts w:ascii="Times New Roman" w:hAnsi="Times New Roman" w:eastAsia="Times New Roman"/>
                <w:kern w:val="0"/>
                <w:sz w:val="22"/>
                <w:lang w:eastAsia="en-US"/>
              </w:rPr>
              <w:t>-</w:t>
            </w:r>
          </w:p>
        </w:tc>
        <w:tc>
          <w:tcPr>
            <w:tcW w:w="854" w:type="dxa"/>
            <w:tcBorders>
              <w:tl2br w:val="nil"/>
              <w:tr2bl w:val="nil"/>
            </w:tcBorders>
          </w:tcPr>
          <w:p>
            <w:pPr>
              <w:widowControl/>
              <w:jc w:val="right"/>
              <w:rPr>
                <w:rFonts w:ascii="Times New Roman" w:hAnsi="Times New Roman"/>
                <w:kern w:val="0"/>
                <w:szCs w:val="21"/>
              </w:rPr>
            </w:pPr>
            <w:r>
              <w:rPr>
                <w:rFonts w:ascii="Times New Roman" w:hAnsi="Times New Roman" w:eastAsia="Times New Roman"/>
                <w:kern w:val="0"/>
                <w:sz w:val="22"/>
                <w:lang w:eastAsia="en-US"/>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306" w:hRule="atLeast"/>
        </w:trPr>
        <w:tc>
          <w:tcPr>
            <w:tcW w:w="471" w:type="dxa"/>
            <w:tcBorders>
              <w:tl2br w:val="nil"/>
              <w:tr2bl w:val="nil"/>
            </w:tcBorders>
            <w:shd w:val="clear" w:color="auto" w:fill="auto"/>
            <w:vAlign w:val="center"/>
          </w:tcPr>
          <w:p>
            <w:pPr>
              <w:widowControl/>
              <w:jc w:val="center"/>
              <w:rPr>
                <w:rFonts w:ascii="Times New Roman" w:hAnsi="Times New Roman"/>
                <w:kern w:val="0"/>
                <w:szCs w:val="21"/>
              </w:rPr>
            </w:pPr>
            <w:r>
              <w:rPr>
                <w:rFonts w:ascii="Times New Roman" w:hAnsi="Times New Roman"/>
                <w:kern w:val="0"/>
                <w:szCs w:val="21"/>
              </w:rPr>
              <w:t>3</w:t>
            </w:r>
          </w:p>
        </w:tc>
        <w:tc>
          <w:tcPr>
            <w:tcW w:w="1646" w:type="dxa"/>
            <w:tcBorders>
              <w:tl2br w:val="nil"/>
              <w:tr2bl w:val="nil"/>
            </w:tcBorders>
            <w:shd w:val="clear" w:color="auto" w:fill="auto"/>
            <w:vAlign w:val="center"/>
          </w:tcPr>
          <w:p>
            <w:pPr>
              <w:widowControl/>
              <w:rPr>
                <w:rFonts w:ascii="宋体" w:hAnsi="宋体" w:cs="宋体"/>
                <w:kern w:val="0"/>
                <w:sz w:val="22"/>
                <w:lang w:eastAsia="en-US"/>
              </w:rPr>
            </w:pPr>
            <w:r>
              <w:rPr>
                <w:rFonts w:hint="eastAsia" w:ascii="宋体" w:hAnsi="宋体" w:cs="宋体"/>
                <w:kern w:val="0"/>
                <w:sz w:val="22"/>
                <w:lang w:eastAsia="en-US"/>
              </w:rPr>
              <w:t>投资方</w:t>
            </w:r>
          </w:p>
        </w:tc>
        <w:tc>
          <w:tcPr>
            <w:tcW w:w="1275" w:type="dxa"/>
            <w:tcBorders>
              <w:tl2br w:val="nil"/>
              <w:tr2bl w:val="nil"/>
            </w:tcBorders>
            <w:shd w:val="clear" w:color="auto" w:fill="auto"/>
            <w:vAlign w:val="center"/>
          </w:tcPr>
          <w:p>
            <w:pPr>
              <w:widowControl/>
              <w:jc w:val="right"/>
              <w:rPr>
                <w:rFonts w:ascii="Times New Roman" w:hAnsi="Times New Roman"/>
                <w:kern w:val="0"/>
                <w:szCs w:val="21"/>
              </w:rPr>
            </w:pPr>
          </w:p>
        </w:tc>
        <w:tc>
          <w:tcPr>
            <w:tcW w:w="877" w:type="dxa"/>
            <w:tcBorders>
              <w:tl2br w:val="nil"/>
              <w:tr2bl w:val="nil"/>
            </w:tcBorders>
            <w:shd w:val="clear" w:color="auto" w:fill="auto"/>
            <w:vAlign w:val="center"/>
          </w:tcPr>
          <w:p>
            <w:pPr>
              <w:widowControl/>
              <w:jc w:val="right"/>
              <w:rPr>
                <w:rFonts w:ascii="Times New Roman" w:hAnsi="Times New Roman"/>
                <w:kern w:val="0"/>
                <w:szCs w:val="21"/>
              </w:rPr>
            </w:pPr>
          </w:p>
        </w:tc>
        <w:tc>
          <w:tcPr>
            <w:tcW w:w="1166" w:type="dxa"/>
            <w:tcBorders>
              <w:tl2br w:val="nil"/>
              <w:tr2bl w:val="nil"/>
            </w:tcBorders>
            <w:shd w:val="clear" w:color="auto" w:fill="auto"/>
            <w:vAlign w:val="center"/>
          </w:tcPr>
          <w:p>
            <w:pPr>
              <w:widowControl/>
              <w:jc w:val="right"/>
              <w:rPr>
                <w:rFonts w:ascii="Times New Roman" w:hAnsi="Times New Roman"/>
                <w:kern w:val="0"/>
                <w:szCs w:val="21"/>
              </w:rPr>
            </w:pPr>
            <w:r>
              <w:rPr>
                <w:rFonts w:ascii="Times New Roman" w:hAnsi="Times New Roman" w:eastAsia="Times New Roman"/>
                <w:kern w:val="0"/>
                <w:sz w:val="22"/>
                <w:lang w:eastAsia="en-US"/>
              </w:rPr>
              <w:t>8,928.5714</w:t>
            </w:r>
          </w:p>
        </w:tc>
        <w:tc>
          <w:tcPr>
            <w:tcW w:w="1312" w:type="dxa"/>
            <w:tcBorders>
              <w:tl2br w:val="nil"/>
              <w:tr2bl w:val="nil"/>
            </w:tcBorders>
            <w:shd w:val="clear" w:color="auto" w:fill="auto"/>
            <w:vAlign w:val="center"/>
          </w:tcPr>
          <w:p>
            <w:pPr>
              <w:widowControl/>
              <w:jc w:val="right"/>
              <w:rPr>
                <w:rFonts w:ascii="Times New Roman" w:hAnsi="Times New Roman"/>
                <w:kern w:val="0"/>
                <w:szCs w:val="21"/>
              </w:rPr>
            </w:pPr>
            <w:r>
              <w:rPr>
                <w:rFonts w:ascii="Times New Roman" w:hAnsi="Times New Roman" w:eastAsia="Times New Roman"/>
                <w:kern w:val="0"/>
                <w:sz w:val="22"/>
                <w:lang w:eastAsia="en-US"/>
              </w:rPr>
              <w:t>25,250.00</w:t>
            </w:r>
            <w:r>
              <w:rPr>
                <w:rFonts w:ascii="Times New Roman" w:hAnsi="Times New Roman" w:eastAsia="Times New Roman"/>
                <w:spacing w:val="-3"/>
                <w:kern w:val="0"/>
                <w:sz w:val="22"/>
                <w:lang w:eastAsia="en-US"/>
              </w:rPr>
              <w:t>0</w:t>
            </w:r>
            <w:r>
              <w:rPr>
                <w:rFonts w:ascii="Times New Roman" w:hAnsi="Times New Roman" w:eastAsia="Times New Roman"/>
                <w:kern w:val="0"/>
                <w:sz w:val="22"/>
                <w:lang w:eastAsia="en-US"/>
              </w:rPr>
              <w:t>0</w:t>
            </w:r>
          </w:p>
        </w:tc>
        <w:tc>
          <w:tcPr>
            <w:tcW w:w="1122" w:type="dxa"/>
            <w:tcBorders>
              <w:tl2br w:val="nil"/>
              <w:tr2bl w:val="nil"/>
            </w:tcBorders>
          </w:tcPr>
          <w:p>
            <w:pPr>
              <w:widowControl/>
              <w:jc w:val="right"/>
              <w:rPr>
                <w:rFonts w:ascii="Times New Roman" w:hAnsi="Times New Roman"/>
                <w:kern w:val="0"/>
                <w:szCs w:val="21"/>
              </w:rPr>
            </w:pPr>
            <w:r>
              <w:rPr>
                <w:rFonts w:ascii="Times New Roman" w:hAnsi="Times New Roman" w:eastAsia="Times New Roman"/>
                <w:kern w:val="0"/>
                <w:sz w:val="22"/>
                <w:lang w:eastAsia="en-US"/>
              </w:rPr>
              <w:t>34,178.57</w:t>
            </w:r>
            <w:r>
              <w:rPr>
                <w:rFonts w:ascii="Times New Roman" w:hAnsi="Times New Roman" w:eastAsia="Times New Roman"/>
                <w:spacing w:val="-3"/>
                <w:kern w:val="0"/>
                <w:sz w:val="22"/>
                <w:lang w:eastAsia="en-US"/>
              </w:rPr>
              <w:t>1</w:t>
            </w:r>
            <w:r>
              <w:rPr>
                <w:rFonts w:ascii="Times New Roman" w:hAnsi="Times New Roman" w:eastAsia="Times New Roman"/>
                <w:kern w:val="0"/>
                <w:sz w:val="22"/>
                <w:lang w:eastAsia="en-US"/>
              </w:rPr>
              <w:t>4</w:t>
            </w:r>
          </w:p>
        </w:tc>
        <w:tc>
          <w:tcPr>
            <w:tcW w:w="854" w:type="dxa"/>
            <w:tcBorders>
              <w:tl2br w:val="nil"/>
              <w:tr2bl w:val="nil"/>
            </w:tcBorders>
          </w:tcPr>
          <w:p>
            <w:pPr>
              <w:widowControl/>
              <w:jc w:val="right"/>
              <w:rPr>
                <w:rFonts w:ascii="Times New Roman" w:hAnsi="Times New Roman"/>
                <w:kern w:val="0"/>
                <w:szCs w:val="21"/>
              </w:rPr>
            </w:pPr>
            <w:r>
              <w:rPr>
                <w:rFonts w:ascii="Times New Roman" w:hAnsi="Times New Roman" w:eastAsia="Times New Roman"/>
                <w:kern w:val="0"/>
                <w:sz w:val="22"/>
                <w:lang w:eastAsia="en-US"/>
              </w:rPr>
              <w:t>58.00%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317" w:hRule="atLeast"/>
        </w:trPr>
        <w:tc>
          <w:tcPr>
            <w:tcW w:w="471" w:type="dxa"/>
            <w:tcBorders>
              <w:tl2br w:val="nil"/>
              <w:tr2bl w:val="nil"/>
            </w:tcBorders>
            <w:shd w:val="clear" w:color="auto" w:fill="auto"/>
            <w:vAlign w:val="center"/>
          </w:tcPr>
          <w:p>
            <w:pPr>
              <w:widowControl/>
              <w:jc w:val="center"/>
              <w:rPr>
                <w:rFonts w:ascii="Times New Roman" w:hAnsi="Times New Roman"/>
                <w:b/>
                <w:bCs/>
                <w:kern w:val="0"/>
                <w:szCs w:val="21"/>
              </w:rPr>
            </w:pPr>
            <w:r>
              <w:rPr>
                <w:rFonts w:ascii="Times New Roman" w:hAnsi="Times New Roman"/>
                <w:b/>
                <w:bCs/>
                <w:kern w:val="0"/>
                <w:szCs w:val="21"/>
              </w:rPr>
              <w:t>　</w:t>
            </w:r>
          </w:p>
        </w:tc>
        <w:tc>
          <w:tcPr>
            <w:tcW w:w="1646" w:type="dxa"/>
            <w:tcBorders>
              <w:tl2br w:val="nil"/>
              <w:tr2bl w:val="nil"/>
            </w:tcBorders>
            <w:shd w:val="clear" w:color="auto" w:fill="auto"/>
            <w:vAlign w:val="center"/>
          </w:tcPr>
          <w:p>
            <w:pPr>
              <w:widowControl/>
              <w:rPr>
                <w:rFonts w:ascii="Times New Roman" w:hAnsi="Times New Roman"/>
                <w:b/>
                <w:bCs/>
                <w:kern w:val="0"/>
                <w:szCs w:val="21"/>
              </w:rPr>
            </w:pPr>
            <w:r>
              <w:rPr>
                <w:rFonts w:hint="eastAsia" w:ascii="宋体" w:hAnsi="宋体"/>
                <w:b/>
                <w:bCs/>
                <w:kern w:val="0"/>
                <w:szCs w:val="21"/>
              </w:rPr>
              <w:t>合计</w:t>
            </w:r>
          </w:p>
        </w:tc>
        <w:tc>
          <w:tcPr>
            <w:tcW w:w="1275" w:type="dxa"/>
            <w:tcBorders>
              <w:tl2br w:val="nil"/>
              <w:tr2bl w:val="nil"/>
            </w:tcBorders>
            <w:shd w:val="clear" w:color="auto" w:fill="auto"/>
            <w:vAlign w:val="center"/>
          </w:tcPr>
          <w:p>
            <w:pPr>
              <w:widowControl/>
              <w:jc w:val="right"/>
              <w:rPr>
                <w:rFonts w:ascii="Times New Roman" w:hAnsi="Times New Roman"/>
                <w:b/>
                <w:bCs/>
                <w:kern w:val="0"/>
                <w:szCs w:val="21"/>
              </w:rPr>
            </w:pPr>
            <w:r>
              <w:rPr>
                <w:rFonts w:ascii="Times New Roman" w:hAnsi="Times New Roman"/>
                <w:b/>
                <w:bCs/>
                <w:kern w:val="0"/>
                <w:szCs w:val="21"/>
              </w:rPr>
              <w:t>50,000.0000</w:t>
            </w:r>
          </w:p>
        </w:tc>
        <w:tc>
          <w:tcPr>
            <w:tcW w:w="877" w:type="dxa"/>
            <w:tcBorders>
              <w:tl2br w:val="nil"/>
              <w:tr2bl w:val="nil"/>
            </w:tcBorders>
            <w:shd w:val="clear" w:color="auto" w:fill="auto"/>
            <w:vAlign w:val="center"/>
          </w:tcPr>
          <w:p>
            <w:pPr>
              <w:widowControl/>
              <w:jc w:val="right"/>
              <w:rPr>
                <w:rFonts w:ascii="Times New Roman" w:hAnsi="Times New Roman"/>
                <w:b/>
                <w:bCs/>
                <w:kern w:val="0"/>
                <w:szCs w:val="21"/>
              </w:rPr>
            </w:pPr>
            <w:r>
              <w:rPr>
                <w:rFonts w:ascii="Times New Roman" w:hAnsi="Times New Roman"/>
                <w:b/>
                <w:bCs/>
                <w:kern w:val="0"/>
                <w:szCs w:val="21"/>
              </w:rPr>
              <w:t>100%</w:t>
            </w:r>
          </w:p>
        </w:tc>
        <w:tc>
          <w:tcPr>
            <w:tcW w:w="1166" w:type="dxa"/>
            <w:tcBorders>
              <w:tl2br w:val="nil"/>
              <w:tr2bl w:val="nil"/>
            </w:tcBorders>
            <w:shd w:val="clear" w:color="auto" w:fill="auto"/>
            <w:vAlign w:val="center"/>
          </w:tcPr>
          <w:p>
            <w:pPr>
              <w:widowControl/>
              <w:jc w:val="right"/>
              <w:rPr>
                <w:rFonts w:ascii="Times New Roman" w:hAnsi="Times New Roman"/>
                <w:b/>
                <w:bCs/>
                <w:kern w:val="0"/>
                <w:szCs w:val="21"/>
              </w:rPr>
            </w:pPr>
            <w:r>
              <w:rPr>
                <w:rFonts w:ascii="Times New Roman" w:hAnsi="Times New Roman" w:eastAsia="Times New Roman"/>
                <w:b/>
                <w:kern w:val="0"/>
                <w:sz w:val="22"/>
                <w:lang w:eastAsia="en-US"/>
              </w:rPr>
              <w:t>8,928.5714</w:t>
            </w:r>
          </w:p>
        </w:tc>
        <w:tc>
          <w:tcPr>
            <w:tcW w:w="1312" w:type="dxa"/>
            <w:tcBorders>
              <w:tl2br w:val="nil"/>
              <w:tr2bl w:val="nil"/>
            </w:tcBorders>
            <w:shd w:val="clear" w:color="auto" w:fill="auto"/>
            <w:vAlign w:val="center"/>
          </w:tcPr>
          <w:p>
            <w:pPr>
              <w:widowControl/>
              <w:jc w:val="right"/>
              <w:rPr>
                <w:rFonts w:ascii="Times New Roman" w:hAnsi="Times New Roman"/>
                <w:b/>
                <w:bCs/>
                <w:kern w:val="0"/>
                <w:szCs w:val="21"/>
              </w:rPr>
            </w:pPr>
            <w:r>
              <w:rPr>
                <w:rFonts w:ascii="Times New Roman" w:hAnsi="Times New Roman"/>
                <w:b/>
                <w:bCs/>
                <w:kern w:val="0"/>
                <w:szCs w:val="21"/>
              </w:rPr>
              <w:t>-</w:t>
            </w:r>
          </w:p>
        </w:tc>
        <w:tc>
          <w:tcPr>
            <w:tcW w:w="1122" w:type="dxa"/>
            <w:tcBorders>
              <w:tl2br w:val="nil"/>
              <w:tr2bl w:val="nil"/>
            </w:tcBorders>
          </w:tcPr>
          <w:p>
            <w:pPr>
              <w:widowControl/>
              <w:jc w:val="right"/>
              <w:rPr>
                <w:rFonts w:ascii="Times New Roman" w:hAnsi="Times New Roman"/>
                <w:b/>
                <w:bCs/>
                <w:kern w:val="0"/>
                <w:szCs w:val="21"/>
              </w:rPr>
            </w:pPr>
            <w:r>
              <w:rPr>
                <w:rFonts w:ascii="Times New Roman" w:hAnsi="Times New Roman" w:eastAsia="Times New Roman"/>
                <w:b/>
                <w:bCs/>
                <w:kern w:val="0"/>
                <w:sz w:val="22"/>
                <w:lang w:eastAsia="en-US"/>
              </w:rPr>
              <w:t>58,928.57</w:t>
            </w:r>
            <w:r>
              <w:rPr>
                <w:rFonts w:ascii="Times New Roman" w:hAnsi="Times New Roman" w:eastAsia="Times New Roman"/>
                <w:b/>
                <w:bCs/>
                <w:spacing w:val="-3"/>
                <w:kern w:val="0"/>
                <w:sz w:val="22"/>
                <w:lang w:eastAsia="en-US"/>
              </w:rPr>
              <w:t>1</w:t>
            </w:r>
            <w:r>
              <w:rPr>
                <w:rFonts w:ascii="Times New Roman" w:hAnsi="Times New Roman" w:eastAsia="Times New Roman"/>
                <w:b/>
                <w:bCs/>
                <w:kern w:val="0"/>
                <w:sz w:val="22"/>
                <w:lang w:eastAsia="en-US"/>
              </w:rPr>
              <w:t>4</w:t>
            </w:r>
          </w:p>
        </w:tc>
        <w:tc>
          <w:tcPr>
            <w:tcW w:w="854" w:type="dxa"/>
            <w:tcBorders>
              <w:tl2br w:val="nil"/>
              <w:tr2bl w:val="nil"/>
            </w:tcBorders>
            <w:shd w:val="clear" w:color="auto" w:fill="auto"/>
            <w:vAlign w:val="center"/>
          </w:tcPr>
          <w:p>
            <w:pPr>
              <w:widowControl/>
              <w:jc w:val="right"/>
              <w:rPr>
                <w:rFonts w:ascii="Times New Roman" w:hAnsi="Times New Roman"/>
                <w:b/>
                <w:bCs/>
                <w:kern w:val="0"/>
                <w:szCs w:val="21"/>
              </w:rPr>
            </w:pPr>
            <w:r>
              <w:rPr>
                <w:rFonts w:ascii="Times New Roman" w:hAnsi="Times New Roman"/>
                <w:b/>
                <w:bCs/>
                <w:kern w:val="0"/>
                <w:szCs w:val="21"/>
              </w:rPr>
              <w:t>100%</w:t>
            </w:r>
          </w:p>
        </w:tc>
      </w:tr>
    </w:tbl>
    <w:p>
      <w:pPr>
        <w:spacing w:line="500" w:lineRule="atLeast"/>
        <w:ind w:firstLine="480" w:firstLineChars="200"/>
        <w:rPr>
          <w:rFonts w:ascii="宋体" w:hAnsi="宋体"/>
          <w:bCs/>
          <w:sz w:val="24"/>
        </w:rPr>
      </w:pPr>
      <w:r>
        <w:rPr>
          <w:rFonts w:hint="eastAsia" w:ascii="宋体" w:hAnsi="宋体"/>
          <w:bCs/>
          <w:sz w:val="24"/>
        </w:rPr>
        <w:t>（三）增资程序及时间安排</w:t>
      </w:r>
    </w:p>
    <w:p>
      <w:pPr>
        <w:numPr>
          <w:ilvl w:val="1"/>
          <w:numId w:val="5"/>
        </w:numPr>
        <w:spacing w:line="500" w:lineRule="atLeast"/>
        <w:ind w:firstLine="480" w:firstLineChars="200"/>
        <w:rPr>
          <w:rFonts w:ascii="宋体"/>
          <w:sz w:val="24"/>
          <w:szCs w:val="24"/>
        </w:rPr>
      </w:pPr>
      <w:r>
        <w:rPr>
          <w:rFonts w:hint="eastAsia" w:ascii="宋体" w:hAnsi="宋体"/>
          <w:sz w:val="24"/>
          <w:szCs w:val="24"/>
        </w:rPr>
        <w:t>本次增资程序分为报名（递交保证金）、多次报价、确定投资方、签署增资协议、缴纳增资款。</w:t>
      </w:r>
    </w:p>
    <w:p>
      <w:pPr>
        <w:numPr>
          <w:ilvl w:val="1"/>
          <w:numId w:val="5"/>
        </w:numPr>
        <w:spacing w:line="500" w:lineRule="atLeast"/>
        <w:ind w:firstLine="480" w:firstLineChars="200"/>
        <w:rPr>
          <w:rFonts w:ascii="宋体"/>
          <w:sz w:val="24"/>
          <w:szCs w:val="24"/>
        </w:rPr>
      </w:pPr>
      <w:r>
        <w:rPr>
          <w:rFonts w:hint="eastAsia" w:ascii="宋体" w:hAnsi="宋体"/>
          <w:sz w:val="24"/>
          <w:szCs w:val="24"/>
        </w:rPr>
        <w:t>主要增资条件：</w:t>
      </w:r>
    </w:p>
    <w:p>
      <w:pPr>
        <w:spacing w:line="480" w:lineRule="atLeast"/>
        <w:ind w:right="105" w:rightChars="50" w:firstLine="480" w:firstLineChars="200"/>
        <w:jc w:val="left"/>
        <w:rPr>
          <w:rFonts w:ascii="宋体" w:hAnsi="宋体"/>
          <w:sz w:val="24"/>
        </w:rPr>
      </w:pPr>
      <w:r>
        <w:rPr>
          <w:rFonts w:hint="eastAsia" w:ascii="宋体" w:hAnsi="宋体"/>
          <w:sz w:val="24"/>
        </w:rPr>
        <w:t>（1）本次增资标的为浙江海正博锐生物制药有限公司新增8,928.5714万元注册资本，</w:t>
      </w:r>
      <w:r>
        <w:rPr>
          <w:rFonts w:hint="eastAsia" w:ascii="宋体" w:hAnsi="宋体"/>
          <w:sz w:val="24"/>
          <w:szCs w:val="24"/>
        </w:rPr>
        <w:t>每股</w:t>
      </w:r>
      <w:r>
        <w:rPr>
          <w:rFonts w:ascii="宋体" w:hAnsi="宋体"/>
          <w:sz w:val="24"/>
          <w:szCs w:val="24"/>
        </w:rPr>
        <w:t>价格</w:t>
      </w:r>
      <w:r>
        <w:rPr>
          <w:rFonts w:hint="eastAsia" w:ascii="宋体" w:hAnsi="宋体"/>
          <w:sz w:val="24"/>
          <w:szCs w:val="24"/>
        </w:rPr>
        <w:t>为不低</w:t>
      </w:r>
      <w:r>
        <w:rPr>
          <w:rFonts w:hint="eastAsia" w:ascii="宋体" w:hAnsi="宋体"/>
          <w:sz w:val="24"/>
        </w:rPr>
        <w:t>于</w:t>
      </w:r>
      <w:r>
        <w:rPr>
          <w:rFonts w:ascii="宋体" w:hAnsi="宋体"/>
          <w:sz w:val="24"/>
        </w:rPr>
        <w:t>11.2</w:t>
      </w:r>
      <w:r>
        <w:rPr>
          <w:rFonts w:hint="eastAsia" w:ascii="宋体" w:hAnsi="宋体"/>
          <w:sz w:val="24"/>
        </w:rPr>
        <w:t>元。</w:t>
      </w:r>
    </w:p>
    <w:p>
      <w:pPr>
        <w:spacing w:line="480" w:lineRule="atLeast"/>
        <w:ind w:right="105" w:rightChars="50" w:firstLine="480" w:firstLineChars="200"/>
        <w:jc w:val="left"/>
        <w:rPr>
          <w:rFonts w:ascii="宋体" w:hAnsi="宋体"/>
          <w:sz w:val="24"/>
        </w:rPr>
      </w:pPr>
      <w:r>
        <w:rPr>
          <w:rFonts w:hint="eastAsia" w:ascii="宋体" w:hAnsi="宋体"/>
          <w:sz w:val="24"/>
        </w:rPr>
        <w:t>（2）新投资方认购资金不低于</w:t>
      </w:r>
      <w:r>
        <w:rPr>
          <w:rFonts w:ascii="宋体" w:hAnsi="宋体"/>
          <w:sz w:val="24"/>
        </w:rPr>
        <w:t>10</w:t>
      </w:r>
      <w:r>
        <w:rPr>
          <w:rFonts w:hint="eastAsia" w:ascii="宋体" w:hAnsi="宋体"/>
          <w:sz w:val="24"/>
        </w:rPr>
        <w:t>亿元</w:t>
      </w:r>
      <w:r>
        <w:rPr>
          <w:rFonts w:hint="eastAsia" w:ascii="宋体" w:hAnsi="宋体"/>
          <w:sz w:val="24"/>
          <w:szCs w:val="24"/>
        </w:rPr>
        <w:t>人民币</w:t>
      </w:r>
      <w:r>
        <w:rPr>
          <w:rFonts w:hint="eastAsia" w:ascii="宋体" w:hAnsi="宋体"/>
          <w:sz w:val="24"/>
        </w:rPr>
        <w:t>。</w:t>
      </w:r>
    </w:p>
    <w:p>
      <w:pPr>
        <w:numPr>
          <w:ilvl w:val="1"/>
          <w:numId w:val="5"/>
        </w:numPr>
        <w:spacing w:line="500" w:lineRule="atLeast"/>
        <w:ind w:firstLine="480" w:firstLineChars="200"/>
        <w:rPr>
          <w:rFonts w:ascii="宋体" w:hAnsi="宋体"/>
          <w:sz w:val="24"/>
        </w:rPr>
      </w:pPr>
      <w:r>
        <w:rPr>
          <w:rFonts w:hint="eastAsia" w:ascii="宋体" w:hAnsi="宋体"/>
          <w:sz w:val="24"/>
        </w:rPr>
        <w:t>报名主体条件：</w:t>
      </w:r>
    </w:p>
    <w:p>
      <w:pPr>
        <w:numPr>
          <w:ilvl w:val="0"/>
          <w:numId w:val="6"/>
        </w:numPr>
        <w:spacing w:line="360" w:lineRule="auto"/>
        <w:ind w:firstLine="480" w:firstLineChars="200"/>
        <w:rPr>
          <w:rFonts w:ascii="宋体" w:hAnsi="宋体"/>
          <w:sz w:val="24"/>
        </w:rPr>
      </w:pPr>
      <w:r>
        <w:rPr>
          <w:rFonts w:hint="eastAsia" w:ascii="宋体" w:hAnsi="宋体"/>
          <w:sz w:val="24"/>
        </w:rPr>
        <w:t>具有良好的财务状况和支付能力及良好的商业信用的境内外产业投资人或财务投资人</w:t>
      </w:r>
      <w:r>
        <w:rPr>
          <w:rFonts w:hint="eastAsia" w:ascii="宋体" w:hAnsi="宋体"/>
          <w:bCs/>
          <w:sz w:val="24"/>
          <w:szCs w:val="24"/>
        </w:rPr>
        <w:t>，无不良经营记录。</w:t>
      </w:r>
    </w:p>
    <w:p>
      <w:pPr>
        <w:numPr>
          <w:ilvl w:val="0"/>
          <w:numId w:val="6"/>
        </w:numPr>
        <w:spacing w:line="360" w:lineRule="auto"/>
        <w:ind w:firstLine="480" w:firstLineChars="200"/>
        <w:rPr>
          <w:rFonts w:ascii="宋体" w:hAnsi="宋体"/>
          <w:sz w:val="24"/>
        </w:rPr>
      </w:pPr>
      <w:r>
        <w:rPr>
          <w:rFonts w:hint="eastAsia" w:ascii="宋体" w:hAnsi="宋体"/>
          <w:sz w:val="24"/>
        </w:rPr>
        <w:t>投资人或其直接或间接控股股东须提供由银行出具的公告期内</w:t>
      </w:r>
      <w:r>
        <w:rPr>
          <w:rFonts w:hint="eastAsia" w:ascii="宋体" w:hAnsi="宋体"/>
          <w:bCs/>
          <w:sz w:val="24"/>
          <w:szCs w:val="24"/>
        </w:rPr>
        <w:t>本次交易投资款（</w:t>
      </w:r>
      <w:r>
        <w:rPr>
          <w:rFonts w:hint="eastAsia" w:ascii="宋体" w:hAnsi="宋体"/>
          <w:sz w:val="24"/>
        </w:rPr>
        <w:t>不低于</w:t>
      </w:r>
      <w:r>
        <w:rPr>
          <w:rFonts w:hint="eastAsia" w:ascii="宋体" w:hAnsi="宋体"/>
          <w:bCs/>
          <w:sz w:val="24"/>
          <w:szCs w:val="24"/>
        </w:rPr>
        <w:t>38.28亿元或等额外币）</w:t>
      </w:r>
      <w:r>
        <w:rPr>
          <w:rFonts w:hint="eastAsia" w:ascii="宋体" w:hAnsi="宋体"/>
          <w:sz w:val="24"/>
        </w:rPr>
        <w:t>的资金证明</w:t>
      </w:r>
      <w:r>
        <w:rPr>
          <w:rFonts w:hint="eastAsia" w:ascii="宋体" w:hAnsi="宋体"/>
          <w:bCs/>
          <w:sz w:val="24"/>
          <w:szCs w:val="24"/>
        </w:rPr>
        <w:t>。</w:t>
      </w:r>
    </w:p>
    <w:p>
      <w:pPr>
        <w:numPr>
          <w:ilvl w:val="0"/>
          <w:numId w:val="6"/>
        </w:numPr>
        <w:spacing w:line="360" w:lineRule="auto"/>
        <w:ind w:firstLine="480" w:firstLineChars="200"/>
        <w:rPr>
          <w:rFonts w:ascii="宋体" w:hAnsi="宋体"/>
          <w:sz w:val="24"/>
        </w:rPr>
      </w:pPr>
      <w:r>
        <w:rPr>
          <w:rFonts w:hint="eastAsia" w:ascii="宋体" w:hAnsi="宋体"/>
          <w:sz w:val="24"/>
        </w:rPr>
        <w:t>如果投资人是产业投资人，则其或其控股股东应有不少于300亿</w:t>
      </w:r>
      <w:r>
        <w:rPr>
          <w:rFonts w:hint="eastAsia" w:ascii="宋体" w:hAnsi="宋体"/>
          <w:bCs/>
          <w:sz w:val="24"/>
          <w:szCs w:val="24"/>
        </w:rPr>
        <w:t>元</w:t>
      </w:r>
      <w:r>
        <w:rPr>
          <w:rFonts w:hint="eastAsia" w:ascii="宋体" w:hAnsi="宋体"/>
          <w:sz w:val="24"/>
        </w:rPr>
        <w:t>人民币或50亿美元的净资产</w:t>
      </w:r>
      <w:r>
        <w:rPr>
          <w:rFonts w:hint="eastAsia" w:ascii="宋体" w:hAnsi="宋体"/>
          <w:bCs/>
          <w:sz w:val="24"/>
          <w:szCs w:val="24"/>
        </w:rPr>
        <w:t>；</w:t>
      </w:r>
      <w:r>
        <w:rPr>
          <w:rFonts w:hint="eastAsia" w:ascii="宋体" w:hAnsi="宋体"/>
          <w:sz w:val="24"/>
        </w:rPr>
        <w:t>如果投资人是财务投资人，则控制其的单一基金实体的承诺资本应不少于300亿</w:t>
      </w:r>
      <w:r>
        <w:rPr>
          <w:rFonts w:hint="eastAsia" w:ascii="宋体" w:hAnsi="宋体"/>
          <w:bCs/>
          <w:sz w:val="24"/>
          <w:szCs w:val="24"/>
        </w:rPr>
        <w:t>元</w:t>
      </w:r>
      <w:r>
        <w:rPr>
          <w:rFonts w:hint="eastAsia" w:ascii="宋体" w:hAnsi="宋体"/>
          <w:sz w:val="24"/>
        </w:rPr>
        <w:t>人民币或50亿美元</w:t>
      </w:r>
      <w:r>
        <w:rPr>
          <w:rFonts w:hint="eastAsia" w:ascii="宋体" w:hAnsi="宋体"/>
          <w:bCs/>
          <w:sz w:val="24"/>
          <w:szCs w:val="24"/>
        </w:rPr>
        <w:t>。</w:t>
      </w:r>
    </w:p>
    <w:p>
      <w:pPr>
        <w:numPr>
          <w:ilvl w:val="0"/>
          <w:numId w:val="6"/>
        </w:numPr>
        <w:spacing w:line="360" w:lineRule="auto"/>
        <w:ind w:firstLine="480" w:firstLineChars="200"/>
        <w:rPr>
          <w:rFonts w:ascii="宋体" w:hAnsi="宋体"/>
          <w:sz w:val="24"/>
        </w:rPr>
      </w:pPr>
      <w:r>
        <w:rPr>
          <w:rFonts w:hint="eastAsia" w:ascii="宋体" w:hAnsi="宋体"/>
          <w:sz w:val="24"/>
        </w:rPr>
        <w:t>投资人或其</w:t>
      </w:r>
      <w:r>
        <w:rPr>
          <w:rFonts w:hint="eastAsia" w:ascii="宋体" w:hAnsi="宋体"/>
          <w:bCs/>
          <w:sz w:val="24"/>
          <w:szCs w:val="24"/>
        </w:rPr>
        <w:t>实际</w:t>
      </w:r>
      <w:r>
        <w:rPr>
          <w:rFonts w:hint="eastAsia" w:ascii="宋体" w:hAnsi="宋体"/>
          <w:sz w:val="24"/>
        </w:rPr>
        <w:t>控制人</w:t>
      </w:r>
      <w:r>
        <w:rPr>
          <w:rFonts w:hint="eastAsia" w:ascii="宋体" w:hAnsi="宋体"/>
          <w:bCs/>
          <w:sz w:val="24"/>
          <w:szCs w:val="24"/>
        </w:rPr>
        <w:t>或普通合伙人</w:t>
      </w:r>
      <w:r>
        <w:rPr>
          <w:rFonts w:hint="eastAsia" w:ascii="宋体" w:hAnsi="宋体"/>
          <w:sz w:val="24"/>
        </w:rPr>
        <w:t>须具备医药领域运营资源</w:t>
      </w:r>
      <w:r>
        <w:rPr>
          <w:rFonts w:hint="eastAsia" w:ascii="宋体" w:hAnsi="宋体"/>
          <w:sz w:val="24"/>
          <w:szCs w:val="24"/>
        </w:rPr>
        <w:t>及</w:t>
      </w:r>
      <w:r>
        <w:rPr>
          <w:rFonts w:hint="eastAsia" w:ascii="宋体" w:hAnsi="宋体"/>
          <w:sz w:val="24"/>
        </w:rPr>
        <w:t>投资管理经验，并</w:t>
      </w:r>
      <w:r>
        <w:rPr>
          <w:rFonts w:ascii="宋体" w:hAnsi="宋体"/>
          <w:sz w:val="24"/>
        </w:rPr>
        <w:t>拥有</w:t>
      </w:r>
      <w:r>
        <w:rPr>
          <w:rFonts w:hint="eastAsia" w:ascii="宋体" w:hAnsi="宋体"/>
          <w:sz w:val="24"/>
        </w:rPr>
        <w:t>不少于2名具有医学、药学、生物学专业人士或医药、医疗产业背景人员，</w:t>
      </w:r>
      <w:r>
        <w:rPr>
          <w:rFonts w:ascii="宋体" w:hAnsi="宋体"/>
          <w:sz w:val="24"/>
        </w:rPr>
        <w:t>并且该等人员曾</w:t>
      </w:r>
      <w:r>
        <w:rPr>
          <w:rFonts w:hint="eastAsia" w:ascii="宋体" w:hAnsi="宋体"/>
          <w:sz w:val="24"/>
        </w:rPr>
        <w:t>在</w:t>
      </w:r>
      <w:r>
        <w:rPr>
          <w:rFonts w:ascii="宋体" w:hAnsi="宋体"/>
          <w:sz w:val="24"/>
        </w:rPr>
        <w:t>医疗产业担任过</w:t>
      </w:r>
      <w:r>
        <w:rPr>
          <w:rFonts w:hint="eastAsia" w:ascii="宋体" w:hAnsi="宋体"/>
          <w:sz w:val="24"/>
        </w:rPr>
        <w:t>董事或高管</w:t>
      </w:r>
      <w:r>
        <w:rPr>
          <w:rFonts w:ascii="宋体" w:hAnsi="宋体"/>
          <w:sz w:val="24"/>
        </w:rPr>
        <w:t>职务</w:t>
      </w:r>
      <w:r>
        <w:rPr>
          <w:rFonts w:hint="eastAsia" w:ascii="宋体" w:hAnsi="宋体"/>
          <w:sz w:val="24"/>
        </w:rPr>
        <w:t>；</w:t>
      </w:r>
    </w:p>
    <w:p>
      <w:pPr>
        <w:numPr>
          <w:ilvl w:val="0"/>
          <w:numId w:val="6"/>
        </w:numPr>
        <w:spacing w:line="360" w:lineRule="auto"/>
        <w:ind w:firstLine="480" w:firstLineChars="200"/>
        <w:rPr>
          <w:rFonts w:ascii="宋体" w:hAnsi="宋体"/>
          <w:sz w:val="24"/>
        </w:rPr>
      </w:pPr>
      <w:r>
        <w:rPr>
          <w:rFonts w:hint="eastAsia" w:ascii="宋体" w:hAnsi="宋体"/>
          <w:bCs/>
          <w:sz w:val="24"/>
          <w:szCs w:val="24"/>
        </w:rPr>
        <w:t>鉴于海正博锐拟进行境内外上市的战略规划，</w:t>
      </w:r>
      <w:r>
        <w:rPr>
          <w:rFonts w:hint="eastAsia" w:ascii="宋体" w:hAnsi="宋体"/>
          <w:sz w:val="24"/>
        </w:rPr>
        <w:t>投资人不得是上市公司或上市公司关联方</w:t>
      </w:r>
      <w:r>
        <w:rPr>
          <w:rFonts w:hint="eastAsia" w:ascii="宋体" w:hAnsi="宋体"/>
          <w:bCs/>
          <w:sz w:val="24"/>
          <w:szCs w:val="24"/>
        </w:rPr>
        <w:t>。</w:t>
      </w:r>
    </w:p>
    <w:p>
      <w:pPr>
        <w:numPr>
          <w:ilvl w:val="0"/>
          <w:numId w:val="6"/>
        </w:numPr>
        <w:spacing w:line="360" w:lineRule="auto"/>
        <w:ind w:firstLine="480" w:firstLineChars="200"/>
        <w:rPr>
          <w:rFonts w:ascii="宋体" w:hAnsi="宋体"/>
          <w:sz w:val="24"/>
        </w:rPr>
      </w:pPr>
      <w:r>
        <w:rPr>
          <w:rFonts w:hint="eastAsia" w:ascii="宋体" w:hAnsi="宋体"/>
          <w:sz w:val="24"/>
        </w:rPr>
        <w:t>投资人或其关联方不得与</w:t>
      </w:r>
      <w:r>
        <w:rPr>
          <w:rFonts w:hint="eastAsia" w:ascii="宋体" w:hAnsi="宋体"/>
          <w:bCs/>
          <w:sz w:val="24"/>
          <w:szCs w:val="24"/>
        </w:rPr>
        <w:t>海正博锐</w:t>
      </w:r>
      <w:r>
        <w:rPr>
          <w:rFonts w:hint="eastAsia" w:ascii="宋体" w:hAnsi="宋体"/>
          <w:sz w:val="24"/>
        </w:rPr>
        <w:t>存在直接竞争关系。</w:t>
      </w:r>
    </w:p>
    <w:p>
      <w:pPr>
        <w:numPr>
          <w:ilvl w:val="0"/>
          <w:numId w:val="6"/>
        </w:numPr>
        <w:spacing w:line="360" w:lineRule="auto"/>
        <w:ind w:firstLine="480" w:firstLineChars="200"/>
        <w:rPr>
          <w:rFonts w:ascii="宋体" w:hAnsi="宋体"/>
          <w:sz w:val="24"/>
        </w:rPr>
      </w:pPr>
      <w:r>
        <w:rPr>
          <w:rFonts w:hint="eastAsia" w:ascii="宋体" w:hAnsi="宋体"/>
          <w:bCs/>
          <w:sz w:val="24"/>
          <w:szCs w:val="24"/>
        </w:rPr>
        <w:t>本次增资及转让老股项目不接受竞标联合投资体报名。</w:t>
      </w:r>
    </w:p>
    <w:p>
      <w:pPr>
        <w:widowControl/>
        <w:numPr>
          <w:ilvl w:val="255"/>
          <w:numId w:val="0"/>
        </w:numPr>
        <w:spacing w:line="480" w:lineRule="atLeast"/>
        <w:ind w:right="105" w:rightChars="50" w:firstLine="480" w:firstLineChars="200"/>
        <w:jc w:val="left"/>
        <w:rPr>
          <w:rFonts w:ascii="宋体" w:hAnsi="宋体"/>
          <w:sz w:val="24"/>
          <w:szCs w:val="24"/>
        </w:rPr>
      </w:pPr>
      <w:r>
        <w:rPr>
          <w:rFonts w:hint="eastAsia" w:ascii="宋体" w:hAnsi="宋体"/>
          <w:sz w:val="24"/>
          <w:szCs w:val="24"/>
        </w:rPr>
        <w:t>本条中的“关联方”特指，就一方而言，控制该方、受该方控制或者同该方共同受第三方控制的任何人士或实体。</w:t>
      </w:r>
    </w:p>
    <w:p>
      <w:pPr>
        <w:numPr>
          <w:ilvl w:val="1"/>
          <w:numId w:val="5"/>
        </w:numPr>
        <w:spacing w:line="500" w:lineRule="atLeast"/>
        <w:rPr>
          <w:rFonts w:ascii="宋体" w:hAnsi="宋体"/>
          <w:sz w:val="24"/>
          <w:szCs w:val="24"/>
        </w:rPr>
      </w:pPr>
      <w:r>
        <w:rPr>
          <w:rFonts w:hint="eastAsia" w:ascii="宋体" w:hAnsi="宋体"/>
          <w:sz w:val="24"/>
          <w:szCs w:val="24"/>
        </w:rPr>
        <w:t>递交保证金：报名时交纳认购资金总额30%竞买保证金(30,000万元人民币)，意向投资方应在报名截止时间前将保证金汇入组织人指定账户。</w:t>
      </w:r>
    </w:p>
    <w:p>
      <w:pPr>
        <w:spacing w:line="500" w:lineRule="atLeast"/>
        <w:ind w:firstLine="0" w:firstLineChars="0"/>
        <w:rPr>
          <w:rFonts w:ascii="宋体" w:hAnsi="宋体"/>
          <w:sz w:val="24"/>
          <w:szCs w:val="24"/>
        </w:rPr>
      </w:pPr>
      <w:bookmarkStart w:id="20" w:name="_GoBack"/>
      <w:bookmarkEnd w:id="20"/>
    </w:p>
    <w:p>
      <w:pPr>
        <w:numPr>
          <w:ilvl w:val="1"/>
          <w:numId w:val="5"/>
        </w:numPr>
        <w:spacing w:line="500" w:lineRule="atLeast"/>
        <w:ind w:firstLine="480" w:firstLineChars="200"/>
        <w:rPr>
          <w:rFonts w:ascii="宋体"/>
          <w:sz w:val="24"/>
          <w:szCs w:val="24"/>
        </w:rPr>
      </w:pPr>
      <w:r>
        <w:rPr>
          <w:rFonts w:hint="eastAsia" w:ascii="宋体" w:hAnsi="宋体"/>
          <w:sz w:val="24"/>
          <w:szCs w:val="24"/>
        </w:rPr>
        <w:t>确定投资方：依据本增资文件的规定，每股价格为不低于11.2元（人民币）的基础上，多次网络竞价，价高者得（具体详见网络竞价规则）。</w:t>
      </w:r>
    </w:p>
    <w:p>
      <w:pPr>
        <w:numPr>
          <w:ilvl w:val="1"/>
          <w:numId w:val="5"/>
        </w:numPr>
        <w:spacing w:line="500" w:lineRule="atLeast"/>
        <w:ind w:firstLine="480" w:firstLineChars="200"/>
        <w:rPr>
          <w:rFonts w:ascii="宋体"/>
          <w:sz w:val="24"/>
          <w:szCs w:val="24"/>
        </w:rPr>
      </w:pPr>
      <w:r>
        <w:rPr>
          <w:rFonts w:hint="eastAsia" w:ascii="宋体" w:hAnsi="宋体"/>
          <w:sz w:val="24"/>
          <w:szCs w:val="24"/>
        </w:rPr>
        <w:t>签署增资协议：申请方、投资方签署增资扩股协议。</w:t>
      </w:r>
    </w:p>
    <w:p>
      <w:pPr>
        <w:numPr>
          <w:ilvl w:val="1"/>
          <w:numId w:val="5"/>
        </w:numPr>
        <w:spacing w:line="500" w:lineRule="atLeast"/>
        <w:ind w:firstLine="480" w:firstLineChars="200"/>
        <w:rPr>
          <w:rFonts w:ascii="宋体"/>
          <w:sz w:val="24"/>
          <w:szCs w:val="24"/>
        </w:rPr>
      </w:pPr>
      <w:r>
        <w:rPr>
          <w:rFonts w:hint="eastAsia" w:ascii="宋体" w:hAnsi="宋体"/>
          <w:sz w:val="24"/>
          <w:szCs w:val="24"/>
        </w:rPr>
        <w:t>时间安排：</w:t>
      </w:r>
    </w:p>
    <w:p>
      <w:pPr>
        <w:spacing w:line="500" w:lineRule="atLeast"/>
        <w:ind w:firstLine="480" w:firstLineChars="200"/>
        <w:rPr>
          <w:rFonts w:ascii="宋体" w:hAnsi="宋体"/>
          <w:sz w:val="24"/>
        </w:rPr>
      </w:pPr>
      <w:r>
        <w:rPr>
          <w:rFonts w:hint="eastAsia" w:ascii="宋体" w:hAnsi="宋体"/>
          <w:sz w:val="24"/>
          <w:szCs w:val="24"/>
        </w:rPr>
        <w:t>（</w:t>
      </w:r>
      <w:r>
        <w:rPr>
          <w:rFonts w:ascii="宋体" w:hAnsi="宋体"/>
          <w:sz w:val="24"/>
          <w:szCs w:val="24"/>
        </w:rPr>
        <w:t>1</w:t>
      </w:r>
      <w:r>
        <w:rPr>
          <w:rFonts w:hint="eastAsia" w:ascii="宋体" w:hAnsi="宋体"/>
          <w:sz w:val="24"/>
          <w:szCs w:val="24"/>
        </w:rPr>
        <w:t>）报名：</w:t>
      </w:r>
      <w:r>
        <w:rPr>
          <w:rFonts w:hint="eastAsia" w:ascii="宋体" w:hAnsi="宋体"/>
          <w:sz w:val="24"/>
        </w:rPr>
        <w:t>凡报名者企业法人须持营业执照（或者其他注册证明文件）复印件、公章、</w:t>
      </w:r>
      <w:r>
        <w:rPr>
          <w:rFonts w:hint="eastAsia" w:ascii="宋体" w:hAnsi="宋体"/>
          <w:bCs/>
          <w:sz w:val="24"/>
        </w:rPr>
        <w:t>《增资扩股投资申请书》、</w:t>
      </w:r>
      <w:r>
        <w:rPr>
          <w:rFonts w:hint="eastAsia" w:ascii="宋体" w:hAnsi="宋体"/>
          <w:sz w:val="24"/>
        </w:rPr>
        <w:t>法人代表身份证、（委托书与身份证、受托人身份证）、公司章程、相关决议、</w:t>
      </w:r>
      <w:r>
        <w:rPr>
          <w:rFonts w:hint="eastAsia" w:ascii="宋体" w:hAnsi="宋体"/>
          <w:bCs/>
          <w:sz w:val="24"/>
        </w:rPr>
        <w:t>本公告中对</w:t>
      </w:r>
      <w:r>
        <w:rPr>
          <w:rFonts w:hint="eastAsia" w:ascii="宋体" w:hAnsi="宋体"/>
          <w:sz w:val="24"/>
        </w:rPr>
        <w:t>投资方条件要求的相关材料。</w:t>
      </w:r>
    </w:p>
    <w:p>
      <w:pPr>
        <w:spacing w:line="500" w:lineRule="atLeast"/>
        <w:ind w:firstLine="480" w:firstLineChars="200"/>
        <w:rPr>
          <w:rFonts w:ascii="宋体"/>
          <w:sz w:val="24"/>
          <w:szCs w:val="24"/>
        </w:rPr>
      </w:pPr>
      <w:r>
        <w:rPr>
          <w:rFonts w:hint="eastAsia" w:ascii="宋体" w:hAnsi="宋体"/>
          <w:sz w:val="24"/>
          <w:szCs w:val="24"/>
        </w:rPr>
        <w:t>符合条件的意向投资方应在报名截止时间前向组织人递交全部报名材料（日常办理时间：工作日上午</w:t>
      </w:r>
      <w:r>
        <w:rPr>
          <w:rFonts w:ascii="宋体" w:hAnsi="宋体"/>
          <w:sz w:val="24"/>
          <w:szCs w:val="24"/>
        </w:rPr>
        <w:t>8</w:t>
      </w:r>
      <w:r>
        <w:rPr>
          <w:rFonts w:hint="eastAsia" w:ascii="宋体" w:hAnsi="宋体"/>
          <w:sz w:val="24"/>
          <w:szCs w:val="24"/>
        </w:rPr>
        <w:t>：</w:t>
      </w:r>
      <w:r>
        <w:rPr>
          <w:rFonts w:ascii="宋体" w:hAnsi="宋体"/>
          <w:sz w:val="24"/>
          <w:szCs w:val="24"/>
        </w:rPr>
        <w:t>30</w:t>
      </w:r>
      <w:r>
        <w:rPr>
          <w:rFonts w:hint="eastAsia" w:ascii="宋体" w:hAnsi="宋体"/>
          <w:sz w:val="24"/>
          <w:szCs w:val="24"/>
        </w:rPr>
        <w:t>－</w:t>
      </w:r>
      <w:r>
        <w:rPr>
          <w:rFonts w:ascii="宋体" w:hAnsi="宋体"/>
          <w:sz w:val="24"/>
          <w:szCs w:val="24"/>
        </w:rPr>
        <w:t>11</w:t>
      </w:r>
      <w:r>
        <w:rPr>
          <w:rFonts w:hint="eastAsia" w:ascii="宋体" w:hAnsi="宋体"/>
          <w:sz w:val="24"/>
          <w:szCs w:val="24"/>
        </w:rPr>
        <w:t>：</w:t>
      </w:r>
      <w:r>
        <w:rPr>
          <w:rFonts w:ascii="宋体" w:hAnsi="宋体"/>
          <w:sz w:val="24"/>
          <w:szCs w:val="24"/>
        </w:rPr>
        <w:t>30</w:t>
      </w:r>
      <w:r>
        <w:rPr>
          <w:rFonts w:hint="eastAsia" w:ascii="宋体" w:hAnsi="宋体"/>
          <w:sz w:val="24"/>
          <w:szCs w:val="24"/>
        </w:rPr>
        <w:t>，下午</w:t>
      </w:r>
      <w:r>
        <w:rPr>
          <w:rFonts w:ascii="宋体" w:hAnsi="宋体"/>
          <w:sz w:val="24"/>
          <w:szCs w:val="24"/>
        </w:rPr>
        <w:t>14</w:t>
      </w:r>
      <w:r>
        <w:rPr>
          <w:rFonts w:hint="eastAsia" w:ascii="宋体" w:hAnsi="宋体"/>
          <w:sz w:val="24"/>
          <w:szCs w:val="24"/>
        </w:rPr>
        <w:t>：</w:t>
      </w:r>
      <w:r>
        <w:rPr>
          <w:rFonts w:ascii="宋体" w:hAnsi="宋体"/>
          <w:sz w:val="24"/>
          <w:szCs w:val="24"/>
        </w:rPr>
        <w:t>00</w:t>
      </w:r>
      <w:r>
        <w:rPr>
          <w:rFonts w:hint="eastAsia" w:ascii="宋体" w:hAnsi="宋体"/>
          <w:sz w:val="24"/>
          <w:szCs w:val="24"/>
        </w:rPr>
        <w:t>－</w:t>
      </w:r>
      <w:r>
        <w:rPr>
          <w:rFonts w:ascii="宋体" w:hAnsi="宋体"/>
          <w:sz w:val="24"/>
          <w:szCs w:val="24"/>
        </w:rPr>
        <w:t>16：30</w:t>
      </w:r>
      <w:r>
        <w:rPr>
          <w:rFonts w:hint="eastAsia" w:ascii="宋体" w:hAnsi="宋体"/>
          <w:sz w:val="24"/>
          <w:szCs w:val="24"/>
        </w:rPr>
        <w:t>，地点：台州市市府大道</w:t>
      </w:r>
      <w:r>
        <w:rPr>
          <w:rFonts w:ascii="宋体" w:hAnsi="宋体"/>
          <w:sz w:val="24"/>
          <w:szCs w:val="24"/>
        </w:rPr>
        <w:t>777</w:t>
      </w:r>
      <w:r>
        <w:rPr>
          <w:rFonts w:hint="eastAsia" w:ascii="宋体" w:hAnsi="宋体"/>
          <w:sz w:val="24"/>
          <w:szCs w:val="24"/>
        </w:rPr>
        <w:t>号浙江民泰商业银行五楼</w:t>
      </w:r>
      <w:r>
        <w:rPr>
          <w:rFonts w:ascii="宋体" w:hAnsi="宋体"/>
          <w:sz w:val="24"/>
          <w:szCs w:val="24"/>
        </w:rPr>
        <w:t>511室</w:t>
      </w:r>
      <w:r>
        <w:rPr>
          <w:rFonts w:hint="eastAsia" w:ascii="宋体" w:hAnsi="宋体"/>
          <w:sz w:val="24"/>
          <w:szCs w:val="24"/>
        </w:rPr>
        <w:t>），逾期无效。组织人在收到递交全部报名材料后，办理报名登记手续。</w:t>
      </w:r>
    </w:p>
    <w:p>
      <w:pPr>
        <w:spacing w:line="360" w:lineRule="auto"/>
        <w:ind w:firstLine="560"/>
        <w:rPr>
          <w:rFonts w:ascii="宋体" w:hAnsi="宋体"/>
          <w:sz w:val="24"/>
          <w:szCs w:val="24"/>
        </w:rPr>
      </w:pPr>
      <w:r>
        <w:rPr>
          <w:rFonts w:hint="eastAsia" w:ascii="宋体" w:hAnsi="宋体"/>
          <w:sz w:val="24"/>
          <w:szCs w:val="24"/>
        </w:rPr>
        <w:t>（</w:t>
      </w:r>
      <w:r>
        <w:rPr>
          <w:rFonts w:ascii="宋体" w:hAnsi="宋体"/>
          <w:sz w:val="24"/>
          <w:szCs w:val="24"/>
        </w:rPr>
        <w:t>2</w:t>
      </w:r>
      <w:r>
        <w:rPr>
          <w:rFonts w:hint="eastAsia" w:ascii="宋体" w:hAnsi="宋体"/>
          <w:sz w:val="24"/>
          <w:szCs w:val="24"/>
        </w:rPr>
        <w:t>）递交保证金：意向投资方应按增资文件规定的时间和要求提交保证金，增资协议签订后，</w:t>
      </w:r>
      <w:r>
        <w:rPr>
          <w:rFonts w:hint="eastAsia" w:ascii="宋体" w:hAnsi="宋体"/>
          <w:sz w:val="24"/>
        </w:rPr>
        <w:t>意向投资方先期汇入的</w:t>
      </w:r>
      <w:r>
        <w:rPr>
          <w:rFonts w:hint="eastAsia" w:ascii="宋体" w:hAnsi="宋体"/>
          <w:sz w:val="24"/>
          <w:szCs w:val="24"/>
        </w:rPr>
        <w:t>30,</w:t>
      </w:r>
      <w:r>
        <w:rPr>
          <w:rFonts w:ascii="宋体" w:hAnsi="宋体"/>
          <w:sz w:val="24"/>
          <w:szCs w:val="24"/>
        </w:rPr>
        <w:t>000万</w:t>
      </w:r>
      <w:r>
        <w:rPr>
          <w:rFonts w:ascii="宋体" w:hAnsi="宋体"/>
          <w:sz w:val="24"/>
        </w:rPr>
        <w:t>元</w:t>
      </w:r>
      <w:r>
        <w:rPr>
          <w:rFonts w:hint="eastAsia" w:ascii="宋体" w:hAnsi="宋体"/>
          <w:sz w:val="24"/>
        </w:rPr>
        <w:t>竞买保证金转作部分增资价款。</w:t>
      </w:r>
    </w:p>
    <w:p>
      <w:pPr>
        <w:spacing w:line="360" w:lineRule="auto"/>
        <w:ind w:firstLine="560"/>
        <w:rPr>
          <w:rFonts w:ascii="宋体"/>
          <w:sz w:val="24"/>
          <w:szCs w:val="24"/>
        </w:rPr>
      </w:pPr>
      <w:r>
        <w:rPr>
          <w:rFonts w:ascii="宋体" w:hAnsi="宋体"/>
          <w:sz w:val="24"/>
          <w:szCs w:val="24"/>
        </w:rPr>
        <w:t>(3)</w:t>
      </w:r>
      <w:r>
        <w:rPr>
          <w:rFonts w:hint="eastAsia" w:ascii="宋体" w:hAnsi="宋体"/>
          <w:sz w:val="24"/>
          <w:szCs w:val="24"/>
        </w:rPr>
        <w:t>签署增资协议：根据本增资文件的约定</w:t>
      </w:r>
      <w:r>
        <w:rPr>
          <w:rFonts w:ascii="宋体" w:hAnsi="宋体"/>
          <w:sz w:val="24"/>
          <w:szCs w:val="24"/>
        </w:rPr>
        <w:t>,</w:t>
      </w:r>
      <w:r>
        <w:rPr>
          <w:rFonts w:hint="eastAsia" w:ascii="宋体" w:hAnsi="宋体"/>
          <w:sz w:val="24"/>
          <w:szCs w:val="24"/>
        </w:rPr>
        <w:t>申请方和投资方</w:t>
      </w:r>
      <w:r>
        <w:rPr>
          <w:rFonts w:hint="eastAsia" w:ascii="宋体" w:hAnsi="宋体"/>
          <w:sz w:val="24"/>
        </w:rPr>
        <w:t>当场签</w:t>
      </w:r>
      <w:r>
        <w:rPr>
          <w:rFonts w:hint="eastAsia" w:ascii="宋体" w:hAnsi="宋体"/>
          <w:sz w:val="24"/>
          <w:szCs w:val="24"/>
        </w:rPr>
        <w:t>订《增资确认书》，在被确定为正式投资人后</w:t>
      </w:r>
      <w:r>
        <w:rPr>
          <w:rFonts w:ascii="宋体" w:hAnsi="宋体"/>
          <w:sz w:val="24"/>
          <w:szCs w:val="24"/>
        </w:rPr>
        <w:t>2</w:t>
      </w:r>
      <w:r>
        <w:rPr>
          <w:rFonts w:hint="eastAsia" w:ascii="宋体" w:hAnsi="宋体"/>
          <w:sz w:val="24"/>
          <w:szCs w:val="24"/>
        </w:rPr>
        <w:t>个工作日内签署《增资扩股协议》。</w:t>
      </w:r>
    </w:p>
    <w:p>
      <w:pPr>
        <w:numPr>
          <w:ilvl w:val="1"/>
          <w:numId w:val="5"/>
        </w:numPr>
        <w:spacing w:line="500" w:lineRule="atLeast"/>
        <w:ind w:firstLine="480" w:firstLineChars="200"/>
        <w:rPr>
          <w:rFonts w:ascii="宋体" w:hAnsi="宋体"/>
          <w:sz w:val="24"/>
          <w:szCs w:val="24"/>
        </w:rPr>
      </w:pPr>
      <w:r>
        <w:rPr>
          <w:rFonts w:hint="eastAsia" w:ascii="宋体" w:hAnsi="宋体"/>
          <w:sz w:val="24"/>
          <w:szCs w:val="24"/>
        </w:rPr>
        <w:t>付款方式：增资协议签订后，投资方先期汇入的30,000万元竞买保证金应转作同等金额</w:t>
      </w:r>
      <w:r>
        <w:rPr>
          <w:rFonts w:ascii="宋体" w:hAnsi="宋体"/>
          <w:sz w:val="24"/>
          <w:szCs w:val="24"/>
        </w:rPr>
        <w:t>的</w:t>
      </w:r>
      <w:r>
        <w:rPr>
          <w:rFonts w:hint="eastAsia" w:ascii="宋体" w:hAnsi="宋体"/>
          <w:sz w:val="24"/>
          <w:szCs w:val="24"/>
        </w:rPr>
        <w:t>增资价款，投资方应在《增资扩股协议》签署日后</w:t>
      </w:r>
      <w:r>
        <w:rPr>
          <w:rFonts w:ascii="宋体" w:hAnsi="宋体"/>
          <w:sz w:val="24"/>
          <w:szCs w:val="24"/>
        </w:rPr>
        <w:t>(如需相关政府主管部门</w:t>
      </w:r>
      <w:r>
        <w:rPr>
          <w:rFonts w:hint="eastAsia" w:ascii="宋体" w:hAnsi="宋体"/>
          <w:sz w:val="24"/>
          <w:szCs w:val="24"/>
        </w:rPr>
        <w:t>批准</w:t>
      </w:r>
      <w:r>
        <w:rPr>
          <w:rFonts w:ascii="宋体" w:hAnsi="宋体"/>
          <w:sz w:val="24"/>
          <w:szCs w:val="24"/>
        </w:rPr>
        <w:t>、登记</w:t>
      </w:r>
      <w:r>
        <w:rPr>
          <w:rFonts w:hint="eastAsia" w:ascii="宋体" w:hAnsi="宋体"/>
          <w:sz w:val="24"/>
          <w:szCs w:val="24"/>
        </w:rPr>
        <w:t>及</w:t>
      </w:r>
      <w:r>
        <w:rPr>
          <w:rFonts w:ascii="宋体" w:hAnsi="宋体"/>
          <w:sz w:val="24"/>
          <w:szCs w:val="24"/>
        </w:rPr>
        <w:t>/或备案的，则在政府主管部门</w:t>
      </w:r>
      <w:r>
        <w:rPr>
          <w:rFonts w:hint="eastAsia" w:ascii="宋体" w:hAnsi="宋体"/>
          <w:sz w:val="24"/>
          <w:szCs w:val="24"/>
        </w:rPr>
        <w:t>批准</w:t>
      </w:r>
      <w:r>
        <w:rPr>
          <w:rFonts w:ascii="宋体" w:hAnsi="宋体"/>
          <w:sz w:val="24"/>
          <w:szCs w:val="24"/>
        </w:rPr>
        <w:t>、登记</w:t>
      </w:r>
      <w:r>
        <w:rPr>
          <w:rFonts w:hint="eastAsia" w:ascii="宋体" w:hAnsi="宋体"/>
          <w:sz w:val="24"/>
          <w:szCs w:val="24"/>
        </w:rPr>
        <w:t>及</w:t>
      </w:r>
      <w:r>
        <w:rPr>
          <w:rFonts w:ascii="宋体" w:hAnsi="宋体"/>
          <w:sz w:val="24"/>
          <w:szCs w:val="24"/>
        </w:rPr>
        <w:t>/或备案</w:t>
      </w:r>
      <w:r>
        <w:rPr>
          <w:rFonts w:hint="eastAsia" w:ascii="宋体" w:hAnsi="宋体"/>
          <w:sz w:val="24"/>
          <w:szCs w:val="24"/>
        </w:rPr>
        <w:t>后</w:t>
      </w:r>
      <w:r>
        <w:rPr>
          <w:rFonts w:ascii="宋体" w:hAnsi="宋体"/>
          <w:sz w:val="24"/>
          <w:szCs w:val="24"/>
        </w:rPr>
        <w:t>)</w:t>
      </w:r>
      <w:r>
        <w:rPr>
          <w:rFonts w:hint="eastAsia" w:ascii="宋体" w:hAnsi="宋体"/>
          <w:sz w:val="24"/>
          <w:szCs w:val="24"/>
        </w:rPr>
        <w:t>五</w:t>
      </w:r>
      <w:r>
        <w:rPr>
          <w:rFonts w:ascii="宋体" w:hAnsi="宋体"/>
          <w:sz w:val="24"/>
        </w:rPr>
        <w:t>个工作日</w:t>
      </w:r>
      <w:r>
        <w:rPr>
          <w:rFonts w:hint="eastAsia" w:ascii="宋体" w:hAnsi="宋体"/>
          <w:sz w:val="24"/>
        </w:rPr>
        <w:t>内</w:t>
      </w:r>
      <w:r>
        <w:rPr>
          <w:rFonts w:hint="eastAsia" w:ascii="宋体" w:hAnsi="宋体"/>
          <w:sz w:val="24"/>
          <w:szCs w:val="24"/>
        </w:rPr>
        <w:t>一次性向申请方支付全部剩余投资款，且投资方应在《增资扩股协议》生效后</w:t>
      </w:r>
      <w:r>
        <w:rPr>
          <w:rFonts w:ascii="宋体" w:hAnsi="宋体"/>
          <w:sz w:val="24"/>
          <w:szCs w:val="24"/>
        </w:rPr>
        <w:t>五个工作日内</w:t>
      </w:r>
      <w:r>
        <w:rPr>
          <w:rFonts w:hint="eastAsia" w:ascii="宋体" w:hAnsi="宋体"/>
          <w:sz w:val="24"/>
          <w:szCs w:val="24"/>
        </w:rPr>
        <w:t>将服务费58万元支付</w:t>
      </w:r>
      <w:r>
        <w:rPr>
          <w:rFonts w:ascii="宋体" w:hAnsi="宋体"/>
          <w:sz w:val="24"/>
          <w:szCs w:val="24"/>
        </w:rPr>
        <w:t>至产交所账户。</w:t>
      </w:r>
      <w:r>
        <w:rPr>
          <w:rFonts w:hint="eastAsia" w:ascii="宋体" w:hAnsi="宋体"/>
          <w:sz w:val="24"/>
          <w:szCs w:val="24"/>
        </w:rPr>
        <w:t>保证金和服务费以人民币方式分别汇入：</w:t>
      </w:r>
    </w:p>
    <w:p>
      <w:pPr>
        <w:spacing w:line="360" w:lineRule="auto"/>
        <w:ind w:firstLine="560"/>
        <w:rPr>
          <w:rFonts w:ascii="宋体" w:hAnsi="宋体"/>
          <w:b/>
          <w:bCs/>
          <w:sz w:val="24"/>
          <w:szCs w:val="24"/>
        </w:rPr>
      </w:pPr>
      <w:r>
        <w:rPr>
          <w:rFonts w:hint="eastAsia" w:ascii="宋体" w:hAnsi="宋体"/>
          <w:b/>
          <w:bCs/>
          <w:sz w:val="24"/>
          <w:szCs w:val="24"/>
        </w:rPr>
        <w:t>保证金账户：</w:t>
      </w:r>
    </w:p>
    <w:p>
      <w:pPr>
        <w:spacing w:line="360" w:lineRule="auto"/>
        <w:ind w:firstLine="560"/>
        <w:rPr>
          <w:rFonts w:ascii="宋体" w:hAnsi="宋体"/>
          <w:sz w:val="24"/>
          <w:szCs w:val="24"/>
        </w:rPr>
      </w:pPr>
      <w:r>
        <w:rPr>
          <w:rFonts w:ascii="宋体" w:hAnsi="宋体"/>
          <w:sz w:val="24"/>
          <w:szCs w:val="24"/>
        </w:rPr>
        <w:t>(1) 投资</w:t>
      </w:r>
      <w:r>
        <w:rPr>
          <w:rFonts w:hint="eastAsia" w:ascii="宋体" w:hAnsi="宋体"/>
          <w:sz w:val="24"/>
          <w:szCs w:val="24"/>
        </w:rPr>
        <w:t>方</w:t>
      </w:r>
      <w:r>
        <w:rPr>
          <w:rFonts w:ascii="宋体" w:hAnsi="宋体"/>
          <w:sz w:val="24"/>
          <w:szCs w:val="24"/>
        </w:rPr>
        <w:t>为境内主体适用：单位名称：台州市产权交易所有限公司，开户行：浙江民泰商业银行台州椒江支行，帐号：5830162608000</w:t>
      </w:r>
      <w:r>
        <w:rPr>
          <w:rFonts w:hint="eastAsia" w:ascii="宋体" w:hAnsi="宋体"/>
          <w:sz w:val="24"/>
          <w:szCs w:val="24"/>
        </w:rPr>
        <w:t>15</w:t>
      </w:r>
      <w:r>
        <w:rPr>
          <w:rFonts w:ascii="宋体" w:hAnsi="宋体"/>
          <w:sz w:val="24"/>
          <w:szCs w:val="24"/>
        </w:rPr>
        <w:t>。</w:t>
      </w:r>
    </w:p>
    <w:p>
      <w:pPr>
        <w:spacing w:line="360" w:lineRule="auto"/>
        <w:ind w:firstLine="560"/>
        <w:rPr>
          <w:rFonts w:ascii="宋体" w:hAnsi="宋体"/>
          <w:sz w:val="24"/>
          <w:szCs w:val="24"/>
        </w:rPr>
      </w:pPr>
      <w:r>
        <w:rPr>
          <w:rFonts w:ascii="宋体" w:hAnsi="宋体"/>
          <w:sz w:val="24"/>
          <w:szCs w:val="24"/>
        </w:rPr>
        <w:t>(2) 投资</w:t>
      </w:r>
      <w:r>
        <w:rPr>
          <w:rFonts w:hint="eastAsia" w:ascii="宋体" w:hAnsi="宋体"/>
          <w:sz w:val="24"/>
          <w:szCs w:val="24"/>
        </w:rPr>
        <w:t>方</w:t>
      </w:r>
      <w:r>
        <w:rPr>
          <w:rFonts w:ascii="宋体" w:hAnsi="宋体"/>
          <w:sz w:val="24"/>
          <w:szCs w:val="24"/>
        </w:rPr>
        <w:t>为境外主体适用：单位名称：台州市产权交易所有限公司，开户行：</w:t>
      </w:r>
      <w:r>
        <w:rPr>
          <w:rFonts w:hint="eastAsia" w:ascii="宋体" w:hAnsi="宋体"/>
          <w:sz w:val="24"/>
          <w:szCs w:val="24"/>
        </w:rPr>
        <w:t>中国农业银行台州市经济开发区支行</w:t>
      </w:r>
      <w:r>
        <w:rPr>
          <w:rFonts w:ascii="宋体" w:hAnsi="宋体"/>
          <w:sz w:val="24"/>
          <w:szCs w:val="24"/>
        </w:rPr>
        <w:t>，帐号：</w:t>
      </w:r>
      <w:r>
        <w:rPr>
          <w:rFonts w:hint="eastAsia" w:ascii="宋体" w:hAnsi="宋体"/>
          <w:sz w:val="24"/>
          <w:szCs w:val="24"/>
        </w:rPr>
        <w:t>19900101040022292</w:t>
      </w:r>
      <w:r>
        <w:rPr>
          <w:rFonts w:ascii="宋体" w:hAnsi="宋体"/>
          <w:sz w:val="24"/>
          <w:szCs w:val="24"/>
        </w:rPr>
        <w:t>。</w:t>
      </w:r>
    </w:p>
    <w:p>
      <w:pPr>
        <w:spacing w:line="360" w:lineRule="auto"/>
        <w:ind w:firstLine="560"/>
        <w:rPr>
          <w:rFonts w:ascii="宋体" w:hAnsi="宋体"/>
          <w:b/>
          <w:bCs/>
          <w:sz w:val="24"/>
          <w:szCs w:val="24"/>
        </w:rPr>
      </w:pPr>
      <w:r>
        <w:rPr>
          <w:rFonts w:hint="eastAsia" w:ascii="宋体" w:hAnsi="宋体"/>
          <w:b/>
          <w:bCs/>
          <w:sz w:val="24"/>
          <w:szCs w:val="24"/>
        </w:rPr>
        <w:t>服务费账户：</w:t>
      </w:r>
    </w:p>
    <w:p>
      <w:pPr>
        <w:spacing w:line="360" w:lineRule="auto"/>
        <w:ind w:firstLine="560"/>
        <w:rPr>
          <w:rFonts w:ascii="宋体" w:hAnsi="宋体"/>
          <w:sz w:val="24"/>
          <w:szCs w:val="24"/>
        </w:rPr>
      </w:pPr>
      <w:r>
        <w:rPr>
          <w:rFonts w:hint="eastAsia" w:ascii="宋体" w:hAnsi="宋体"/>
          <w:sz w:val="24"/>
          <w:szCs w:val="24"/>
        </w:rPr>
        <w:t>开户单位：台州市产权交易所有限公司，</w:t>
      </w:r>
      <w:r>
        <w:rPr>
          <w:rFonts w:ascii="宋体" w:hAnsi="宋体"/>
          <w:sz w:val="24"/>
          <w:szCs w:val="24"/>
        </w:rPr>
        <w:t>开户行：浙江民泰商业银行台州椒江支行</w:t>
      </w:r>
      <w:r>
        <w:rPr>
          <w:rFonts w:hint="eastAsia" w:ascii="宋体" w:hAnsi="宋体"/>
          <w:sz w:val="24"/>
          <w:szCs w:val="24"/>
        </w:rPr>
        <w:t>，</w:t>
      </w:r>
      <w:r>
        <w:rPr>
          <w:rFonts w:ascii="宋体" w:hAnsi="宋体"/>
          <w:sz w:val="24"/>
          <w:szCs w:val="24"/>
        </w:rPr>
        <w:t>账号：583016260800028。</w:t>
      </w:r>
    </w:p>
    <w:p>
      <w:pPr>
        <w:spacing w:line="500" w:lineRule="atLeast"/>
        <w:ind w:firstLine="480" w:firstLineChars="200"/>
        <w:rPr>
          <w:rFonts w:ascii="宋体" w:hAnsi="宋体"/>
          <w:sz w:val="24"/>
          <w:szCs w:val="24"/>
        </w:rPr>
      </w:pPr>
      <w:r>
        <w:rPr>
          <w:rFonts w:hint="eastAsia" w:ascii="宋体" w:hAnsi="宋体"/>
          <w:bCs/>
          <w:sz w:val="24"/>
        </w:rPr>
        <w:t>（四）本次增资活动是在</w:t>
      </w:r>
      <w:r>
        <w:rPr>
          <w:rFonts w:hint="eastAsia" w:ascii="宋体" w:hAnsi="宋体"/>
          <w:sz w:val="24"/>
          <w:szCs w:val="24"/>
        </w:rPr>
        <w:t>公开、公平、公正、诚实信用的原则下进行的，一切活动都具备法律效力。</w:t>
      </w:r>
    </w:p>
    <w:p>
      <w:pPr>
        <w:spacing w:line="500" w:lineRule="atLeast"/>
        <w:ind w:firstLine="480" w:firstLineChars="200"/>
        <w:rPr>
          <w:rFonts w:ascii="宋体"/>
          <w:sz w:val="24"/>
          <w:szCs w:val="24"/>
        </w:rPr>
      </w:pPr>
      <w:r>
        <w:rPr>
          <w:rFonts w:hint="eastAsia" w:ascii="宋体" w:hAnsi="宋体"/>
          <w:sz w:val="24"/>
          <w:szCs w:val="24"/>
        </w:rPr>
        <w:t>（五）意向投资方应具备并接受本次公告或有关规定中注明的投资方条件，否则不得参与增资。</w:t>
      </w:r>
    </w:p>
    <w:p>
      <w:pPr>
        <w:spacing w:line="500" w:lineRule="atLeast"/>
        <w:ind w:firstLine="480" w:firstLineChars="200"/>
        <w:rPr>
          <w:rFonts w:ascii="宋体"/>
          <w:sz w:val="24"/>
          <w:szCs w:val="24"/>
        </w:rPr>
      </w:pPr>
      <w:r>
        <w:rPr>
          <w:rFonts w:hint="eastAsia" w:ascii="宋体" w:hAnsi="宋体"/>
          <w:sz w:val="24"/>
          <w:szCs w:val="24"/>
        </w:rPr>
        <w:t>（六）意向投资方在本项目挂牌期内，应认真阅读本增资文件。意向投资方有异议的，应在报名前提出。意向投资方完成报名手续后即表明已充分了解本项目的一切现状（包括瑕疵），接受本增资文件的全部内容和要求，并不以任何形式对本增资文件的内容提出异议。组织人不承担和担保标的品质和相关瑕疵等任何责任。增资活动过程中，主持人也不再回答意向投资方提出的有关标的和程序的任何问题。意向投资方报名后，不得以事先未进行咨询等任何理由反悔，不提交《增资认购报价单》，责任由意向投资方自负，组织人有权不予返还增资保证金。意向投资方在办理查询手续或报名登记手续后可以向组织人申请查阅标的的相关信息和材料。</w:t>
      </w:r>
    </w:p>
    <w:p>
      <w:pPr>
        <w:spacing w:line="500" w:lineRule="atLeast"/>
        <w:ind w:firstLine="480" w:firstLineChars="200"/>
        <w:rPr>
          <w:rFonts w:ascii="宋体"/>
          <w:sz w:val="24"/>
          <w:szCs w:val="24"/>
        </w:rPr>
      </w:pPr>
      <w:r>
        <w:rPr>
          <w:rFonts w:hint="eastAsia" w:ascii="宋体" w:hAnsi="宋体"/>
          <w:sz w:val="24"/>
          <w:szCs w:val="24"/>
        </w:rPr>
        <w:t>（七）意向投资方递交全部报名材料并交纳全部增资保证金后获得参与增资活动的资格；逾期未交纳的，视为放弃投资。</w:t>
      </w:r>
    </w:p>
    <w:p>
      <w:pPr>
        <w:spacing w:line="500" w:lineRule="atLeast"/>
        <w:ind w:firstLine="480" w:firstLineChars="200"/>
        <w:rPr>
          <w:rFonts w:ascii="宋体"/>
          <w:sz w:val="24"/>
          <w:szCs w:val="24"/>
        </w:rPr>
      </w:pPr>
      <w:r>
        <w:rPr>
          <w:rFonts w:hint="eastAsia" w:ascii="宋体" w:hAnsi="宋体"/>
          <w:sz w:val="24"/>
          <w:szCs w:val="24"/>
        </w:rPr>
        <w:t>（八）</w:t>
      </w:r>
      <w:r>
        <w:rPr>
          <w:rFonts w:hint="eastAsia" w:ascii="宋体" w:hAnsi="宋体"/>
          <w:sz w:val="24"/>
        </w:rPr>
        <w:t>本项目采取多次网络竞价，价高者得的方式（具体详见</w:t>
      </w:r>
      <w:r>
        <w:rPr>
          <w:rFonts w:hint="eastAsia" w:ascii="宋体" w:hAnsi="宋体"/>
          <w:sz w:val="24"/>
          <w:szCs w:val="24"/>
        </w:rPr>
        <w:t>网络竞价</w:t>
      </w:r>
      <w:r>
        <w:rPr>
          <w:rFonts w:hint="eastAsia" w:ascii="宋体" w:hAnsi="宋体"/>
          <w:sz w:val="24"/>
        </w:rPr>
        <w:t>规则）</w:t>
      </w:r>
      <w:r>
        <w:rPr>
          <w:rFonts w:hint="eastAsia" w:ascii="宋体" w:hAnsi="宋体"/>
          <w:sz w:val="24"/>
          <w:szCs w:val="24"/>
        </w:rPr>
        <w:t>。意向投资方应在增资活动开始前凭身份证原件、组织人开立的增资保证金收款凭证进入增资会现场，以上凭证、证件必须妥善保管，若因损坏、遗失、外借等所引起的法律责任由投资方自负。</w:t>
      </w:r>
      <w:r>
        <w:rPr>
          <w:rFonts w:hint="eastAsia" w:ascii="宋体" w:hAnsi="宋体"/>
          <w:sz w:val="24"/>
        </w:rPr>
        <w:t>意向投资方参加增资会时还应携带企业公章。</w:t>
      </w:r>
    </w:p>
    <w:p>
      <w:pPr>
        <w:spacing w:line="500" w:lineRule="atLeast"/>
        <w:ind w:firstLine="480" w:firstLineChars="200"/>
        <w:rPr>
          <w:rFonts w:ascii="宋体" w:hAnsi="宋体"/>
          <w:sz w:val="24"/>
          <w:szCs w:val="24"/>
        </w:rPr>
      </w:pPr>
      <w:r>
        <w:rPr>
          <w:rFonts w:hint="eastAsia" w:ascii="宋体" w:hAnsi="宋体"/>
          <w:sz w:val="24"/>
          <w:szCs w:val="24"/>
        </w:rPr>
        <w:t>（九）</w:t>
      </w:r>
      <w:r>
        <w:rPr>
          <w:rFonts w:hint="eastAsia" w:ascii="宋体" w:hAnsi="宋体"/>
          <w:sz w:val="24"/>
        </w:rPr>
        <w:t>意向投资方法定代表人</w:t>
      </w:r>
      <w:r>
        <w:rPr>
          <w:rFonts w:hint="eastAsia" w:ascii="宋体" w:hAnsi="宋体"/>
          <w:sz w:val="24"/>
          <w:szCs w:val="24"/>
        </w:rPr>
        <w:t>（委托他人参加的带委托书</w:t>
      </w:r>
      <w:r>
        <w:rPr>
          <w:rFonts w:hint="eastAsia" w:ascii="宋体" w:hAnsi="宋体"/>
          <w:sz w:val="24"/>
        </w:rPr>
        <w:t>、受托人身份证）</w:t>
      </w:r>
      <w:r>
        <w:rPr>
          <w:rFonts w:hint="eastAsia" w:ascii="宋体" w:hAnsi="宋体"/>
          <w:sz w:val="24"/>
          <w:szCs w:val="24"/>
        </w:rPr>
        <w:t>须携带本人身份证原件或其他有效身份证件在增资活动开始时间前</w:t>
      </w:r>
      <w:r>
        <w:rPr>
          <w:rFonts w:ascii="宋体" w:hAnsi="宋体"/>
          <w:sz w:val="24"/>
          <w:szCs w:val="24"/>
        </w:rPr>
        <w:t>30</w:t>
      </w:r>
      <w:r>
        <w:rPr>
          <w:rFonts w:hint="eastAsia" w:ascii="宋体" w:hAnsi="宋体"/>
          <w:sz w:val="24"/>
          <w:szCs w:val="24"/>
        </w:rPr>
        <w:t>分钟开始办理登记手续。</w:t>
      </w:r>
    </w:p>
    <w:p>
      <w:pPr>
        <w:spacing w:line="480" w:lineRule="atLeast"/>
        <w:ind w:right="105" w:rightChars="50" w:firstLine="480" w:firstLineChars="200"/>
        <w:rPr>
          <w:rFonts w:ascii="宋体" w:hAnsi="宋体"/>
          <w:bCs/>
          <w:sz w:val="24"/>
        </w:rPr>
      </w:pPr>
      <w:r>
        <w:rPr>
          <w:rFonts w:hint="eastAsia" w:ascii="宋体" w:hAnsi="宋体"/>
          <w:bCs/>
          <w:sz w:val="24"/>
        </w:rPr>
        <w:t>（十）本次增资的同时，投资方同意同时受让海正博锐股东海正</w:t>
      </w:r>
      <w:r>
        <w:rPr>
          <w:rFonts w:ascii="宋体" w:hAnsi="宋体"/>
          <w:bCs/>
          <w:sz w:val="24"/>
        </w:rPr>
        <w:t>药业持有的海正博锐10.1590%股权</w:t>
      </w:r>
      <w:r>
        <w:rPr>
          <w:rFonts w:hint="eastAsia" w:ascii="宋体" w:hAnsi="宋体"/>
          <w:bCs/>
          <w:sz w:val="24"/>
        </w:rPr>
        <w:t>（</w:t>
      </w:r>
      <w:r>
        <w:rPr>
          <w:rFonts w:ascii="宋体" w:hAnsi="宋体"/>
          <w:bCs/>
          <w:sz w:val="24"/>
        </w:rPr>
        <w:t>代表海正博锐</w:t>
      </w:r>
      <w:r>
        <w:rPr>
          <w:rFonts w:hint="eastAsia" w:ascii="宋体" w:hAnsi="宋体"/>
          <w:bCs/>
          <w:sz w:val="24"/>
        </w:rPr>
        <w:t>人民币5,</w:t>
      </w:r>
      <w:r>
        <w:rPr>
          <w:rFonts w:ascii="宋体" w:hAnsi="宋体"/>
          <w:bCs/>
          <w:sz w:val="24"/>
        </w:rPr>
        <w:t>079.50万元的注册资本</w:t>
      </w:r>
      <w:r>
        <w:rPr>
          <w:rFonts w:hint="eastAsia" w:ascii="宋体" w:hAnsi="宋体"/>
          <w:bCs/>
          <w:sz w:val="24"/>
        </w:rPr>
        <w:t>），海正杭州公司持有的海正博锐</w:t>
      </w:r>
      <w:r>
        <w:rPr>
          <w:rFonts w:ascii="宋体" w:hAnsi="宋体"/>
          <w:bCs/>
          <w:sz w:val="24"/>
        </w:rPr>
        <w:t>40.3410%</w:t>
      </w:r>
      <w:r>
        <w:rPr>
          <w:rFonts w:hint="eastAsia" w:ascii="宋体" w:hAnsi="宋体"/>
          <w:bCs/>
          <w:sz w:val="24"/>
        </w:rPr>
        <w:t>股权（</w:t>
      </w:r>
      <w:r>
        <w:rPr>
          <w:rFonts w:ascii="宋体" w:hAnsi="宋体"/>
          <w:bCs/>
          <w:sz w:val="24"/>
        </w:rPr>
        <w:t>代表海正博锐</w:t>
      </w:r>
      <w:r>
        <w:rPr>
          <w:rFonts w:hint="eastAsia" w:ascii="宋体" w:hAnsi="宋体"/>
          <w:bCs/>
          <w:sz w:val="24"/>
        </w:rPr>
        <w:t>人民币</w:t>
      </w:r>
      <w:r>
        <w:rPr>
          <w:rFonts w:ascii="宋体" w:hAnsi="宋体"/>
          <w:sz w:val="24"/>
        </w:rPr>
        <w:t>20,170.50</w:t>
      </w:r>
      <w:r>
        <w:rPr>
          <w:rFonts w:ascii="宋体" w:hAnsi="宋体"/>
          <w:bCs/>
          <w:sz w:val="24"/>
        </w:rPr>
        <w:t>万元的注册资本</w:t>
      </w:r>
      <w:r>
        <w:rPr>
          <w:rFonts w:hint="eastAsia" w:ascii="宋体" w:hAnsi="宋体"/>
          <w:bCs/>
          <w:sz w:val="24"/>
        </w:rPr>
        <w:t>），股权转让价格依据本次增资最终确定的每元注册</w:t>
      </w:r>
      <w:r>
        <w:rPr>
          <w:rFonts w:ascii="宋体" w:hAnsi="宋体"/>
          <w:bCs/>
          <w:sz w:val="24"/>
        </w:rPr>
        <w:t>资本</w:t>
      </w:r>
      <w:r>
        <w:rPr>
          <w:rFonts w:hint="eastAsia" w:ascii="宋体" w:hAnsi="宋体"/>
          <w:bCs/>
          <w:sz w:val="24"/>
        </w:rPr>
        <w:t>增资价格确定。增资公告发布同时，本交易所同步发布转让项目公告（台交所挂〔2019〕17、18号），意向投资人参与本次增资认购的，须同时参与转让项目的股权受让。</w:t>
      </w:r>
    </w:p>
    <w:p>
      <w:pPr>
        <w:spacing w:line="480" w:lineRule="atLeast"/>
        <w:ind w:right="105" w:rightChars="50" w:firstLine="480" w:firstLineChars="200"/>
        <w:rPr>
          <w:rFonts w:ascii="宋体" w:hAnsi="宋体"/>
          <w:bCs/>
          <w:sz w:val="24"/>
        </w:rPr>
      </w:pPr>
      <w:r>
        <w:rPr>
          <w:rFonts w:hint="eastAsia" w:ascii="宋体" w:hAnsi="宋体"/>
          <w:bCs/>
          <w:sz w:val="24"/>
        </w:rPr>
        <w:t>（十一）股权转让项目不单独接受意向投资人办理受让意向登记手续，意向投资人应在增资项目公告有效期内办理投资意向登记手续，意向投资人应符合本项目的全部资格条件、并承诺接受所有增资条件。意向投资人在获得资格确认并按时缴纳足额保证金后，同时获得原股东转让增资人部分股权的受让资格，且意向投资人必须参与该股权份额受让。</w:t>
      </w:r>
    </w:p>
    <w:p>
      <w:pPr>
        <w:spacing w:line="480" w:lineRule="atLeast"/>
        <w:ind w:right="105" w:rightChars="50" w:firstLine="480" w:firstLineChars="200"/>
        <w:rPr>
          <w:rFonts w:ascii="宋体" w:hAnsi="宋体"/>
          <w:bCs/>
          <w:sz w:val="24"/>
        </w:rPr>
      </w:pPr>
      <w:r>
        <w:rPr>
          <w:rFonts w:hint="eastAsia" w:ascii="宋体" w:hAnsi="宋体"/>
          <w:bCs/>
          <w:sz w:val="24"/>
        </w:rPr>
        <w:t>（十二）增资项目确定最终投资人、确定增资价格、确定原股东转让增资人部分股权的成交价格后，新老股东共同签署《增资扩股协议》和《股权转让协议》。</w:t>
      </w:r>
    </w:p>
    <w:p>
      <w:pPr>
        <w:spacing w:line="500" w:lineRule="atLeast"/>
        <w:ind w:firstLine="360" w:firstLineChars="150"/>
        <w:rPr>
          <w:rFonts w:ascii="宋体"/>
          <w:sz w:val="24"/>
          <w:szCs w:val="24"/>
        </w:rPr>
      </w:pPr>
      <w:r>
        <w:rPr>
          <w:rFonts w:hint="eastAsia" w:ascii="宋体" w:hAnsi="宋体"/>
          <w:sz w:val="24"/>
          <w:szCs w:val="24"/>
        </w:rPr>
        <w:t>（十三</w:t>
      </w:r>
      <w:r>
        <w:rPr>
          <w:rFonts w:hint="eastAsia" w:ascii="宋体" w:hAnsi="宋体"/>
          <w:sz w:val="24"/>
        </w:rPr>
        <w:t>）因被确定的投资方违约放弃，违约投资方已付投资款（或者保证金）作为违约金，融资方不再予以返还。</w:t>
      </w:r>
    </w:p>
    <w:p>
      <w:pPr>
        <w:spacing w:line="500" w:lineRule="atLeast"/>
        <w:ind w:firstLine="480" w:firstLineChars="200"/>
        <w:rPr>
          <w:rFonts w:ascii="宋体"/>
          <w:sz w:val="24"/>
          <w:szCs w:val="24"/>
        </w:rPr>
      </w:pPr>
      <w:r>
        <w:rPr>
          <w:rFonts w:hint="eastAsia" w:ascii="宋体" w:hAnsi="宋体"/>
          <w:sz w:val="24"/>
          <w:szCs w:val="24"/>
        </w:rPr>
        <w:t>（十四）增资成交后，意向投资方应在被确定为投资方后当日同融资方在组织人指定场所签订增资协议。</w:t>
      </w:r>
    </w:p>
    <w:p>
      <w:pPr>
        <w:spacing w:line="500" w:lineRule="atLeast"/>
        <w:ind w:firstLine="480" w:firstLineChars="200"/>
        <w:rPr>
          <w:rFonts w:ascii="宋体" w:hAnsi="宋体"/>
          <w:sz w:val="24"/>
          <w:szCs w:val="24"/>
        </w:rPr>
      </w:pPr>
      <w:r>
        <w:rPr>
          <w:rFonts w:hint="eastAsia" w:ascii="宋体" w:hAnsi="宋体"/>
          <w:sz w:val="24"/>
          <w:szCs w:val="24"/>
        </w:rPr>
        <w:t>（十五）投资方应向组织人支付人民币58万元服务费。</w:t>
      </w:r>
    </w:p>
    <w:p>
      <w:pPr>
        <w:spacing w:line="500" w:lineRule="atLeast"/>
        <w:ind w:firstLine="480" w:firstLineChars="200"/>
        <w:rPr>
          <w:rFonts w:ascii="宋体" w:hAnsi="宋体"/>
          <w:sz w:val="24"/>
          <w:szCs w:val="24"/>
        </w:rPr>
      </w:pPr>
      <w:r>
        <w:rPr>
          <w:rFonts w:hint="eastAsia" w:ascii="宋体" w:hAnsi="宋体"/>
          <w:sz w:val="24"/>
          <w:szCs w:val="24"/>
        </w:rPr>
        <w:t>（十六</w:t>
      </w:r>
      <w:r>
        <w:rPr>
          <w:rFonts w:hint="eastAsia" w:ascii="宋体" w:hAnsi="宋体"/>
          <w:sz w:val="24"/>
        </w:rPr>
        <w:t>）出现下列情形意向投资方保证金可在</w:t>
      </w:r>
      <w:r>
        <w:rPr>
          <w:rFonts w:hint="eastAsia" w:ascii="宋体" w:hAnsi="宋体"/>
          <w:bCs/>
          <w:sz w:val="24"/>
        </w:rPr>
        <w:t>三个工作日</w:t>
      </w:r>
      <w:r>
        <w:rPr>
          <w:rFonts w:hint="eastAsia" w:ascii="宋体" w:hAnsi="宋体"/>
          <w:sz w:val="24"/>
        </w:rPr>
        <w:t>内退还（不计息）</w:t>
      </w:r>
    </w:p>
    <w:p>
      <w:pPr>
        <w:spacing w:line="500" w:lineRule="atLeast"/>
        <w:ind w:firstLine="480" w:firstLineChars="200"/>
        <w:rPr>
          <w:rFonts w:ascii="宋体" w:hAnsi="宋体"/>
          <w:sz w:val="24"/>
          <w:szCs w:val="24"/>
        </w:rPr>
      </w:pPr>
      <w:r>
        <w:rPr>
          <w:rFonts w:hint="eastAsia" w:ascii="宋体" w:hAnsi="宋体"/>
          <w:sz w:val="24"/>
          <w:szCs w:val="24"/>
        </w:rPr>
        <w:t>（</w:t>
      </w:r>
      <w:r>
        <w:rPr>
          <w:rFonts w:ascii="宋体" w:hAnsi="宋体"/>
          <w:sz w:val="24"/>
          <w:szCs w:val="24"/>
        </w:rPr>
        <w:t>1</w:t>
      </w:r>
      <w:r>
        <w:rPr>
          <w:rFonts w:hint="eastAsia" w:ascii="宋体" w:hAnsi="宋体"/>
          <w:sz w:val="24"/>
          <w:szCs w:val="24"/>
        </w:rPr>
        <w:t>）参加竞价并应价但未能竞得标的者；</w:t>
      </w:r>
    </w:p>
    <w:p>
      <w:pPr>
        <w:spacing w:line="500" w:lineRule="atLeast"/>
        <w:ind w:firstLine="480" w:firstLineChars="200"/>
        <w:rPr>
          <w:rFonts w:ascii="宋体" w:hAnsi="宋体"/>
          <w:sz w:val="24"/>
          <w:szCs w:val="24"/>
        </w:rPr>
      </w:pPr>
      <w:r>
        <w:rPr>
          <w:rFonts w:hint="eastAsia" w:ascii="宋体" w:hAnsi="宋体"/>
          <w:sz w:val="24"/>
          <w:szCs w:val="24"/>
        </w:rPr>
        <w:t>（2）竞价前，因政策等正当理由取消竞价转让的。</w:t>
      </w:r>
    </w:p>
    <w:p>
      <w:pPr>
        <w:spacing w:line="500" w:lineRule="atLeast"/>
        <w:ind w:firstLine="480" w:firstLineChars="200"/>
        <w:rPr>
          <w:rFonts w:ascii="宋体" w:hAnsi="宋体"/>
          <w:sz w:val="24"/>
          <w:szCs w:val="24"/>
        </w:rPr>
      </w:pPr>
      <w:r>
        <w:rPr>
          <w:rFonts w:hint="eastAsia" w:ascii="宋体" w:hAnsi="宋体"/>
          <w:sz w:val="24"/>
          <w:szCs w:val="24"/>
        </w:rPr>
        <w:t>（十七）</w:t>
      </w:r>
      <w:r>
        <w:rPr>
          <w:rFonts w:hint="eastAsia" w:ascii="宋体" w:hAnsi="宋体"/>
          <w:sz w:val="24"/>
        </w:rPr>
        <w:t>出现下列情形意向投资方保证金不予退还：</w:t>
      </w:r>
    </w:p>
    <w:p>
      <w:pPr>
        <w:spacing w:line="500" w:lineRule="atLeast"/>
        <w:ind w:firstLine="480" w:firstLineChars="200"/>
        <w:rPr>
          <w:rFonts w:ascii="宋体" w:hAnsi="宋体"/>
          <w:sz w:val="24"/>
          <w:szCs w:val="24"/>
        </w:rPr>
      </w:pPr>
      <w:r>
        <w:rPr>
          <w:rFonts w:hint="eastAsia" w:ascii="宋体" w:hAnsi="宋体"/>
          <w:sz w:val="24"/>
          <w:szCs w:val="24"/>
        </w:rPr>
        <w:t>（</w:t>
      </w:r>
      <w:r>
        <w:rPr>
          <w:rFonts w:ascii="宋体" w:hAnsi="宋体"/>
          <w:sz w:val="24"/>
          <w:szCs w:val="24"/>
        </w:rPr>
        <w:t>1）意向投资方存在不当行为，包括但不限于：提供的资料和信息存在虚假、不真实、不具有效力等情形。</w:t>
      </w:r>
    </w:p>
    <w:p>
      <w:pPr>
        <w:spacing w:line="500" w:lineRule="atLeast"/>
        <w:ind w:firstLine="480" w:firstLineChars="200"/>
        <w:rPr>
          <w:rFonts w:ascii="宋体" w:hAnsi="宋体"/>
          <w:sz w:val="24"/>
          <w:szCs w:val="24"/>
        </w:rPr>
      </w:pPr>
      <w:r>
        <w:rPr>
          <w:rFonts w:hint="eastAsia" w:ascii="宋体" w:hAnsi="宋体"/>
          <w:sz w:val="24"/>
          <w:szCs w:val="24"/>
        </w:rPr>
        <w:t>（</w:t>
      </w:r>
      <w:r>
        <w:rPr>
          <w:rFonts w:ascii="宋体" w:hAnsi="宋体"/>
          <w:sz w:val="24"/>
          <w:szCs w:val="24"/>
        </w:rPr>
        <w:t>2）意向投资方交纳保证金后单方撤回竞买申请的；</w:t>
      </w:r>
    </w:p>
    <w:p>
      <w:pPr>
        <w:spacing w:line="500" w:lineRule="atLeast"/>
        <w:ind w:firstLine="480" w:firstLineChars="200"/>
        <w:rPr>
          <w:rFonts w:ascii="宋体" w:hAnsi="宋体"/>
          <w:sz w:val="24"/>
          <w:szCs w:val="24"/>
        </w:rPr>
      </w:pPr>
      <w:r>
        <w:rPr>
          <w:rFonts w:hint="eastAsia" w:ascii="宋体" w:hAnsi="宋体"/>
          <w:sz w:val="24"/>
          <w:szCs w:val="24"/>
        </w:rPr>
        <w:t>（</w:t>
      </w:r>
      <w:r>
        <w:rPr>
          <w:rFonts w:ascii="宋体" w:hAnsi="宋体"/>
          <w:sz w:val="24"/>
          <w:szCs w:val="24"/>
        </w:rPr>
        <w:t>3）公告期满，产生两个或两个以上符合条件的意向投资方时，意向投资方交纳保证金后未参加后续竞价程序的；</w:t>
      </w:r>
    </w:p>
    <w:p>
      <w:pPr>
        <w:spacing w:line="500" w:lineRule="atLeast"/>
        <w:ind w:firstLine="480" w:firstLineChars="200"/>
        <w:rPr>
          <w:rFonts w:ascii="宋体" w:hAnsi="宋体"/>
          <w:sz w:val="24"/>
          <w:szCs w:val="24"/>
        </w:rPr>
      </w:pPr>
      <w:r>
        <w:rPr>
          <w:rFonts w:hint="eastAsia" w:ascii="宋体" w:hAnsi="宋体"/>
          <w:sz w:val="24"/>
          <w:szCs w:val="24"/>
        </w:rPr>
        <w:t>（</w:t>
      </w:r>
      <w:r>
        <w:rPr>
          <w:rFonts w:ascii="宋体" w:hAnsi="宋体"/>
          <w:sz w:val="24"/>
          <w:szCs w:val="24"/>
        </w:rPr>
        <w:t>4）在竞价过程中以底价为起始价格，各意向投资方均不应价的；</w:t>
      </w:r>
    </w:p>
    <w:p>
      <w:pPr>
        <w:spacing w:line="500" w:lineRule="atLeast"/>
        <w:ind w:firstLine="480" w:firstLineChars="200"/>
        <w:rPr>
          <w:rFonts w:ascii="宋体" w:hAnsi="宋体"/>
          <w:sz w:val="24"/>
          <w:szCs w:val="24"/>
        </w:rPr>
      </w:pPr>
      <w:r>
        <w:rPr>
          <w:rFonts w:hint="eastAsia" w:ascii="宋体" w:hAnsi="宋体"/>
          <w:sz w:val="24"/>
          <w:szCs w:val="24"/>
        </w:rPr>
        <w:t>（</w:t>
      </w:r>
      <w:r>
        <w:rPr>
          <w:rFonts w:ascii="宋体" w:hAnsi="宋体"/>
          <w:sz w:val="24"/>
          <w:szCs w:val="24"/>
        </w:rPr>
        <w:t>5）被确定为最终投资方后，未按期支付</w:t>
      </w:r>
      <w:r>
        <w:rPr>
          <w:rFonts w:hint="eastAsia" w:ascii="宋体" w:hAnsi="宋体"/>
          <w:sz w:val="24"/>
          <w:szCs w:val="24"/>
        </w:rPr>
        <w:t>增资款项的；</w:t>
      </w:r>
    </w:p>
    <w:p>
      <w:pPr>
        <w:spacing w:line="500" w:lineRule="atLeast"/>
        <w:ind w:firstLine="480" w:firstLineChars="200"/>
        <w:rPr>
          <w:rFonts w:ascii="宋体" w:hAnsi="宋体"/>
          <w:sz w:val="24"/>
          <w:szCs w:val="24"/>
        </w:rPr>
      </w:pPr>
      <w:r>
        <w:rPr>
          <w:rFonts w:hint="eastAsia" w:ascii="宋体" w:hAnsi="宋体"/>
          <w:sz w:val="24"/>
          <w:szCs w:val="24"/>
        </w:rPr>
        <w:t>（</w:t>
      </w:r>
      <w:r>
        <w:rPr>
          <w:rFonts w:ascii="宋体" w:hAnsi="宋体"/>
          <w:sz w:val="24"/>
          <w:szCs w:val="24"/>
        </w:rPr>
        <w:t>6）未按期与</w:t>
      </w:r>
      <w:r>
        <w:rPr>
          <w:rFonts w:hint="eastAsia" w:ascii="宋体" w:hAnsi="宋体"/>
          <w:sz w:val="24"/>
          <w:szCs w:val="24"/>
        </w:rPr>
        <w:t>融资方签订《增资确定书》和《增资扩股协议》的；</w:t>
      </w:r>
    </w:p>
    <w:p>
      <w:pPr>
        <w:spacing w:line="500" w:lineRule="atLeast"/>
        <w:ind w:firstLine="480" w:firstLineChars="200"/>
        <w:rPr>
          <w:rFonts w:ascii="宋体" w:hAnsi="宋体"/>
          <w:sz w:val="24"/>
          <w:szCs w:val="24"/>
        </w:rPr>
      </w:pPr>
      <w:r>
        <w:rPr>
          <w:rFonts w:hint="eastAsia" w:ascii="宋体" w:hAnsi="宋体"/>
          <w:sz w:val="24"/>
          <w:szCs w:val="24"/>
        </w:rPr>
        <w:t>（</w:t>
      </w:r>
      <w:r>
        <w:rPr>
          <w:rFonts w:ascii="宋体" w:hAnsi="宋体"/>
          <w:sz w:val="24"/>
          <w:szCs w:val="24"/>
        </w:rPr>
        <w:t>7）意向投资方存在</w:t>
      </w:r>
      <w:r>
        <w:rPr>
          <w:rFonts w:hint="eastAsia" w:ascii="宋体" w:hAnsi="宋体"/>
          <w:sz w:val="24"/>
          <w:szCs w:val="24"/>
        </w:rPr>
        <w:t>在</w:t>
      </w:r>
      <w:r>
        <w:rPr>
          <w:rFonts w:ascii="宋体" w:hAnsi="宋体"/>
          <w:sz w:val="24"/>
          <w:szCs w:val="24"/>
        </w:rPr>
        <w:t>重大方面影响标的正常转让、竞价公正性或其他竞价程序要求的情形的；</w:t>
      </w:r>
    </w:p>
    <w:p>
      <w:pPr>
        <w:spacing w:line="500" w:lineRule="atLeast"/>
        <w:ind w:firstLine="480" w:firstLineChars="200"/>
        <w:rPr>
          <w:rFonts w:ascii="宋体" w:hAnsi="宋体"/>
          <w:sz w:val="24"/>
        </w:rPr>
      </w:pPr>
      <w:r>
        <w:rPr>
          <w:rFonts w:hint="eastAsia" w:ascii="宋体" w:hAnsi="宋体"/>
          <w:sz w:val="24"/>
          <w:szCs w:val="24"/>
        </w:rPr>
        <w:t>（十八）意向投资方法定代表人不能参加增资活动的，需提前办理授权委托书，委托代理人，代理人必须向组织人相关工作人员出示</w:t>
      </w:r>
      <w:r>
        <w:rPr>
          <w:rFonts w:hint="eastAsia" w:ascii="宋体" w:hAnsi="宋体"/>
          <w:sz w:val="24"/>
        </w:rPr>
        <w:t>有效的委托文件原件及本人身份证原件或其他有效身份证件</w:t>
      </w:r>
      <w:r>
        <w:rPr>
          <w:rFonts w:hint="eastAsia" w:ascii="宋体" w:hAnsi="宋体"/>
          <w:sz w:val="24"/>
          <w:szCs w:val="24"/>
        </w:rPr>
        <w:t>，并经组织人确认同意方可进入增资活动现场代理参加增资活动，否则视为该意向投资方违反约定和干扰秩序</w:t>
      </w:r>
      <w:r>
        <w:rPr>
          <w:rFonts w:hint="eastAsia" w:ascii="宋体" w:hAnsi="宋体"/>
          <w:sz w:val="24"/>
        </w:rPr>
        <w:t>。</w:t>
      </w:r>
    </w:p>
    <w:p>
      <w:pPr>
        <w:spacing w:line="500" w:lineRule="atLeast"/>
        <w:ind w:firstLine="480" w:firstLineChars="200"/>
        <w:rPr>
          <w:rFonts w:ascii="宋体"/>
          <w:sz w:val="24"/>
          <w:szCs w:val="24"/>
        </w:rPr>
      </w:pPr>
      <w:r>
        <w:rPr>
          <w:rFonts w:hint="eastAsia" w:ascii="宋体" w:hAnsi="宋体"/>
          <w:sz w:val="24"/>
          <w:szCs w:val="24"/>
        </w:rPr>
        <w:t>（十九）意向投资方进入增资活动现场必须遵守现场活动公共秩序，不得阻挠其他意向投资方参与增资活动，不得阻碍组织人进行正常的工作，更不得有恶意操纵他人等违法行为，一经发现，将取消该意向投资方参与投资资格并由其承担全部法律责任，其所交增资保证金由组织人直接支付给申请方所有。</w:t>
      </w:r>
    </w:p>
    <w:p>
      <w:pPr>
        <w:spacing w:line="500" w:lineRule="atLeast"/>
        <w:ind w:firstLine="480" w:firstLineChars="200"/>
        <w:rPr>
          <w:rFonts w:ascii="宋体"/>
          <w:sz w:val="24"/>
          <w:szCs w:val="24"/>
        </w:rPr>
      </w:pPr>
      <w:r>
        <w:rPr>
          <w:rFonts w:hint="eastAsia" w:ascii="宋体" w:hAnsi="宋体"/>
          <w:sz w:val="24"/>
          <w:szCs w:val="24"/>
        </w:rPr>
        <w:t>（二十）意向投资方应自行承担其参与增资活动（包括但不限于完成报名手续和递交有关文件）所涉及的一切费用，不论结果如何，在任何情况下组织人及融资方均无义务承担此费用。</w:t>
      </w:r>
    </w:p>
    <w:p>
      <w:pPr>
        <w:spacing w:line="500" w:lineRule="atLeast"/>
        <w:ind w:firstLine="480" w:firstLineChars="200"/>
        <w:rPr>
          <w:rFonts w:ascii="宋体" w:hAnsi="宋体"/>
          <w:sz w:val="24"/>
          <w:szCs w:val="24"/>
        </w:rPr>
      </w:pPr>
      <w:r>
        <w:rPr>
          <w:rFonts w:hint="eastAsia" w:ascii="宋体" w:hAnsi="宋体"/>
          <w:sz w:val="24"/>
          <w:szCs w:val="24"/>
        </w:rPr>
        <w:t>（二十一）申请方应按增资协议规定时间提交标的企业工商变更、办证及过户所需相关资料，标的企业所涉及的工商变更、办证及过户等相关事宜过程中所产生的税、费等均由申请方、投资方按国家规定各自承担并自行办理有关事项。投资方的新股东资格自完成工商变更过户后正式确立取得。</w:t>
      </w:r>
    </w:p>
    <w:p>
      <w:pPr>
        <w:spacing w:line="500" w:lineRule="atLeast"/>
        <w:ind w:firstLine="480" w:firstLineChars="200"/>
        <w:rPr>
          <w:rFonts w:ascii="宋体" w:hAnsi="宋体"/>
          <w:sz w:val="24"/>
          <w:szCs w:val="24"/>
        </w:rPr>
      </w:pPr>
      <w:r>
        <w:rPr>
          <w:rFonts w:hint="eastAsia" w:ascii="宋体" w:hAnsi="宋体"/>
          <w:sz w:val="24"/>
          <w:szCs w:val="24"/>
        </w:rPr>
        <w:t>（二十二）投资方应确保自身主体资格能符合审批机关、工商管理等部门对投资方主体资格的要求，否则投资方应承担全部法律责任，且其所交保证金由组织人直接支付给申请方所有。</w:t>
      </w:r>
    </w:p>
    <w:p>
      <w:pPr>
        <w:spacing w:line="500" w:lineRule="atLeast"/>
        <w:ind w:firstLine="480" w:firstLineChars="200"/>
        <w:rPr>
          <w:rFonts w:ascii="宋体" w:hAnsi="宋体"/>
          <w:sz w:val="24"/>
          <w:szCs w:val="24"/>
        </w:rPr>
      </w:pPr>
      <w:r>
        <w:rPr>
          <w:rFonts w:hint="eastAsia" w:ascii="宋体" w:hAnsi="宋体"/>
          <w:sz w:val="24"/>
          <w:szCs w:val="24"/>
        </w:rPr>
        <w:t>投资方为境外投资者的，应当符合外商投资产业指导目录和负面清单管理要求，以及外商投资安全审查有关规定。</w:t>
      </w:r>
    </w:p>
    <w:p>
      <w:pPr>
        <w:spacing w:line="500" w:lineRule="atLeast"/>
        <w:ind w:firstLine="480" w:firstLineChars="200"/>
        <w:rPr>
          <w:rFonts w:ascii="宋体"/>
          <w:sz w:val="24"/>
          <w:szCs w:val="24"/>
        </w:rPr>
      </w:pPr>
      <w:r>
        <w:rPr>
          <w:rFonts w:hint="eastAsia" w:ascii="宋体" w:hAnsi="宋体"/>
          <w:sz w:val="24"/>
          <w:szCs w:val="24"/>
        </w:rPr>
        <w:t>（二十三）申请方有权在增资活动开始前撤回标的。若因申请方撤回标的不可抗力因素或其他特殊的重要原因，组织人有权取消或推迟本次增资活动，由此对意向投资方造成的损失由意向投资方自负，意向投资方不得</w:t>
      </w:r>
      <w:r>
        <w:rPr>
          <w:rFonts w:hint="eastAsia" w:ascii="宋体" w:hAnsi="宋体"/>
          <w:bCs/>
          <w:sz w:val="24"/>
          <w:szCs w:val="24"/>
        </w:rPr>
        <w:t>向</w:t>
      </w:r>
      <w:r>
        <w:rPr>
          <w:rFonts w:hint="eastAsia" w:ascii="宋体" w:hAnsi="宋体"/>
          <w:sz w:val="24"/>
          <w:szCs w:val="24"/>
        </w:rPr>
        <w:t>申请方</w:t>
      </w:r>
      <w:r>
        <w:rPr>
          <w:rFonts w:hint="eastAsia" w:ascii="宋体" w:hAnsi="宋体"/>
          <w:bCs/>
          <w:sz w:val="24"/>
          <w:szCs w:val="24"/>
        </w:rPr>
        <w:t>、组织人追索保证金利息及其他任何费用与责任。</w:t>
      </w:r>
    </w:p>
    <w:p>
      <w:pPr>
        <w:spacing w:line="500" w:lineRule="atLeast"/>
        <w:ind w:firstLine="480" w:firstLineChars="200"/>
        <w:rPr>
          <w:rFonts w:ascii="宋体"/>
          <w:sz w:val="24"/>
          <w:szCs w:val="24"/>
        </w:rPr>
      </w:pPr>
      <w:r>
        <w:rPr>
          <w:rFonts w:hint="eastAsia" w:ascii="宋体" w:hAnsi="宋体"/>
          <w:sz w:val="24"/>
          <w:szCs w:val="24"/>
        </w:rPr>
        <w:t>（二十四）组织人在本增资文件中或其他材料中所作出的关于本项目的说明仅作为一般性介绍供意向投资方参考，不表明组织人做出担保，本次增资活动所提供的文件资料若因印刷、拷贝或摄影造成资料与实物或标的实际情况有误差的，以实物或标的情况现状及有效证件为准。如遇特殊情况，组织人有权对本增资文件进行修正，如有修正，将在增资活动开始前以书面形式或在增资活动上口头公开告知全体参会意向投资方。</w:t>
      </w:r>
    </w:p>
    <w:p>
      <w:pPr>
        <w:numPr>
          <w:ilvl w:val="0"/>
          <w:numId w:val="2"/>
        </w:numPr>
        <w:spacing w:line="500" w:lineRule="atLeast"/>
        <w:rPr>
          <w:rFonts w:ascii="宋体"/>
          <w:b/>
          <w:sz w:val="24"/>
          <w:szCs w:val="24"/>
        </w:rPr>
      </w:pPr>
      <w:r>
        <w:rPr>
          <w:rFonts w:hint="eastAsia" w:ascii="宋体" w:hAnsi="宋体"/>
          <w:b/>
          <w:sz w:val="24"/>
          <w:szCs w:val="24"/>
        </w:rPr>
        <w:t>本项目相关情况说明</w:t>
      </w:r>
    </w:p>
    <w:p>
      <w:pPr>
        <w:spacing w:line="500" w:lineRule="atLeast"/>
        <w:ind w:firstLine="480" w:firstLineChars="200"/>
        <w:rPr>
          <w:rFonts w:ascii="宋体" w:hAnsi="宋体"/>
          <w:sz w:val="24"/>
          <w:szCs w:val="24"/>
        </w:rPr>
      </w:pPr>
      <w:r>
        <w:rPr>
          <w:rFonts w:hint="eastAsia" w:ascii="宋体" w:hAnsi="宋体"/>
          <w:sz w:val="24"/>
          <w:szCs w:val="24"/>
        </w:rPr>
        <w:t>（一）资产评估基准日到增资工商变更完成日期间的损益处理方式：由新老股东按持股比例共享。</w:t>
      </w:r>
    </w:p>
    <w:p>
      <w:pPr>
        <w:spacing w:line="500" w:lineRule="atLeast"/>
        <w:ind w:firstLine="480" w:firstLineChars="200"/>
        <w:rPr>
          <w:rFonts w:ascii="宋体"/>
          <w:sz w:val="24"/>
          <w:szCs w:val="24"/>
        </w:rPr>
      </w:pPr>
      <w:r>
        <w:rPr>
          <w:rFonts w:hint="eastAsia" w:ascii="宋体" w:hAnsi="宋体"/>
          <w:sz w:val="24"/>
          <w:szCs w:val="24"/>
        </w:rPr>
        <w:t>（二）其他有关海正博锐具体情况详见审计、评估机构出具的相应《审计报告》、《评估报告》和律师事务所出具的《法律意见书》。</w:t>
      </w:r>
    </w:p>
    <w:p>
      <w:pPr>
        <w:spacing w:line="500" w:lineRule="atLeast"/>
        <w:ind w:firstLine="480" w:firstLineChars="200"/>
        <w:rPr>
          <w:rFonts w:ascii="宋体" w:hAnsi="宋体"/>
          <w:sz w:val="24"/>
          <w:szCs w:val="24"/>
        </w:rPr>
      </w:pPr>
      <w:r>
        <w:rPr>
          <w:rFonts w:hint="eastAsia" w:ascii="宋体" w:hAnsi="宋体"/>
          <w:sz w:val="24"/>
          <w:szCs w:val="24"/>
        </w:rPr>
        <w:t>（三）增资文件的解释权归申请方和组织人。</w:t>
      </w:r>
    </w:p>
    <w:p>
      <w:pPr>
        <w:spacing w:line="500" w:lineRule="atLeast"/>
        <w:ind w:firstLine="3240" w:firstLineChars="1350"/>
        <w:jc w:val="center"/>
        <w:rPr>
          <w:rFonts w:ascii="宋体"/>
          <w:sz w:val="24"/>
          <w:szCs w:val="24"/>
        </w:rPr>
      </w:pPr>
      <w:r>
        <w:rPr>
          <w:rFonts w:hint="eastAsia" w:ascii="宋体" w:hAnsi="宋体"/>
          <w:sz w:val="24"/>
          <w:szCs w:val="24"/>
        </w:rPr>
        <w:t>台州市产权交易所有限公司</w:t>
      </w:r>
    </w:p>
    <w:p>
      <w:pPr>
        <w:spacing w:line="500" w:lineRule="atLeast"/>
        <w:ind w:firstLine="3240" w:firstLineChars="1350"/>
        <w:jc w:val="center"/>
        <w:rPr>
          <w:rFonts w:ascii="宋体" w:hAnsi="宋体"/>
          <w:b/>
          <w:sz w:val="28"/>
          <w:szCs w:val="28"/>
        </w:rPr>
      </w:pPr>
      <w:r>
        <w:rPr>
          <w:rFonts w:hint="eastAsia" w:ascii="宋体" w:hAnsi="宋体"/>
          <w:sz w:val="24"/>
        </w:rPr>
        <w:t>二〇一九年 七 月十日</w:t>
      </w:r>
      <w:r>
        <w:rPr>
          <w:rFonts w:ascii="宋体" w:hAnsi="宋体"/>
          <w:b/>
          <w:sz w:val="28"/>
          <w:szCs w:val="28"/>
        </w:rPr>
        <w:br w:type="page"/>
      </w:r>
    </w:p>
    <w:p>
      <w:pPr>
        <w:pStyle w:val="2"/>
        <w:jc w:val="center"/>
        <w:rPr>
          <w:szCs w:val="32"/>
        </w:rPr>
      </w:pPr>
      <w:bookmarkStart w:id="7" w:name="_Toc10054"/>
      <w:r>
        <w:rPr>
          <w:rFonts w:hint="eastAsia"/>
          <w:szCs w:val="32"/>
        </w:rPr>
        <w:t>增资扩股投资申请书</w:t>
      </w:r>
      <w:bookmarkEnd w:id="7"/>
    </w:p>
    <w:p>
      <w:pPr>
        <w:jc w:val="center"/>
        <w:rPr>
          <w:rFonts w:eastAsia="仿宋_GB2312"/>
          <w:sz w:val="30"/>
        </w:rPr>
      </w:pPr>
    </w:p>
    <w:p>
      <w:pPr>
        <w:jc w:val="center"/>
        <w:rPr>
          <w:rFonts w:eastAsia="仿宋_GB2312"/>
          <w:sz w:val="30"/>
        </w:rPr>
      </w:pPr>
    </w:p>
    <w:p>
      <w:pPr>
        <w:ind w:left="899" w:leftChars="428" w:firstLine="1"/>
        <w:rPr>
          <w:rFonts w:ascii="宋体"/>
          <w:sz w:val="32"/>
          <w:szCs w:val="32"/>
        </w:rPr>
      </w:pPr>
      <w:r>
        <w:rPr>
          <w:rFonts w:hint="eastAsia" w:ascii="宋体" w:hAnsi="宋体"/>
          <w:sz w:val="32"/>
          <w:szCs w:val="32"/>
        </w:rPr>
        <w:t>项目名称：</w:t>
      </w:r>
    </w:p>
    <w:p>
      <w:pPr>
        <w:ind w:left="899" w:leftChars="428" w:firstLine="1"/>
        <w:rPr>
          <w:rFonts w:ascii="宋体"/>
          <w:sz w:val="32"/>
          <w:szCs w:val="32"/>
        </w:rPr>
      </w:pPr>
      <w:r>
        <w:rPr>
          <w:rFonts w:hint="eastAsia" w:ascii="宋体" w:hAnsi="宋体"/>
          <w:sz w:val="32"/>
          <w:szCs w:val="32"/>
        </w:rPr>
        <w:t>项目编号：</w:t>
      </w:r>
    </w:p>
    <w:p>
      <w:pPr>
        <w:rPr>
          <w:rFonts w:ascii="宋体"/>
          <w:sz w:val="32"/>
          <w:szCs w:val="32"/>
        </w:rPr>
      </w:pPr>
    </w:p>
    <w:p>
      <w:pPr>
        <w:rPr>
          <w:rFonts w:ascii="宋体"/>
          <w:sz w:val="32"/>
          <w:szCs w:val="32"/>
        </w:rPr>
      </w:pPr>
    </w:p>
    <w:p>
      <w:pPr>
        <w:ind w:firstLine="800" w:firstLineChars="250"/>
        <w:rPr>
          <w:rFonts w:ascii="宋体"/>
          <w:sz w:val="32"/>
          <w:szCs w:val="32"/>
        </w:rPr>
      </w:pPr>
      <w:r>
        <w:rPr>
          <w:rFonts w:hint="eastAsia" w:ascii="宋体" w:hAnsi="宋体"/>
          <w:sz w:val="32"/>
          <w:szCs w:val="32"/>
        </w:rPr>
        <w:t>申请人：（意向投资方盖章或签字）</w:t>
      </w:r>
    </w:p>
    <w:p>
      <w:pPr>
        <w:rPr>
          <w:rFonts w:ascii="宋体"/>
          <w:sz w:val="32"/>
          <w:szCs w:val="32"/>
        </w:rPr>
      </w:pPr>
    </w:p>
    <w:p>
      <w:pPr>
        <w:rPr>
          <w:rFonts w:ascii="宋体"/>
          <w:sz w:val="32"/>
          <w:szCs w:val="32"/>
        </w:rPr>
      </w:pPr>
    </w:p>
    <w:p>
      <w:pPr>
        <w:ind w:firstLine="960" w:firstLineChars="300"/>
        <w:rPr>
          <w:rFonts w:ascii="宋体"/>
          <w:sz w:val="32"/>
          <w:szCs w:val="32"/>
        </w:rPr>
      </w:pPr>
      <w:r>
        <w:rPr>
          <w:rFonts w:hint="eastAsia" w:ascii="宋体" w:hAnsi="宋体"/>
          <w:sz w:val="32"/>
          <w:szCs w:val="32"/>
        </w:rPr>
        <w:t>法定代表人或授权代表（签字）：</w:t>
      </w:r>
    </w:p>
    <w:p>
      <w:pPr>
        <w:rPr>
          <w:rFonts w:ascii="宋体"/>
          <w:sz w:val="32"/>
          <w:szCs w:val="32"/>
        </w:rPr>
      </w:pPr>
    </w:p>
    <w:p>
      <w:pPr>
        <w:rPr>
          <w:rFonts w:ascii="宋体"/>
          <w:sz w:val="32"/>
          <w:szCs w:val="32"/>
        </w:rPr>
      </w:pPr>
    </w:p>
    <w:p>
      <w:pPr>
        <w:rPr>
          <w:rFonts w:ascii="宋体"/>
          <w:sz w:val="32"/>
          <w:szCs w:val="32"/>
        </w:rPr>
      </w:pPr>
    </w:p>
    <w:p>
      <w:pPr>
        <w:rPr>
          <w:rFonts w:ascii="宋体"/>
          <w:sz w:val="32"/>
          <w:szCs w:val="32"/>
        </w:rPr>
      </w:pPr>
    </w:p>
    <w:p>
      <w:pPr>
        <w:rPr>
          <w:rFonts w:ascii="宋体"/>
          <w:sz w:val="32"/>
          <w:szCs w:val="32"/>
        </w:rPr>
      </w:pPr>
    </w:p>
    <w:p>
      <w:pPr>
        <w:rPr>
          <w:rFonts w:ascii="宋体"/>
          <w:sz w:val="32"/>
          <w:szCs w:val="32"/>
        </w:rPr>
      </w:pPr>
    </w:p>
    <w:p>
      <w:pPr>
        <w:rPr>
          <w:rFonts w:ascii="宋体"/>
          <w:sz w:val="32"/>
          <w:szCs w:val="32"/>
        </w:rPr>
      </w:pPr>
    </w:p>
    <w:p>
      <w:pPr>
        <w:ind w:right="600" w:firstLine="2700"/>
        <w:rPr>
          <w:rFonts w:ascii="宋体"/>
          <w:sz w:val="32"/>
          <w:szCs w:val="32"/>
        </w:rPr>
      </w:pPr>
      <w:r>
        <w:rPr>
          <w:rFonts w:hint="eastAsia" w:ascii="宋体" w:hAnsi="宋体"/>
          <w:sz w:val="32"/>
          <w:szCs w:val="32"/>
        </w:rPr>
        <w:t>申请日期：  年   月   日</w:t>
      </w:r>
    </w:p>
    <w:p>
      <w:pPr>
        <w:adjustRightInd w:val="0"/>
        <w:snapToGrid w:val="0"/>
        <w:spacing w:after="120" w:line="360" w:lineRule="auto"/>
        <w:jc w:val="center"/>
        <w:rPr>
          <w:rFonts w:ascii="宋体" w:hAnsi="宋体"/>
          <w:b/>
          <w:sz w:val="32"/>
          <w:szCs w:val="32"/>
        </w:rPr>
      </w:pPr>
    </w:p>
    <w:p>
      <w:pPr>
        <w:adjustRightInd w:val="0"/>
        <w:snapToGrid w:val="0"/>
        <w:spacing w:after="120" w:line="360" w:lineRule="auto"/>
        <w:jc w:val="center"/>
        <w:rPr>
          <w:rFonts w:ascii="宋体"/>
          <w:b/>
          <w:sz w:val="32"/>
          <w:szCs w:val="32"/>
        </w:rPr>
      </w:pPr>
      <w:r>
        <w:rPr>
          <w:rFonts w:ascii="宋体" w:hAnsi="宋体"/>
          <w:b/>
          <w:sz w:val="32"/>
          <w:szCs w:val="32"/>
        </w:rPr>
        <w:br w:type="page"/>
      </w:r>
      <w:r>
        <w:rPr>
          <w:rFonts w:hint="eastAsia" w:ascii="宋体" w:hAnsi="宋体"/>
          <w:b/>
          <w:sz w:val="32"/>
          <w:szCs w:val="32"/>
        </w:rPr>
        <w:t>投资申请与承诺</w:t>
      </w:r>
    </w:p>
    <w:p>
      <w:pPr>
        <w:adjustRightInd w:val="0"/>
        <w:snapToGrid w:val="0"/>
        <w:spacing w:after="120" w:line="500" w:lineRule="exact"/>
        <w:rPr>
          <w:rFonts w:ascii="宋体"/>
          <w:b/>
          <w:sz w:val="24"/>
          <w:szCs w:val="24"/>
        </w:rPr>
      </w:pPr>
      <w:r>
        <w:rPr>
          <w:rFonts w:hint="eastAsia" w:ascii="宋体" w:hAnsi="宋体"/>
          <w:b/>
          <w:sz w:val="24"/>
          <w:szCs w:val="24"/>
        </w:rPr>
        <w:t>台州市产权交易所有限公司：</w:t>
      </w:r>
    </w:p>
    <w:p>
      <w:pPr>
        <w:adjustRightInd w:val="0"/>
        <w:snapToGrid w:val="0"/>
        <w:spacing w:line="360" w:lineRule="auto"/>
        <w:ind w:firstLine="470" w:firstLineChars="196"/>
        <w:rPr>
          <w:rFonts w:ascii="宋体"/>
          <w:b/>
          <w:sz w:val="24"/>
          <w:szCs w:val="24"/>
        </w:rPr>
      </w:pPr>
      <w:r>
        <w:rPr>
          <w:rFonts w:hint="eastAsia" w:ascii="宋体" w:hAnsi="宋体"/>
          <w:sz w:val="24"/>
          <w:szCs w:val="24"/>
        </w:rPr>
        <w:t>本意向投资方向贵所提出申请，意向投资浙江海正博锐生物制药有限公司新增8,928.5714万元注册资本项目，请予审核。本意向投资方依照公开、公平、公正、诚实信用的原则，作出如下承诺：</w:t>
      </w:r>
    </w:p>
    <w:p>
      <w:pPr>
        <w:adjustRightInd w:val="0"/>
        <w:snapToGrid w:val="0"/>
        <w:spacing w:line="360" w:lineRule="auto"/>
        <w:ind w:firstLine="470" w:firstLineChars="196"/>
        <w:jc w:val="left"/>
        <w:rPr>
          <w:rFonts w:ascii="宋体"/>
          <w:sz w:val="24"/>
          <w:szCs w:val="24"/>
        </w:rPr>
      </w:pPr>
      <w:r>
        <w:rPr>
          <w:rFonts w:ascii="宋体" w:hAnsi="宋体"/>
          <w:sz w:val="24"/>
          <w:szCs w:val="24"/>
        </w:rPr>
        <w:t>1</w:t>
      </w:r>
      <w:r>
        <w:rPr>
          <w:rFonts w:hint="eastAsia" w:ascii="宋体" w:hAnsi="宋体"/>
          <w:sz w:val="24"/>
          <w:szCs w:val="24"/>
        </w:rPr>
        <w:t>、本次投资是我方真实意愿表示，相关行为已经过有效的内部决策并得到相应的批准，所提交材料及投资申请中内容不存在虚假记载、误导性陈述或重大遗漏，我方对其真实性、完整性、合法性、有效性承担相应的法律责任。</w:t>
      </w:r>
    </w:p>
    <w:p>
      <w:pPr>
        <w:adjustRightInd w:val="0"/>
        <w:snapToGrid w:val="0"/>
        <w:spacing w:line="360" w:lineRule="auto"/>
        <w:ind w:firstLine="470" w:firstLineChars="196"/>
        <w:jc w:val="left"/>
        <w:rPr>
          <w:rFonts w:ascii="宋体" w:hAnsi="宋体"/>
          <w:sz w:val="24"/>
          <w:szCs w:val="24"/>
        </w:rPr>
      </w:pPr>
      <w:r>
        <w:rPr>
          <w:rFonts w:ascii="宋体" w:hAnsi="宋体"/>
          <w:sz w:val="24"/>
          <w:szCs w:val="24"/>
        </w:rPr>
        <w:t>2</w:t>
      </w:r>
      <w:r>
        <w:rPr>
          <w:rFonts w:hint="eastAsia" w:ascii="宋体" w:hAnsi="宋体"/>
          <w:sz w:val="24"/>
          <w:szCs w:val="24"/>
        </w:rPr>
        <w:t>、我方系合法有效存续的企业或其他组织，能独立承担民事责任，具有良好的财务状况、支付能力和商业信用，且资金来源合法，符合有关法律法规及本项目对投资方应当具备条件的规定。</w:t>
      </w:r>
    </w:p>
    <w:p>
      <w:pPr>
        <w:adjustRightInd w:val="0"/>
        <w:snapToGrid w:val="0"/>
        <w:spacing w:line="360" w:lineRule="auto"/>
        <w:ind w:firstLine="450"/>
        <w:rPr>
          <w:rFonts w:ascii="宋体"/>
          <w:sz w:val="24"/>
          <w:szCs w:val="24"/>
        </w:rPr>
      </w:pPr>
      <w:r>
        <w:rPr>
          <w:rFonts w:ascii="宋体" w:hAnsi="宋体"/>
          <w:sz w:val="24"/>
          <w:szCs w:val="24"/>
        </w:rPr>
        <w:t>3</w:t>
      </w:r>
      <w:r>
        <w:rPr>
          <w:rFonts w:hint="eastAsia" w:ascii="宋体" w:hAnsi="宋体"/>
          <w:sz w:val="24"/>
          <w:szCs w:val="24"/>
        </w:rPr>
        <w:t>、我方已</w:t>
      </w:r>
      <w:r>
        <w:rPr>
          <w:rFonts w:hint="eastAsia" w:ascii="宋体" w:hAnsi="宋体"/>
          <w:bCs/>
          <w:sz w:val="24"/>
          <w:szCs w:val="24"/>
        </w:rPr>
        <w:t>充分了解并接受《增资文件》的全部内容和要求，已认真考虑了融资方</w:t>
      </w:r>
      <w:r>
        <w:rPr>
          <w:rFonts w:hint="eastAsia" w:ascii="宋体" w:hAnsi="宋体"/>
          <w:sz w:val="24"/>
          <w:szCs w:val="24"/>
        </w:rPr>
        <w:t>经营、行业、市场、政策以及其他不可预计的</w:t>
      </w:r>
      <w:r>
        <w:rPr>
          <w:rFonts w:hint="eastAsia" w:ascii="宋体" w:hAnsi="宋体"/>
          <w:bCs/>
          <w:sz w:val="24"/>
          <w:szCs w:val="24"/>
        </w:rPr>
        <w:t>各项风险因素，</w:t>
      </w:r>
      <w:r>
        <w:rPr>
          <w:rFonts w:hint="eastAsia" w:ascii="宋体" w:hAnsi="宋体"/>
          <w:sz w:val="24"/>
          <w:szCs w:val="24"/>
        </w:rPr>
        <w:t>自主判断企业的投资价值，自主做出投资决策，自行承担投资风险。</w:t>
      </w:r>
    </w:p>
    <w:p>
      <w:pPr>
        <w:adjustRightInd w:val="0"/>
        <w:snapToGrid w:val="0"/>
        <w:spacing w:line="360" w:lineRule="auto"/>
        <w:ind w:firstLine="450"/>
        <w:rPr>
          <w:rFonts w:ascii="宋体"/>
          <w:bCs/>
          <w:sz w:val="24"/>
          <w:szCs w:val="24"/>
        </w:rPr>
      </w:pPr>
      <w:r>
        <w:rPr>
          <w:rFonts w:ascii="宋体" w:hAnsi="宋体"/>
          <w:bCs/>
          <w:sz w:val="24"/>
          <w:szCs w:val="24"/>
        </w:rPr>
        <w:t>4</w:t>
      </w:r>
      <w:r>
        <w:rPr>
          <w:rFonts w:hint="eastAsia" w:ascii="宋体" w:hAnsi="宋体"/>
          <w:bCs/>
          <w:sz w:val="24"/>
          <w:szCs w:val="24"/>
        </w:rPr>
        <w:t>、我方非《</w:t>
      </w:r>
      <w:bookmarkStart w:id="8" w:name="OLE_LINK2"/>
      <w:bookmarkStart w:id="9" w:name="OLE_LINK1"/>
      <w:bookmarkStart w:id="10" w:name="OLE_LINK3"/>
      <w:r>
        <w:rPr>
          <w:rFonts w:hint="eastAsia" w:ascii="宋体" w:hAnsi="宋体"/>
          <w:bCs/>
          <w:sz w:val="24"/>
          <w:szCs w:val="24"/>
        </w:rPr>
        <w:t>企业国有产权向管理层转让暂行规</w:t>
      </w:r>
      <w:bookmarkEnd w:id="8"/>
      <w:bookmarkEnd w:id="9"/>
      <w:bookmarkEnd w:id="10"/>
      <w:r>
        <w:rPr>
          <w:rFonts w:hint="eastAsia" w:ascii="宋体" w:hAnsi="宋体"/>
          <w:bCs/>
          <w:sz w:val="24"/>
          <w:szCs w:val="24"/>
        </w:rPr>
        <w:t>定》中所称的管理层投资方，也未接受管理层的委托投资。（非管理层适用）。</w:t>
      </w:r>
    </w:p>
    <w:p>
      <w:pPr>
        <w:adjustRightInd w:val="0"/>
        <w:snapToGrid w:val="0"/>
        <w:spacing w:line="360" w:lineRule="auto"/>
        <w:ind w:firstLine="450"/>
        <w:rPr>
          <w:rFonts w:ascii="宋体"/>
          <w:bCs/>
          <w:sz w:val="24"/>
          <w:szCs w:val="24"/>
        </w:rPr>
      </w:pPr>
      <w:r>
        <w:rPr>
          <w:rFonts w:ascii="宋体" w:hAnsi="宋体" w:cs="宋体"/>
          <w:kern w:val="0"/>
          <w:sz w:val="24"/>
          <w:szCs w:val="24"/>
        </w:rPr>
        <w:t>5</w:t>
      </w:r>
      <w:r>
        <w:rPr>
          <w:rFonts w:hint="eastAsia" w:ascii="宋体" w:hAnsi="宋体" w:cs="宋体"/>
          <w:kern w:val="0"/>
          <w:sz w:val="24"/>
          <w:szCs w:val="24"/>
        </w:rPr>
        <w:t>、</w:t>
      </w:r>
      <w:r>
        <w:rPr>
          <w:rFonts w:hint="eastAsia" w:ascii="宋体" w:hAnsi="宋体"/>
          <w:bCs/>
          <w:sz w:val="24"/>
          <w:szCs w:val="24"/>
        </w:rPr>
        <w:t>我方承诺按《增资文件》的要求交纳保证金，逾期未交纳的，视为放弃投资意向。</w:t>
      </w:r>
    </w:p>
    <w:p>
      <w:pPr>
        <w:adjustRightInd w:val="0"/>
        <w:snapToGrid w:val="0"/>
        <w:spacing w:line="360" w:lineRule="auto"/>
        <w:ind w:firstLine="450"/>
        <w:rPr>
          <w:rFonts w:ascii="宋体" w:cs="宋体"/>
          <w:kern w:val="0"/>
          <w:sz w:val="24"/>
          <w:szCs w:val="24"/>
        </w:rPr>
      </w:pPr>
      <w:r>
        <w:rPr>
          <w:rFonts w:ascii="宋体" w:hAnsi="宋体" w:cs="宋体"/>
          <w:kern w:val="0"/>
          <w:sz w:val="24"/>
          <w:szCs w:val="24"/>
        </w:rPr>
        <w:t>6</w:t>
      </w:r>
      <w:r>
        <w:rPr>
          <w:rFonts w:hint="eastAsia" w:ascii="宋体" w:hAnsi="宋体" w:cs="宋体"/>
          <w:kern w:val="0"/>
          <w:sz w:val="24"/>
          <w:szCs w:val="24"/>
        </w:rPr>
        <w:t>、若成为最终投资方，我方承诺向产权交易机构支付交易服务费支付人民币58万元。</w:t>
      </w:r>
    </w:p>
    <w:p>
      <w:pPr>
        <w:spacing w:line="360" w:lineRule="auto"/>
        <w:ind w:firstLine="480" w:firstLineChars="200"/>
        <w:rPr>
          <w:rFonts w:ascii="宋体" w:hAnsi="宋体"/>
          <w:sz w:val="24"/>
          <w:szCs w:val="24"/>
        </w:rPr>
      </w:pPr>
      <w:r>
        <w:rPr>
          <w:rFonts w:ascii="宋体" w:hAnsi="宋体"/>
          <w:sz w:val="24"/>
          <w:szCs w:val="24"/>
        </w:rPr>
        <w:t>7</w:t>
      </w:r>
      <w:r>
        <w:rPr>
          <w:rFonts w:hint="eastAsia" w:ascii="宋体" w:hAnsi="宋体"/>
          <w:sz w:val="24"/>
          <w:szCs w:val="24"/>
        </w:rPr>
        <w:t>、我方承诺在增资扩股过程中，遵守法律法规规定和《国有企业增资扩股操作规则（试行）》及产权交易机构的相关规定，按照有关程序及要求等履行我方义务。</w:t>
      </w:r>
    </w:p>
    <w:p>
      <w:pPr>
        <w:spacing w:line="360" w:lineRule="auto"/>
        <w:ind w:firstLine="480" w:firstLineChars="200"/>
        <w:rPr>
          <w:rFonts w:ascii="宋体"/>
          <w:sz w:val="24"/>
          <w:szCs w:val="24"/>
        </w:rPr>
      </w:pPr>
      <w:r>
        <w:rPr>
          <w:rFonts w:hint="eastAsia" w:ascii="宋体" w:hAnsi="宋体"/>
          <w:sz w:val="24"/>
          <w:szCs w:val="24"/>
        </w:rPr>
        <w:t>我方保证遵守以上承诺，如违反上述承诺或有违规行为，给增资扩股活动相关方造成损失的，我方愿意承担法律责任及经济赔偿责任。</w:t>
      </w:r>
    </w:p>
    <w:p>
      <w:pPr>
        <w:spacing w:line="360" w:lineRule="auto"/>
        <w:ind w:firstLine="480" w:firstLineChars="200"/>
        <w:rPr>
          <w:rFonts w:ascii="宋体"/>
          <w:sz w:val="24"/>
          <w:szCs w:val="24"/>
        </w:rPr>
      </w:pPr>
    </w:p>
    <w:p>
      <w:pPr>
        <w:spacing w:line="360" w:lineRule="auto"/>
        <w:ind w:firstLine="4920" w:firstLineChars="2050"/>
        <w:rPr>
          <w:rFonts w:ascii="宋体" w:hAnsi="宋体"/>
          <w:sz w:val="24"/>
          <w:szCs w:val="24"/>
        </w:rPr>
      </w:pPr>
      <w:r>
        <w:rPr>
          <w:rFonts w:hint="eastAsia" w:ascii="宋体" w:hAnsi="宋体"/>
          <w:sz w:val="24"/>
          <w:szCs w:val="24"/>
        </w:rPr>
        <w:t>意向投资方（盖章或签字）</w:t>
      </w:r>
    </w:p>
    <w:p>
      <w:pPr>
        <w:spacing w:line="360" w:lineRule="auto"/>
        <w:ind w:firstLine="4920" w:firstLineChars="2050"/>
        <w:rPr>
          <w:rFonts w:ascii="宋体" w:hAnsi="宋体"/>
          <w:sz w:val="24"/>
          <w:szCs w:val="24"/>
        </w:rPr>
      </w:pPr>
      <w:r>
        <w:rPr>
          <w:rFonts w:hint="eastAsia" w:ascii="宋体" w:hAnsi="宋体"/>
          <w:sz w:val="24"/>
          <w:szCs w:val="24"/>
        </w:rPr>
        <w:t>法定代表人或授权代表（签字）</w:t>
      </w:r>
    </w:p>
    <w:p>
      <w:pPr>
        <w:adjustRightInd w:val="0"/>
        <w:snapToGrid w:val="0"/>
        <w:spacing w:line="360" w:lineRule="auto"/>
        <w:ind w:right="630"/>
        <w:jc w:val="center"/>
        <w:rPr>
          <w:rFonts w:ascii="宋体"/>
          <w:b/>
          <w:sz w:val="32"/>
          <w:szCs w:val="32"/>
        </w:rPr>
      </w:pPr>
      <w:r>
        <w:rPr>
          <w:rFonts w:ascii="宋体" w:hAnsi="宋体"/>
          <w:b/>
          <w:sz w:val="32"/>
          <w:szCs w:val="32"/>
        </w:rPr>
        <w:br w:type="page"/>
      </w:r>
      <w:r>
        <w:rPr>
          <w:rFonts w:hint="eastAsia" w:ascii="宋体" w:hAnsi="宋体"/>
          <w:b/>
          <w:sz w:val="32"/>
          <w:szCs w:val="32"/>
        </w:rPr>
        <w:t>意向投资方基本情况</w:t>
      </w:r>
    </w:p>
    <w:p>
      <w:pPr>
        <w:jc w:val="right"/>
        <w:textAlignment w:val="baseline"/>
        <w:rPr>
          <w:rFonts w:ascii="宋体"/>
          <w:sz w:val="24"/>
        </w:rPr>
      </w:pPr>
    </w:p>
    <w:tbl>
      <w:tblPr>
        <w:tblStyle w:val="18"/>
        <w:tblW w:w="8676" w:type="dxa"/>
        <w:tblInd w:w="10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1843"/>
        <w:gridCol w:w="2268"/>
        <w:gridCol w:w="1559"/>
        <w:gridCol w:w="173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atLeast"/>
        </w:trPr>
        <w:tc>
          <w:tcPr>
            <w:tcW w:w="1276" w:type="dxa"/>
            <w:tcBorders>
              <w:top w:val="single" w:color="auto" w:sz="12" w:space="0"/>
            </w:tcBorders>
            <w:vAlign w:val="center"/>
          </w:tcPr>
          <w:p>
            <w:pPr>
              <w:jc w:val="center"/>
              <w:rPr>
                <w:rFonts w:ascii="宋体"/>
                <w:b/>
                <w:bCs/>
                <w:sz w:val="24"/>
              </w:rPr>
            </w:pPr>
            <w:r>
              <w:rPr>
                <w:rFonts w:hint="eastAsia" w:ascii="宋体" w:hAnsi="宋体"/>
                <w:b/>
                <w:bCs/>
                <w:sz w:val="24"/>
              </w:rPr>
              <w:t>名称</w:t>
            </w:r>
          </w:p>
        </w:tc>
        <w:tc>
          <w:tcPr>
            <w:tcW w:w="7400" w:type="dxa"/>
            <w:gridSpan w:val="4"/>
            <w:tcBorders>
              <w:top w:val="single" w:color="auto" w:sz="12" w:space="0"/>
            </w:tcBorders>
            <w:vAlign w:val="center"/>
          </w:tcPr>
          <w:p>
            <w:pPr>
              <w:jc w:val="center"/>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542" w:hRule="atLeast"/>
        </w:trPr>
        <w:tc>
          <w:tcPr>
            <w:tcW w:w="1276" w:type="dxa"/>
            <w:vMerge w:val="restart"/>
            <w:vAlign w:val="center"/>
          </w:tcPr>
          <w:p>
            <w:pPr>
              <w:jc w:val="center"/>
              <w:rPr>
                <w:rFonts w:ascii="宋体"/>
                <w:b/>
                <w:bCs/>
                <w:sz w:val="24"/>
              </w:rPr>
            </w:pPr>
            <w:r>
              <w:rPr>
                <w:rFonts w:hint="eastAsia" w:ascii="宋体" w:hAnsi="宋体"/>
                <w:b/>
                <w:bCs/>
                <w:sz w:val="24"/>
              </w:rPr>
              <w:t>基本</w:t>
            </w:r>
          </w:p>
          <w:p>
            <w:pPr>
              <w:jc w:val="center"/>
              <w:rPr>
                <w:rFonts w:ascii="宋体"/>
                <w:b/>
                <w:bCs/>
                <w:sz w:val="24"/>
              </w:rPr>
            </w:pPr>
            <w:r>
              <w:rPr>
                <w:rFonts w:hint="eastAsia" w:ascii="宋体" w:hAnsi="宋体"/>
                <w:b/>
                <w:bCs/>
                <w:sz w:val="24"/>
              </w:rPr>
              <w:t>情况</w:t>
            </w:r>
          </w:p>
        </w:tc>
        <w:tc>
          <w:tcPr>
            <w:tcW w:w="7400" w:type="dxa"/>
            <w:gridSpan w:val="4"/>
            <w:vAlign w:val="center"/>
          </w:tcPr>
          <w:p>
            <w:pPr>
              <w:ind w:firstLine="2940" w:firstLineChars="1400"/>
              <w:rPr>
                <w:rFonts w:ascii="宋体"/>
                <w:szCs w:val="21"/>
              </w:rPr>
            </w:pPr>
            <w:r>
              <w:rPr>
                <w:rFonts w:hint="eastAsia" w:ascii="宋体" w:hAnsi="宋体"/>
                <w:szCs w:val="21"/>
              </w:rPr>
              <w:t>法人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atLeast"/>
        </w:trPr>
        <w:tc>
          <w:tcPr>
            <w:tcW w:w="1276" w:type="dxa"/>
            <w:vMerge w:val="continue"/>
            <w:vAlign w:val="center"/>
          </w:tcPr>
          <w:p>
            <w:pPr>
              <w:rPr>
                <w:rFonts w:ascii="宋体"/>
                <w:b/>
                <w:sz w:val="24"/>
              </w:rPr>
            </w:pPr>
          </w:p>
        </w:tc>
        <w:tc>
          <w:tcPr>
            <w:tcW w:w="1843" w:type="dxa"/>
            <w:vAlign w:val="center"/>
          </w:tcPr>
          <w:p>
            <w:pPr>
              <w:jc w:val="center"/>
              <w:rPr>
                <w:rFonts w:ascii="宋体"/>
                <w:szCs w:val="21"/>
              </w:rPr>
            </w:pPr>
            <w:r>
              <w:rPr>
                <w:rFonts w:hint="eastAsia" w:ascii="宋体" w:hAnsi="宋体"/>
                <w:szCs w:val="21"/>
              </w:rPr>
              <w:t>住所</w:t>
            </w:r>
          </w:p>
        </w:tc>
        <w:tc>
          <w:tcPr>
            <w:tcW w:w="5557" w:type="dxa"/>
            <w:gridSpan w:val="3"/>
            <w:vAlign w:val="center"/>
          </w:tcPr>
          <w:p>
            <w:pPr>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atLeast"/>
        </w:trPr>
        <w:tc>
          <w:tcPr>
            <w:tcW w:w="1276" w:type="dxa"/>
            <w:vMerge w:val="continue"/>
            <w:vAlign w:val="center"/>
          </w:tcPr>
          <w:p>
            <w:pPr>
              <w:rPr>
                <w:rFonts w:ascii="宋体"/>
                <w:b/>
                <w:sz w:val="24"/>
              </w:rPr>
            </w:pPr>
          </w:p>
        </w:tc>
        <w:tc>
          <w:tcPr>
            <w:tcW w:w="1843" w:type="dxa"/>
            <w:vAlign w:val="center"/>
          </w:tcPr>
          <w:p>
            <w:pPr>
              <w:jc w:val="center"/>
              <w:rPr>
                <w:rFonts w:ascii="宋体"/>
                <w:szCs w:val="21"/>
              </w:rPr>
            </w:pPr>
            <w:r>
              <w:rPr>
                <w:rFonts w:hint="eastAsia" w:ascii="宋体" w:hAnsi="宋体"/>
                <w:szCs w:val="21"/>
              </w:rPr>
              <w:t>注册资本</w:t>
            </w:r>
          </w:p>
        </w:tc>
        <w:tc>
          <w:tcPr>
            <w:tcW w:w="2268" w:type="dxa"/>
            <w:vAlign w:val="center"/>
          </w:tcPr>
          <w:p>
            <w:pPr>
              <w:rPr>
                <w:rFonts w:ascii="宋体"/>
                <w:szCs w:val="21"/>
              </w:rPr>
            </w:pPr>
          </w:p>
        </w:tc>
        <w:tc>
          <w:tcPr>
            <w:tcW w:w="1559" w:type="dxa"/>
            <w:vAlign w:val="center"/>
          </w:tcPr>
          <w:p>
            <w:pPr>
              <w:rPr>
                <w:rFonts w:ascii="宋体"/>
                <w:szCs w:val="21"/>
              </w:rPr>
            </w:pPr>
            <w:r>
              <w:rPr>
                <w:rFonts w:hint="eastAsia" w:ascii="宋体" w:hAnsi="宋体"/>
                <w:szCs w:val="21"/>
              </w:rPr>
              <w:t>法定代表人</w:t>
            </w:r>
          </w:p>
          <w:p>
            <w:pPr>
              <w:rPr>
                <w:rFonts w:ascii="宋体"/>
                <w:szCs w:val="21"/>
              </w:rPr>
            </w:pPr>
            <w:r>
              <w:rPr>
                <w:rFonts w:hint="eastAsia" w:ascii="宋体" w:hAnsi="宋体"/>
                <w:szCs w:val="21"/>
              </w:rPr>
              <w:t>（负责人）</w:t>
            </w:r>
          </w:p>
        </w:tc>
        <w:tc>
          <w:tcPr>
            <w:tcW w:w="1730" w:type="dxa"/>
            <w:vAlign w:val="center"/>
          </w:tcPr>
          <w:p>
            <w:pPr>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atLeast"/>
        </w:trPr>
        <w:tc>
          <w:tcPr>
            <w:tcW w:w="1276" w:type="dxa"/>
            <w:vMerge w:val="continue"/>
            <w:vAlign w:val="center"/>
          </w:tcPr>
          <w:p>
            <w:pPr>
              <w:rPr>
                <w:rFonts w:ascii="宋体"/>
                <w:b/>
                <w:sz w:val="24"/>
              </w:rPr>
            </w:pPr>
          </w:p>
        </w:tc>
        <w:tc>
          <w:tcPr>
            <w:tcW w:w="1843" w:type="dxa"/>
            <w:vAlign w:val="center"/>
          </w:tcPr>
          <w:p>
            <w:pPr>
              <w:jc w:val="center"/>
              <w:rPr>
                <w:rFonts w:ascii="宋体"/>
                <w:szCs w:val="21"/>
              </w:rPr>
            </w:pPr>
            <w:r>
              <w:rPr>
                <w:rFonts w:hint="eastAsia" w:ascii="宋体" w:hAnsi="宋体"/>
                <w:szCs w:val="21"/>
              </w:rPr>
              <w:t>类型</w:t>
            </w:r>
          </w:p>
        </w:tc>
        <w:tc>
          <w:tcPr>
            <w:tcW w:w="5557" w:type="dxa"/>
            <w:gridSpan w:val="3"/>
            <w:vAlign w:val="center"/>
          </w:tcPr>
          <w:p>
            <w:pPr>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923" w:hRule="atLeast"/>
        </w:trPr>
        <w:tc>
          <w:tcPr>
            <w:tcW w:w="1276" w:type="dxa"/>
            <w:vMerge w:val="continue"/>
            <w:vAlign w:val="center"/>
          </w:tcPr>
          <w:p>
            <w:pPr>
              <w:rPr>
                <w:rFonts w:ascii="宋体"/>
                <w:b/>
                <w:sz w:val="24"/>
              </w:rPr>
            </w:pPr>
          </w:p>
        </w:tc>
        <w:tc>
          <w:tcPr>
            <w:tcW w:w="1843" w:type="dxa"/>
            <w:vAlign w:val="center"/>
          </w:tcPr>
          <w:p>
            <w:pPr>
              <w:jc w:val="center"/>
              <w:rPr>
                <w:rFonts w:ascii="宋体"/>
                <w:szCs w:val="21"/>
              </w:rPr>
            </w:pPr>
            <w:r>
              <w:rPr>
                <w:rFonts w:hint="eastAsia" w:ascii="宋体" w:hAnsi="宋体"/>
                <w:szCs w:val="21"/>
              </w:rPr>
              <w:t>经营范围</w:t>
            </w:r>
          </w:p>
        </w:tc>
        <w:tc>
          <w:tcPr>
            <w:tcW w:w="5557" w:type="dxa"/>
            <w:gridSpan w:val="3"/>
            <w:vAlign w:val="center"/>
          </w:tcPr>
          <w:p>
            <w:pPr>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504" w:hRule="atLeast"/>
        </w:trPr>
        <w:tc>
          <w:tcPr>
            <w:tcW w:w="1276" w:type="dxa"/>
            <w:vMerge w:val="continue"/>
            <w:vAlign w:val="center"/>
          </w:tcPr>
          <w:p>
            <w:pPr>
              <w:rPr>
                <w:rFonts w:ascii="宋体"/>
                <w:b/>
                <w:sz w:val="24"/>
              </w:rPr>
            </w:pPr>
          </w:p>
        </w:tc>
        <w:tc>
          <w:tcPr>
            <w:tcW w:w="7400" w:type="dxa"/>
            <w:gridSpan w:val="4"/>
            <w:vAlign w:val="center"/>
          </w:tcPr>
          <w:p>
            <w:pPr>
              <w:jc w:val="center"/>
              <w:rPr>
                <w:rFonts w:ascii="宋体"/>
                <w:szCs w:val="21"/>
              </w:rPr>
            </w:pPr>
            <w:r>
              <w:rPr>
                <w:rFonts w:hint="eastAsia" w:ascii="宋体" w:hAnsi="宋体"/>
                <w:szCs w:val="21"/>
              </w:rPr>
              <w:t>自然人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atLeast"/>
        </w:trPr>
        <w:tc>
          <w:tcPr>
            <w:tcW w:w="1276" w:type="dxa"/>
            <w:vMerge w:val="continue"/>
            <w:vAlign w:val="center"/>
          </w:tcPr>
          <w:p>
            <w:pPr>
              <w:rPr>
                <w:rFonts w:ascii="宋体"/>
                <w:b/>
                <w:sz w:val="24"/>
              </w:rPr>
            </w:pPr>
          </w:p>
        </w:tc>
        <w:tc>
          <w:tcPr>
            <w:tcW w:w="1843" w:type="dxa"/>
            <w:vAlign w:val="center"/>
          </w:tcPr>
          <w:p>
            <w:pPr>
              <w:jc w:val="center"/>
              <w:rPr>
                <w:rFonts w:ascii="宋体"/>
                <w:szCs w:val="21"/>
              </w:rPr>
            </w:pPr>
            <w:r>
              <w:rPr>
                <w:rFonts w:hint="eastAsia" w:ascii="宋体" w:hAnsi="宋体"/>
                <w:szCs w:val="21"/>
              </w:rPr>
              <w:t>证件类型</w:t>
            </w:r>
          </w:p>
        </w:tc>
        <w:tc>
          <w:tcPr>
            <w:tcW w:w="2268" w:type="dxa"/>
            <w:vAlign w:val="center"/>
          </w:tcPr>
          <w:p>
            <w:pPr>
              <w:rPr>
                <w:rFonts w:ascii="宋体"/>
                <w:szCs w:val="21"/>
              </w:rPr>
            </w:pPr>
          </w:p>
        </w:tc>
        <w:tc>
          <w:tcPr>
            <w:tcW w:w="1559" w:type="dxa"/>
            <w:vAlign w:val="center"/>
          </w:tcPr>
          <w:p>
            <w:pPr>
              <w:jc w:val="center"/>
              <w:rPr>
                <w:rFonts w:ascii="宋体"/>
                <w:szCs w:val="21"/>
              </w:rPr>
            </w:pPr>
            <w:r>
              <w:rPr>
                <w:rFonts w:hint="eastAsia" w:ascii="宋体" w:hAnsi="宋体"/>
                <w:szCs w:val="21"/>
              </w:rPr>
              <w:t>证件号码</w:t>
            </w:r>
          </w:p>
        </w:tc>
        <w:tc>
          <w:tcPr>
            <w:tcW w:w="1730" w:type="dxa"/>
            <w:vAlign w:val="center"/>
          </w:tcPr>
          <w:p>
            <w:pPr>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atLeast"/>
        </w:trPr>
        <w:tc>
          <w:tcPr>
            <w:tcW w:w="1276" w:type="dxa"/>
            <w:vAlign w:val="center"/>
          </w:tcPr>
          <w:p>
            <w:pPr>
              <w:rPr>
                <w:rFonts w:ascii="宋体"/>
                <w:b/>
                <w:sz w:val="24"/>
              </w:rPr>
            </w:pPr>
            <w:r>
              <w:rPr>
                <w:rFonts w:hint="eastAsia" w:ascii="宋体" w:hAnsi="宋体"/>
                <w:b/>
                <w:sz w:val="24"/>
              </w:rPr>
              <w:t>是否属于管理层</w:t>
            </w:r>
          </w:p>
        </w:tc>
        <w:tc>
          <w:tcPr>
            <w:tcW w:w="7400" w:type="dxa"/>
            <w:gridSpan w:val="4"/>
            <w:vAlign w:val="center"/>
          </w:tcPr>
          <w:p>
            <w:pPr>
              <w:ind w:firstLine="105" w:firstLineChars="50"/>
              <w:rPr>
                <w:rFonts w:ascii="宋体"/>
                <w:szCs w:val="21"/>
              </w:rPr>
            </w:pPr>
            <w:r>
              <w:rPr>
                <w:rFonts w:hint="eastAsia" w:ascii="宋体" w:hAnsi="宋体"/>
                <w:szCs w:val="21"/>
              </w:rPr>
              <w:t>□是□否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atLeast"/>
        </w:trPr>
        <w:tc>
          <w:tcPr>
            <w:tcW w:w="1276" w:type="dxa"/>
            <w:vMerge w:val="restart"/>
            <w:vAlign w:val="center"/>
          </w:tcPr>
          <w:p>
            <w:pPr>
              <w:jc w:val="center"/>
              <w:rPr>
                <w:rFonts w:ascii="宋体"/>
                <w:b/>
                <w:sz w:val="24"/>
              </w:rPr>
            </w:pPr>
            <w:r>
              <w:rPr>
                <w:rFonts w:hint="eastAsia" w:ascii="宋体" w:hAnsi="宋体"/>
                <w:b/>
                <w:sz w:val="24"/>
              </w:rPr>
              <w:t>联系方式</w:t>
            </w:r>
          </w:p>
        </w:tc>
        <w:tc>
          <w:tcPr>
            <w:tcW w:w="1843" w:type="dxa"/>
            <w:vAlign w:val="center"/>
          </w:tcPr>
          <w:p>
            <w:pPr>
              <w:jc w:val="center"/>
              <w:rPr>
                <w:rFonts w:ascii="宋体"/>
                <w:szCs w:val="21"/>
              </w:rPr>
            </w:pPr>
            <w:r>
              <w:rPr>
                <w:rFonts w:hint="eastAsia" w:ascii="宋体" w:hAnsi="宋体"/>
                <w:szCs w:val="21"/>
              </w:rPr>
              <w:t>联系人</w:t>
            </w:r>
          </w:p>
        </w:tc>
        <w:tc>
          <w:tcPr>
            <w:tcW w:w="2268" w:type="dxa"/>
            <w:vAlign w:val="center"/>
          </w:tcPr>
          <w:p>
            <w:pPr>
              <w:jc w:val="center"/>
              <w:rPr>
                <w:rFonts w:ascii="宋体"/>
                <w:szCs w:val="21"/>
              </w:rPr>
            </w:pPr>
          </w:p>
        </w:tc>
        <w:tc>
          <w:tcPr>
            <w:tcW w:w="1559" w:type="dxa"/>
            <w:vAlign w:val="center"/>
          </w:tcPr>
          <w:p>
            <w:pPr>
              <w:jc w:val="center"/>
              <w:rPr>
                <w:rFonts w:ascii="宋体"/>
                <w:szCs w:val="21"/>
              </w:rPr>
            </w:pPr>
            <w:r>
              <w:rPr>
                <w:rFonts w:hint="eastAsia" w:ascii="宋体" w:hAnsi="宋体"/>
                <w:szCs w:val="21"/>
              </w:rPr>
              <w:t>联系电话</w:t>
            </w:r>
          </w:p>
        </w:tc>
        <w:tc>
          <w:tcPr>
            <w:tcW w:w="1730" w:type="dxa"/>
            <w:vAlign w:val="center"/>
          </w:tcPr>
          <w:p>
            <w:pPr>
              <w:jc w:val="center"/>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atLeast"/>
        </w:trPr>
        <w:tc>
          <w:tcPr>
            <w:tcW w:w="1276" w:type="dxa"/>
            <w:vMerge w:val="continue"/>
            <w:vAlign w:val="center"/>
          </w:tcPr>
          <w:p>
            <w:pPr>
              <w:rPr>
                <w:rFonts w:ascii="宋体"/>
                <w:b/>
                <w:sz w:val="24"/>
              </w:rPr>
            </w:pPr>
          </w:p>
        </w:tc>
        <w:tc>
          <w:tcPr>
            <w:tcW w:w="1843" w:type="dxa"/>
            <w:vAlign w:val="center"/>
          </w:tcPr>
          <w:p>
            <w:pPr>
              <w:jc w:val="center"/>
              <w:rPr>
                <w:rFonts w:ascii="宋体"/>
                <w:szCs w:val="21"/>
              </w:rPr>
            </w:pPr>
            <w:r>
              <w:rPr>
                <w:rFonts w:hint="eastAsia" w:ascii="宋体" w:hAnsi="宋体"/>
                <w:szCs w:val="21"/>
              </w:rPr>
              <w:t>传真</w:t>
            </w:r>
          </w:p>
        </w:tc>
        <w:tc>
          <w:tcPr>
            <w:tcW w:w="2268" w:type="dxa"/>
            <w:vAlign w:val="center"/>
          </w:tcPr>
          <w:p>
            <w:pPr>
              <w:jc w:val="center"/>
              <w:rPr>
                <w:rFonts w:ascii="宋体"/>
                <w:b/>
                <w:bCs/>
                <w:szCs w:val="21"/>
              </w:rPr>
            </w:pPr>
          </w:p>
        </w:tc>
        <w:tc>
          <w:tcPr>
            <w:tcW w:w="1559" w:type="dxa"/>
            <w:vAlign w:val="center"/>
          </w:tcPr>
          <w:p>
            <w:pPr>
              <w:jc w:val="center"/>
              <w:rPr>
                <w:rFonts w:ascii="宋体"/>
                <w:szCs w:val="21"/>
              </w:rPr>
            </w:pPr>
            <w:r>
              <w:rPr>
                <w:rFonts w:hint="eastAsia" w:ascii="宋体" w:hAnsi="宋体"/>
                <w:szCs w:val="21"/>
              </w:rPr>
              <w:t>电子邮件</w:t>
            </w:r>
          </w:p>
        </w:tc>
        <w:tc>
          <w:tcPr>
            <w:tcW w:w="1730" w:type="dxa"/>
            <w:vAlign w:val="center"/>
          </w:tcPr>
          <w:p>
            <w:pPr>
              <w:jc w:val="center"/>
              <w:rPr>
                <w:rFonts w:ascii="宋体"/>
                <w:b/>
                <w:bCs/>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atLeast"/>
        </w:trPr>
        <w:tc>
          <w:tcPr>
            <w:tcW w:w="1276" w:type="dxa"/>
            <w:vMerge w:val="continue"/>
            <w:vAlign w:val="center"/>
          </w:tcPr>
          <w:p>
            <w:pPr>
              <w:rPr>
                <w:rFonts w:ascii="宋体"/>
                <w:b/>
                <w:sz w:val="24"/>
              </w:rPr>
            </w:pPr>
          </w:p>
        </w:tc>
        <w:tc>
          <w:tcPr>
            <w:tcW w:w="1843" w:type="dxa"/>
            <w:vAlign w:val="center"/>
          </w:tcPr>
          <w:p>
            <w:pPr>
              <w:jc w:val="center"/>
              <w:rPr>
                <w:rFonts w:ascii="宋体"/>
                <w:szCs w:val="21"/>
              </w:rPr>
            </w:pPr>
            <w:r>
              <w:rPr>
                <w:rFonts w:hint="eastAsia" w:ascii="宋体" w:hAnsi="宋体"/>
                <w:szCs w:val="21"/>
              </w:rPr>
              <w:t>通讯地址</w:t>
            </w:r>
          </w:p>
        </w:tc>
        <w:tc>
          <w:tcPr>
            <w:tcW w:w="2268" w:type="dxa"/>
            <w:vAlign w:val="center"/>
          </w:tcPr>
          <w:p>
            <w:pPr>
              <w:jc w:val="center"/>
              <w:rPr>
                <w:rFonts w:ascii="宋体"/>
                <w:b/>
                <w:bCs/>
                <w:szCs w:val="21"/>
              </w:rPr>
            </w:pPr>
          </w:p>
        </w:tc>
        <w:tc>
          <w:tcPr>
            <w:tcW w:w="1559" w:type="dxa"/>
            <w:vAlign w:val="center"/>
          </w:tcPr>
          <w:p>
            <w:pPr>
              <w:jc w:val="center"/>
              <w:rPr>
                <w:rFonts w:ascii="宋体"/>
                <w:szCs w:val="21"/>
              </w:rPr>
            </w:pPr>
            <w:r>
              <w:rPr>
                <w:rFonts w:hint="eastAsia" w:ascii="宋体" w:hAnsi="宋体"/>
                <w:szCs w:val="21"/>
              </w:rPr>
              <w:t>邮编</w:t>
            </w:r>
          </w:p>
        </w:tc>
        <w:tc>
          <w:tcPr>
            <w:tcW w:w="1730" w:type="dxa"/>
            <w:vAlign w:val="center"/>
          </w:tcPr>
          <w:p>
            <w:pPr>
              <w:jc w:val="center"/>
              <w:rPr>
                <w:rFonts w:ascii="宋体"/>
                <w:b/>
                <w:bCs/>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atLeast"/>
        </w:trPr>
        <w:tc>
          <w:tcPr>
            <w:tcW w:w="1276" w:type="dxa"/>
            <w:vAlign w:val="center"/>
          </w:tcPr>
          <w:p>
            <w:pPr>
              <w:jc w:val="center"/>
              <w:rPr>
                <w:rFonts w:ascii="宋体"/>
                <w:b/>
                <w:bCs/>
                <w:sz w:val="24"/>
              </w:rPr>
            </w:pPr>
            <w:r>
              <w:rPr>
                <w:rFonts w:hint="eastAsia" w:ascii="宋体" w:hAnsi="宋体"/>
                <w:b/>
                <w:bCs/>
                <w:sz w:val="24"/>
              </w:rPr>
              <w:t>投资意向</w:t>
            </w:r>
          </w:p>
        </w:tc>
        <w:tc>
          <w:tcPr>
            <w:tcW w:w="1843" w:type="dxa"/>
            <w:vAlign w:val="center"/>
          </w:tcPr>
          <w:p>
            <w:pPr>
              <w:jc w:val="center"/>
              <w:rPr>
                <w:rFonts w:ascii="宋体"/>
                <w:szCs w:val="21"/>
              </w:rPr>
            </w:pPr>
            <w:r>
              <w:rPr>
                <w:rFonts w:hint="eastAsia" w:ascii="宋体" w:hAnsi="宋体"/>
                <w:szCs w:val="21"/>
              </w:rPr>
              <w:t>投资比例</w:t>
            </w:r>
          </w:p>
        </w:tc>
        <w:tc>
          <w:tcPr>
            <w:tcW w:w="2268" w:type="dxa"/>
            <w:vAlign w:val="center"/>
          </w:tcPr>
          <w:p>
            <w:pPr>
              <w:jc w:val="center"/>
              <w:rPr>
                <w:rFonts w:ascii="宋体"/>
                <w:szCs w:val="21"/>
              </w:rPr>
            </w:pPr>
          </w:p>
        </w:tc>
        <w:tc>
          <w:tcPr>
            <w:tcW w:w="1559" w:type="dxa"/>
            <w:vAlign w:val="center"/>
          </w:tcPr>
          <w:p>
            <w:pPr>
              <w:jc w:val="center"/>
              <w:rPr>
                <w:rFonts w:ascii="宋体"/>
                <w:szCs w:val="21"/>
              </w:rPr>
            </w:pPr>
            <w:r>
              <w:rPr>
                <w:rFonts w:hint="eastAsia" w:ascii="宋体" w:hAnsi="宋体"/>
                <w:szCs w:val="21"/>
              </w:rPr>
              <w:t>是否接受挂牌价格</w:t>
            </w:r>
          </w:p>
        </w:tc>
        <w:tc>
          <w:tcPr>
            <w:tcW w:w="1730" w:type="dxa"/>
            <w:vAlign w:val="center"/>
          </w:tcPr>
          <w:p>
            <w:pPr>
              <w:ind w:firstLine="210" w:firstLineChars="100"/>
              <w:rPr>
                <w:rFonts w:ascii="宋体"/>
                <w:szCs w:val="21"/>
              </w:rPr>
            </w:pPr>
            <w:r>
              <w:rPr>
                <w:rFonts w:hint="eastAsia" w:ascii="宋体" w:hAnsi="宋体"/>
                <w:szCs w:val="21"/>
              </w:rPr>
              <w:t>□是□否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3610" w:hRule="atLeast"/>
        </w:trPr>
        <w:tc>
          <w:tcPr>
            <w:tcW w:w="1276" w:type="dxa"/>
            <w:tcBorders>
              <w:bottom w:val="single" w:color="auto" w:sz="12" w:space="0"/>
            </w:tcBorders>
            <w:vAlign w:val="center"/>
          </w:tcPr>
          <w:p>
            <w:pPr>
              <w:pStyle w:val="8"/>
              <w:ind w:firstLine="0" w:firstLineChars="0"/>
              <w:jc w:val="center"/>
              <w:rPr>
                <w:rFonts w:ascii="宋体" w:hAnsi="宋体"/>
              </w:rPr>
            </w:pPr>
            <w:r>
              <w:rPr>
                <w:rFonts w:hint="eastAsia" w:ascii="宋体" w:hAnsi="宋体"/>
              </w:rPr>
              <w:t>投资</w:t>
            </w:r>
          </w:p>
          <w:p>
            <w:pPr>
              <w:pStyle w:val="8"/>
              <w:ind w:firstLine="0" w:firstLineChars="0"/>
              <w:jc w:val="center"/>
              <w:rPr>
                <w:rFonts w:ascii="宋体" w:hAnsi="宋体"/>
              </w:rPr>
            </w:pPr>
            <w:r>
              <w:rPr>
                <w:rFonts w:hint="eastAsia" w:ascii="宋体" w:hAnsi="宋体"/>
              </w:rPr>
              <w:t>意向</w:t>
            </w:r>
          </w:p>
          <w:p>
            <w:pPr>
              <w:pStyle w:val="8"/>
              <w:ind w:firstLine="0" w:firstLineChars="0"/>
              <w:jc w:val="center"/>
              <w:rPr>
                <w:rFonts w:ascii="宋体" w:eastAsia="宋体"/>
              </w:rPr>
            </w:pPr>
            <w:r>
              <w:rPr>
                <w:rFonts w:hint="eastAsia" w:ascii="宋体" w:hAnsi="宋体"/>
              </w:rPr>
              <w:t>描述</w:t>
            </w:r>
          </w:p>
        </w:tc>
        <w:tc>
          <w:tcPr>
            <w:tcW w:w="7400" w:type="dxa"/>
            <w:gridSpan w:val="4"/>
            <w:tcBorders>
              <w:bottom w:val="single" w:color="auto" w:sz="12" w:space="0"/>
            </w:tcBorders>
            <w:vAlign w:val="center"/>
          </w:tcPr>
          <w:p>
            <w:pPr>
              <w:rPr>
                <w:rFonts w:ascii="宋体"/>
                <w:szCs w:val="21"/>
              </w:rPr>
            </w:pPr>
          </w:p>
        </w:tc>
      </w:tr>
    </w:tbl>
    <w:p>
      <w:pPr>
        <w:spacing w:before="78" w:after="78"/>
        <w:rPr>
          <w:rFonts w:ascii="宋体" w:hAnsi="宋体"/>
          <w:b/>
          <w:sz w:val="32"/>
          <w:szCs w:val="32"/>
        </w:rPr>
      </w:pPr>
    </w:p>
    <w:p>
      <w:pPr>
        <w:spacing w:before="78" w:after="78"/>
        <w:rPr>
          <w:rFonts w:ascii="宋体"/>
          <w:b/>
          <w:sz w:val="32"/>
          <w:szCs w:val="32"/>
        </w:rPr>
      </w:pPr>
      <w:r>
        <w:rPr>
          <w:rFonts w:ascii="宋体" w:hAnsi="宋体"/>
          <w:b/>
          <w:sz w:val="32"/>
          <w:szCs w:val="32"/>
        </w:rPr>
        <w:br w:type="page"/>
      </w:r>
      <w:r>
        <w:rPr>
          <w:rFonts w:hint="eastAsia" w:ascii="宋体" w:hAnsi="宋体"/>
          <w:b/>
          <w:sz w:val="32"/>
          <w:szCs w:val="32"/>
        </w:rPr>
        <w:t>备查材料</w:t>
      </w:r>
    </w:p>
    <w:tbl>
      <w:tblPr>
        <w:tblStyle w:val="18"/>
        <w:tblW w:w="938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22"/>
        <w:gridCol w:w="4617"/>
        <w:gridCol w:w="25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2222" w:type="dxa"/>
            <w:tcBorders>
              <w:top w:val="single" w:color="auto" w:sz="12" w:space="0"/>
              <w:left w:val="single" w:color="auto" w:sz="12" w:space="0"/>
            </w:tcBorders>
            <w:vAlign w:val="center"/>
          </w:tcPr>
          <w:p>
            <w:pPr>
              <w:widowControl/>
              <w:adjustRightInd w:val="0"/>
              <w:snapToGrid w:val="0"/>
              <w:jc w:val="center"/>
              <w:rPr>
                <w:rFonts w:ascii="宋体" w:cs="宋体"/>
                <w:b/>
                <w:bCs/>
                <w:kern w:val="0"/>
                <w:sz w:val="24"/>
              </w:rPr>
            </w:pPr>
            <w:r>
              <w:rPr>
                <w:rFonts w:hint="eastAsia" w:ascii="宋体" w:hAnsi="宋体" w:cs="宋体"/>
                <w:b/>
                <w:bCs/>
                <w:kern w:val="0"/>
                <w:sz w:val="24"/>
              </w:rPr>
              <w:t>附件类型</w:t>
            </w:r>
          </w:p>
        </w:tc>
        <w:tc>
          <w:tcPr>
            <w:tcW w:w="4617" w:type="dxa"/>
            <w:tcBorders>
              <w:top w:val="single" w:color="auto" w:sz="12" w:space="0"/>
            </w:tcBorders>
            <w:vAlign w:val="center"/>
          </w:tcPr>
          <w:p>
            <w:pPr>
              <w:widowControl/>
              <w:adjustRightInd w:val="0"/>
              <w:snapToGrid w:val="0"/>
              <w:jc w:val="center"/>
              <w:rPr>
                <w:rFonts w:ascii="宋体" w:cs="宋体"/>
                <w:b/>
                <w:bCs/>
                <w:kern w:val="0"/>
                <w:sz w:val="24"/>
              </w:rPr>
            </w:pPr>
            <w:r>
              <w:rPr>
                <w:rFonts w:hint="eastAsia" w:ascii="宋体" w:hAnsi="宋体" w:cs="宋体"/>
                <w:b/>
                <w:bCs/>
                <w:kern w:val="0"/>
                <w:sz w:val="24"/>
              </w:rPr>
              <w:t>资料名称</w:t>
            </w:r>
          </w:p>
        </w:tc>
        <w:tc>
          <w:tcPr>
            <w:tcW w:w="2544" w:type="dxa"/>
            <w:tcBorders>
              <w:top w:val="single" w:color="auto" w:sz="12" w:space="0"/>
              <w:right w:val="single" w:color="auto" w:sz="12" w:space="0"/>
            </w:tcBorders>
            <w:vAlign w:val="center"/>
          </w:tcPr>
          <w:p>
            <w:pPr>
              <w:widowControl/>
              <w:adjustRightInd w:val="0"/>
              <w:snapToGrid w:val="0"/>
              <w:jc w:val="center"/>
              <w:rPr>
                <w:rFonts w:ascii="宋体" w:cs="宋体"/>
                <w:b/>
                <w:bCs/>
                <w:kern w:val="0"/>
                <w:sz w:val="24"/>
              </w:rPr>
            </w:pPr>
            <w:r>
              <w:rPr>
                <w:rFonts w:hint="eastAsia" w:ascii="宋体" w:hAnsi="宋体" w:cs="宋体"/>
                <w:b/>
                <w:bCs/>
                <w:kern w:val="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2222" w:type="dxa"/>
            <w:tcBorders>
              <w:left w:val="single" w:color="auto" w:sz="12" w:space="0"/>
            </w:tcBorders>
            <w:vAlign w:val="center"/>
          </w:tcPr>
          <w:p>
            <w:pPr>
              <w:widowControl/>
              <w:adjustRightInd w:val="0"/>
              <w:snapToGrid w:val="0"/>
              <w:jc w:val="center"/>
              <w:rPr>
                <w:rFonts w:ascii="宋体" w:cs="宋体"/>
                <w:b/>
                <w:bCs/>
                <w:kern w:val="0"/>
                <w:sz w:val="24"/>
              </w:rPr>
            </w:pPr>
            <w:r>
              <w:rPr>
                <w:rFonts w:hint="eastAsia" w:ascii="宋体" w:hAnsi="宋体" w:cs="宋体"/>
                <w:b/>
                <w:kern w:val="0"/>
                <w:sz w:val="24"/>
              </w:rPr>
              <w:t>申请类资料</w:t>
            </w:r>
          </w:p>
        </w:tc>
        <w:tc>
          <w:tcPr>
            <w:tcW w:w="4617" w:type="dxa"/>
            <w:vAlign w:val="center"/>
          </w:tcPr>
          <w:p>
            <w:pPr>
              <w:widowControl/>
              <w:adjustRightInd w:val="0"/>
              <w:snapToGrid w:val="0"/>
              <w:jc w:val="left"/>
              <w:rPr>
                <w:rFonts w:ascii="宋体"/>
                <w:kern w:val="0"/>
              </w:rPr>
            </w:pPr>
            <w:r>
              <w:rPr>
                <w:rFonts w:hint="eastAsia" w:ascii="宋体" w:hAnsi="宋体"/>
                <w:kern w:val="0"/>
              </w:rPr>
              <w:t>《增资扩股投资申请书》</w:t>
            </w:r>
          </w:p>
        </w:tc>
        <w:tc>
          <w:tcPr>
            <w:tcW w:w="2544" w:type="dxa"/>
            <w:tcBorders>
              <w:right w:val="single" w:color="auto" w:sz="12" w:space="0"/>
            </w:tcBorders>
            <w:vAlign w:val="center"/>
          </w:tcPr>
          <w:p>
            <w:pPr>
              <w:widowControl/>
              <w:adjustRightInd w:val="0"/>
              <w:snapToGrid w:val="0"/>
              <w:jc w:val="center"/>
              <w:rPr>
                <w:rFonts w:ascii="宋体" w:cs="宋体"/>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2222" w:type="dxa"/>
            <w:vMerge w:val="restart"/>
            <w:tcBorders>
              <w:left w:val="single" w:color="auto" w:sz="12" w:space="0"/>
            </w:tcBorders>
            <w:vAlign w:val="center"/>
          </w:tcPr>
          <w:p>
            <w:pPr>
              <w:widowControl/>
              <w:adjustRightInd w:val="0"/>
              <w:snapToGrid w:val="0"/>
              <w:jc w:val="center"/>
              <w:rPr>
                <w:rFonts w:ascii="宋体" w:cs="宋体"/>
                <w:b/>
                <w:kern w:val="0"/>
                <w:sz w:val="24"/>
              </w:rPr>
            </w:pPr>
            <w:r>
              <w:rPr>
                <w:rFonts w:hint="eastAsia" w:ascii="宋体" w:hAnsi="宋体" w:cs="宋体"/>
                <w:b/>
                <w:kern w:val="0"/>
                <w:sz w:val="24"/>
              </w:rPr>
              <w:t>主体资格类资料</w:t>
            </w:r>
          </w:p>
        </w:tc>
        <w:tc>
          <w:tcPr>
            <w:tcW w:w="4617" w:type="dxa"/>
            <w:vAlign w:val="center"/>
          </w:tcPr>
          <w:p>
            <w:pPr>
              <w:widowControl/>
              <w:adjustRightInd w:val="0"/>
              <w:snapToGrid w:val="0"/>
              <w:jc w:val="left"/>
              <w:rPr>
                <w:rFonts w:ascii="宋体"/>
                <w:kern w:val="0"/>
              </w:rPr>
            </w:pPr>
            <w:r>
              <w:rPr>
                <w:rFonts w:hint="eastAsia" w:ascii="宋体" w:hAnsi="宋体"/>
                <w:kern w:val="0"/>
              </w:rPr>
              <w:t>营业执照或</w:t>
            </w:r>
            <w:r>
              <w:rPr>
                <w:rFonts w:hint="eastAsia" w:ascii="宋体" w:hAnsi="宋体"/>
                <w:sz w:val="24"/>
              </w:rPr>
              <w:t>相关注册证明文件</w:t>
            </w:r>
          </w:p>
        </w:tc>
        <w:tc>
          <w:tcPr>
            <w:tcW w:w="2544" w:type="dxa"/>
            <w:tcBorders>
              <w:right w:val="single" w:color="auto" w:sz="12" w:space="0"/>
            </w:tcBorders>
            <w:vAlign w:val="center"/>
          </w:tcPr>
          <w:p>
            <w:pPr>
              <w:widowControl/>
              <w:adjustRightInd w:val="0"/>
              <w:snapToGrid w:val="0"/>
              <w:jc w:val="center"/>
              <w:rPr>
                <w:rFonts w:asci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2222" w:type="dxa"/>
            <w:vMerge w:val="continue"/>
            <w:tcBorders>
              <w:left w:val="single" w:color="auto" w:sz="12" w:space="0"/>
            </w:tcBorders>
            <w:vAlign w:val="center"/>
          </w:tcPr>
          <w:p>
            <w:pPr>
              <w:widowControl/>
              <w:adjustRightInd w:val="0"/>
              <w:snapToGrid w:val="0"/>
              <w:jc w:val="center"/>
              <w:rPr>
                <w:rFonts w:ascii="宋体" w:cs="宋体"/>
                <w:b/>
                <w:kern w:val="0"/>
                <w:sz w:val="24"/>
              </w:rPr>
            </w:pPr>
          </w:p>
        </w:tc>
        <w:tc>
          <w:tcPr>
            <w:tcW w:w="4617" w:type="dxa"/>
            <w:vAlign w:val="center"/>
          </w:tcPr>
          <w:p>
            <w:pPr>
              <w:widowControl/>
              <w:adjustRightInd w:val="0"/>
              <w:snapToGrid w:val="0"/>
              <w:jc w:val="left"/>
              <w:rPr>
                <w:rFonts w:ascii="宋体"/>
                <w:kern w:val="0"/>
              </w:rPr>
            </w:pPr>
            <w:r>
              <w:rPr>
                <w:rFonts w:hint="eastAsia" w:ascii="宋体" w:hAnsi="宋体"/>
                <w:kern w:val="0"/>
              </w:rPr>
              <w:t>身份证明</w:t>
            </w:r>
          </w:p>
        </w:tc>
        <w:tc>
          <w:tcPr>
            <w:tcW w:w="2544" w:type="dxa"/>
            <w:tcBorders>
              <w:right w:val="single" w:color="auto" w:sz="12" w:space="0"/>
            </w:tcBorders>
            <w:vAlign w:val="center"/>
          </w:tcPr>
          <w:p>
            <w:pPr>
              <w:widowControl/>
              <w:adjustRightInd w:val="0"/>
              <w:snapToGrid w:val="0"/>
              <w:jc w:val="center"/>
              <w:rPr>
                <w:rFonts w:asci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2222" w:type="dxa"/>
            <w:vMerge w:val="restart"/>
            <w:tcBorders>
              <w:left w:val="single" w:color="auto" w:sz="12" w:space="0"/>
            </w:tcBorders>
            <w:vAlign w:val="center"/>
          </w:tcPr>
          <w:p>
            <w:pPr>
              <w:widowControl/>
              <w:adjustRightInd w:val="0"/>
              <w:snapToGrid w:val="0"/>
              <w:jc w:val="center"/>
              <w:rPr>
                <w:rFonts w:ascii="宋体" w:cs="宋体"/>
                <w:b/>
                <w:kern w:val="0"/>
                <w:sz w:val="24"/>
              </w:rPr>
            </w:pPr>
            <w:r>
              <w:rPr>
                <w:rFonts w:hint="eastAsia" w:ascii="宋体" w:hAnsi="宋体" w:cs="宋体"/>
                <w:b/>
                <w:kern w:val="0"/>
                <w:sz w:val="24"/>
              </w:rPr>
              <w:t>决议及批准类资料</w:t>
            </w:r>
          </w:p>
        </w:tc>
        <w:tc>
          <w:tcPr>
            <w:tcW w:w="4617" w:type="dxa"/>
            <w:vAlign w:val="center"/>
          </w:tcPr>
          <w:p>
            <w:pPr>
              <w:widowControl/>
              <w:adjustRightInd w:val="0"/>
              <w:snapToGrid w:val="0"/>
              <w:jc w:val="left"/>
              <w:rPr>
                <w:rFonts w:ascii="宋体"/>
                <w:kern w:val="0"/>
              </w:rPr>
            </w:pPr>
            <w:r>
              <w:rPr>
                <w:rFonts w:hint="eastAsia" w:ascii="宋体" w:hAnsi="宋体"/>
                <w:kern w:val="0"/>
              </w:rPr>
              <w:t>公司章程或相关证明材料</w:t>
            </w:r>
          </w:p>
        </w:tc>
        <w:tc>
          <w:tcPr>
            <w:tcW w:w="2544" w:type="dxa"/>
            <w:tcBorders>
              <w:right w:val="single" w:color="auto" w:sz="12" w:space="0"/>
            </w:tcBorders>
            <w:vAlign w:val="center"/>
          </w:tcPr>
          <w:p>
            <w:pPr>
              <w:widowControl/>
              <w:adjustRightInd w:val="0"/>
              <w:snapToGrid w:val="0"/>
              <w:jc w:val="center"/>
              <w:rPr>
                <w:rFonts w:asci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2222" w:type="dxa"/>
            <w:vMerge w:val="continue"/>
            <w:tcBorders>
              <w:left w:val="single" w:color="auto" w:sz="12" w:space="0"/>
            </w:tcBorders>
            <w:vAlign w:val="center"/>
          </w:tcPr>
          <w:p>
            <w:pPr>
              <w:widowControl/>
              <w:adjustRightInd w:val="0"/>
              <w:snapToGrid w:val="0"/>
              <w:jc w:val="center"/>
              <w:rPr>
                <w:rFonts w:ascii="宋体" w:hAnsi="宋体" w:cs="宋体"/>
                <w:b/>
                <w:kern w:val="0"/>
                <w:sz w:val="24"/>
              </w:rPr>
            </w:pPr>
          </w:p>
        </w:tc>
        <w:tc>
          <w:tcPr>
            <w:tcW w:w="4617" w:type="dxa"/>
            <w:vAlign w:val="center"/>
          </w:tcPr>
          <w:p>
            <w:pPr>
              <w:widowControl/>
              <w:adjustRightInd w:val="0"/>
              <w:snapToGrid w:val="0"/>
              <w:jc w:val="left"/>
              <w:rPr>
                <w:rFonts w:ascii="宋体" w:hAnsi="宋体"/>
                <w:kern w:val="0"/>
              </w:rPr>
            </w:pPr>
            <w:r>
              <w:rPr>
                <w:rFonts w:hint="eastAsia" w:ascii="宋体" w:hAnsi="宋体"/>
                <w:kern w:val="0"/>
              </w:rPr>
              <w:t>工商管理部门或其他部门企业登记证明</w:t>
            </w:r>
          </w:p>
        </w:tc>
        <w:tc>
          <w:tcPr>
            <w:tcW w:w="2544" w:type="dxa"/>
            <w:tcBorders>
              <w:right w:val="single" w:color="auto" w:sz="12" w:space="0"/>
            </w:tcBorders>
            <w:vAlign w:val="center"/>
          </w:tcPr>
          <w:p>
            <w:pPr>
              <w:widowControl/>
              <w:adjustRightInd w:val="0"/>
              <w:snapToGrid w:val="0"/>
              <w:jc w:val="center"/>
              <w:rPr>
                <w:rFonts w:asci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2222" w:type="dxa"/>
            <w:vMerge w:val="continue"/>
            <w:tcBorders>
              <w:left w:val="single" w:color="auto" w:sz="12" w:space="0"/>
            </w:tcBorders>
            <w:vAlign w:val="center"/>
          </w:tcPr>
          <w:p>
            <w:pPr>
              <w:widowControl/>
              <w:adjustRightInd w:val="0"/>
              <w:snapToGrid w:val="0"/>
              <w:jc w:val="center"/>
              <w:rPr>
                <w:rFonts w:ascii="宋体" w:cs="宋体"/>
                <w:b/>
                <w:kern w:val="0"/>
                <w:sz w:val="24"/>
              </w:rPr>
            </w:pPr>
          </w:p>
        </w:tc>
        <w:tc>
          <w:tcPr>
            <w:tcW w:w="4617" w:type="dxa"/>
            <w:vAlign w:val="center"/>
          </w:tcPr>
          <w:p>
            <w:pPr>
              <w:widowControl/>
              <w:adjustRightInd w:val="0"/>
              <w:snapToGrid w:val="0"/>
              <w:jc w:val="left"/>
              <w:rPr>
                <w:rFonts w:ascii="宋体"/>
                <w:kern w:val="0"/>
              </w:rPr>
            </w:pPr>
            <w:r>
              <w:rPr>
                <w:rFonts w:hint="eastAsia" w:ascii="宋体" w:hAnsi="宋体"/>
                <w:kern w:val="0"/>
              </w:rPr>
              <w:t>股东大会决议</w:t>
            </w:r>
          </w:p>
        </w:tc>
        <w:tc>
          <w:tcPr>
            <w:tcW w:w="2544" w:type="dxa"/>
            <w:tcBorders>
              <w:right w:val="single" w:color="auto" w:sz="12" w:space="0"/>
            </w:tcBorders>
            <w:vAlign w:val="center"/>
          </w:tcPr>
          <w:p>
            <w:pPr>
              <w:widowControl/>
              <w:adjustRightInd w:val="0"/>
              <w:snapToGrid w:val="0"/>
              <w:jc w:val="center"/>
              <w:rPr>
                <w:rFonts w:asci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2222" w:type="dxa"/>
            <w:vMerge w:val="continue"/>
            <w:tcBorders>
              <w:left w:val="single" w:color="auto" w:sz="12" w:space="0"/>
            </w:tcBorders>
            <w:vAlign w:val="center"/>
          </w:tcPr>
          <w:p>
            <w:pPr>
              <w:widowControl/>
              <w:adjustRightInd w:val="0"/>
              <w:snapToGrid w:val="0"/>
              <w:jc w:val="center"/>
              <w:rPr>
                <w:rFonts w:ascii="宋体" w:cs="宋体"/>
                <w:b/>
                <w:kern w:val="0"/>
                <w:sz w:val="24"/>
              </w:rPr>
            </w:pPr>
          </w:p>
        </w:tc>
        <w:tc>
          <w:tcPr>
            <w:tcW w:w="4617" w:type="dxa"/>
            <w:vAlign w:val="center"/>
          </w:tcPr>
          <w:p>
            <w:pPr>
              <w:widowControl/>
              <w:adjustRightInd w:val="0"/>
              <w:snapToGrid w:val="0"/>
              <w:jc w:val="left"/>
              <w:rPr>
                <w:rFonts w:ascii="宋体"/>
                <w:kern w:val="0"/>
              </w:rPr>
            </w:pPr>
            <w:r>
              <w:rPr>
                <w:rFonts w:hint="eastAsia" w:ascii="宋体" w:hAnsi="宋体"/>
                <w:kern w:val="0"/>
              </w:rPr>
              <w:t>董事会决议</w:t>
            </w:r>
          </w:p>
        </w:tc>
        <w:tc>
          <w:tcPr>
            <w:tcW w:w="2544" w:type="dxa"/>
            <w:tcBorders>
              <w:right w:val="single" w:color="auto" w:sz="12" w:space="0"/>
            </w:tcBorders>
            <w:vAlign w:val="center"/>
          </w:tcPr>
          <w:p>
            <w:pPr>
              <w:widowControl/>
              <w:adjustRightInd w:val="0"/>
              <w:snapToGrid w:val="0"/>
              <w:jc w:val="center"/>
              <w:rPr>
                <w:rFonts w:asci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2222" w:type="dxa"/>
            <w:vMerge w:val="continue"/>
            <w:tcBorders>
              <w:left w:val="single" w:color="auto" w:sz="12" w:space="0"/>
            </w:tcBorders>
            <w:vAlign w:val="center"/>
          </w:tcPr>
          <w:p>
            <w:pPr>
              <w:widowControl/>
              <w:adjustRightInd w:val="0"/>
              <w:snapToGrid w:val="0"/>
              <w:jc w:val="center"/>
              <w:rPr>
                <w:rFonts w:ascii="宋体" w:cs="宋体"/>
                <w:b/>
                <w:kern w:val="0"/>
                <w:sz w:val="24"/>
              </w:rPr>
            </w:pPr>
          </w:p>
        </w:tc>
        <w:tc>
          <w:tcPr>
            <w:tcW w:w="4617" w:type="dxa"/>
            <w:vAlign w:val="center"/>
          </w:tcPr>
          <w:p>
            <w:pPr>
              <w:widowControl/>
              <w:adjustRightInd w:val="0"/>
              <w:snapToGrid w:val="0"/>
              <w:jc w:val="left"/>
              <w:rPr>
                <w:rFonts w:ascii="宋体"/>
                <w:kern w:val="0"/>
              </w:rPr>
            </w:pPr>
            <w:r>
              <w:rPr>
                <w:rFonts w:hint="eastAsia" w:ascii="宋体" w:hAnsi="宋体"/>
                <w:kern w:val="0"/>
              </w:rPr>
              <w:t>总经理办公会决议</w:t>
            </w:r>
          </w:p>
        </w:tc>
        <w:tc>
          <w:tcPr>
            <w:tcW w:w="2544" w:type="dxa"/>
            <w:tcBorders>
              <w:right w:val="single" w:color="auto" w:sz="12" w:space="0"/>
            </w:tcBorders>
            <w:vAlign w:val="center"/>
          </w:tcPr>
          <w:p>
            <w:pPr>
              <w:widowControl/>
              <w:adjustRightInd w:val="0"/>
              <w:snapToGrid w:val="0"/>
              <w:jc w:val="center"/>
              <w:rPr>
                <w:rFonts w:asci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2222" w:type="dxa"/>
            <w:vMerge w:val="continue"/>
            <w:tcBorders>
              <w:left w:val="single" w:color="auto" w:sz="12" w:space="0"/>
            </w:tcBorders>
            <w:vAlign w:val="center"/>
          </w:tcPr>
          <w:p>
            <w:pPr>
              <w:widowControl/>
              <w:adjustRightInd w:val="0"/>
              <w:snapToGrid w:val="0"/>
              <w:jc w:val="center"/>
              <w:rPr>
                <w:rFonts w:ascii="宋体" w:cs="宋体"/>
                <w:b/>
                <w:kern w:val="0"/>
                <w:sz w:val="24"/>
              </w:rPr>
            </w:pPr>
          </w:p>
        </w:tc>
        <w:tc>
          <w:tcPr>
            <w:tcW w:w="4617" w:type="dxa"/>
            <w:vAlign w:val="center"/>
          </w:tcPr>
          <w:p>
            <w:pPr>
              <w:widowControl/>
              <w:adjustRightInd w:val="0"/>
              <w:snapToGrid w:val="0"/>
              <w:jc w:val="left"/>
              <w:rPr>
                <w:rFonts w:ascii="宋体"/>
                <w:kern w:val="0"/>
              </w:rPr>
            </w:pPr>
            <w:r>
              <w:rPr>
                <w:rFonts w:hint="eastAsia" w:ascii="宋体" w:hAnsi="宋体"/>
                <w:kern w:val="0"/>
              </w:rPr>
              <w:t>主管部门批复</w:t>
            </w:r>
          </w:p>
        </w:tc>
        <w:tc>
          <w:tcPr>
            <w:tcW w:w="2544" w:type="dxa"/>
            <w:tcBorders>
              <w:right w:val="single" w:color="auto" w:sz="12" w:space="0"/>
            </w:tcBorders>
            <w:vAlign w:val="center"/>
          </w:tcPr>
          <w:p>
            <w:pPr>
              <w:widowControl/>
              <w:adjustRightInd w:val="0"/>
              <w:snapToGrid w:val="0"/>
              <w:jc w:val="center"/>
              <w:rPr>
                <w:rFonts w:asci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2222" w:type="dxa"/>
            <w:vMerge w:val="restart"/>
            <w:tcBorders>
              <w:left w:val="single" w:color="auto" w:sz="12" w:space="0"/>
            </w:tcBorders>
            <w:vAlign w:val="center"/>
          </w:tcPr>
          <w:p>
            <w:pPr>
              <w:widowControl/>
              <w:adjustRightInd w:val="0"/>
              <w:snapToGrid w:val="0"/>
              <w:jc w:val="center"/>
              <w:rPr>
                <w:rFonts w:ascii="宋体" w:cs="宋体"/>
                <w:b/>
                <w:kern w:val="0"/>
                <w:sz w:val="24"/>
              </w:rPr>
            </w:pPr>
            <w:r>
              <w:rPr>
                <w:rFonts w:hint="eastAsia" w:ascii="宋体" w:hAnsi="宋体" w:cs="宋体"/>
                <w:b/>
                <w:kern w:val="0"/>
                <w:sz w:val="24"/>
              </w:rPr>
              <w:t>符合增资扩股条件的其他资料</w:t>
            </w:r>
          </w:p>
        </w:tc>
        <w:tc>
          <w:tcPr>
            <w:tcW w:w="4617" w:type="dxa"/>
            <w:vAlign w:val="center"/>
          </w:tcPr>
          <w:p>
            <w:pPr>
              <w:widowControl/>
              <w:adjustRightInd w:val="0"/>
              <w:snapToGrid w:val="0"/>
              <w:jc w:val="left"/>
              <w:rPr>
                <w:rFonts w:ascii="宋体" w:cs="宋体"/>
                <w:kern w:val="0"/>
                <w:szCs w:val="21"/>
              </w:rPr>
            </w:pPr>
          </w:p>
        </w:tc>
        <w:tc>
          <w:tcPr>
            <w:tcW w:w="2544" w:type="dxa"/>
            <w:tcBorders>
              <w:right w:val="single" w:color="auto" w:sz="12" w:space="0"/>
            </w:tcBorders>
            <w:vAlign w:val="center"/>
          </w:tcPr>
          <w:p>
            <w:pPr>
              <w:widowControl/>
              <w:adjustRightInd w:val="0"/>
              <w:snapToGrid w:val="0"/>
              <w:jc w:val="center"/>
              <w:rPr>
                <w:rFonts w:asci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2222" w:type="dxa"/>
            <w:vMerge w:val="continue"/>
            <w:tcBorders>
              <w:left w:val="single" w:color="auto" w:sz="12" w:space="0"/>
            </w:tcBorders>
            <w:vAlign w:val="center"/>
          </w:tcPr>
          <w:p>
            <w:pPr>
              <w:widowControl/>
              <w:adjustRightInd w:val="0"/>
              <w:snapToGrid w:val="0"/>
              <w:jc w:val="center"/>
              <w:rPr>
                <w:rFonts w:ascii="宋体" w:cs="宋体"/>
                <w:b/>
                <w:kern w:val="0"/>
                <w:sz w:val="24"/>
              </w:rPr>
            </w:pPr>
          </w:p>
        </w:tc>
        <w:tc>
          <w:tcPr>
            <w:tcW w:w="4617" w:type="dxa"/>
            <w:vAlign w:val="center"/>
          </w:tcPr>
          <w:p>
            <w:pPr>
              <w:widowControl/>
              <w:adjustRightInd w:val="0"/>
              <w:snapToGrid w:val="0"/>
              <w:jc w:val="left"/>
              <w:rPr>
                <w:rFonts w:ascii="宋体" w:cs="宋体"/>
                <w:kern w:val="0"/>
                <w:szCs w:val="21"/>
              </w:rPr>
            </w:pPr>
          </w:p>
        </w:tc>
        <w:tc>
          <w:tcPr>
            <w:tcW w:w="2544" w:type="dxa"/>
            <w:tcBorders>
              <w:right w:val="single" w:color="auto" w:sz="12" w:space="0"/>
            </w:tcBorders>
            <w:vAlign w:val="center"/>
          </w:tcPr>
          <w:p>
            <w:pPr>
              <w:widowControl/>
              <w:adjustRightInd w:val="0"/>
              <w:snapToGrid w:val="0"/>
              <w:jc w:val="center"/>
              <w:rPr>
                <w:rFonts w:asci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2222" w:type="dxa"/>
            <w:vMerge w:val="continue"/>
            <w:tcBorders>
              <w:left w:val="single" w:color="auto" w:sz="12" w:space="0"/>
            </w:tcBorders>
            <w:vAlign w:val="center"/>
          </w:tcPr>
          <w:p>
            <w:pPr>
              <w:widowControl/>
              <w:adjustRightInd w:val="0"/>
              <w:snapToGrid w:val="0"/>
              <w:jc w:val="center"/>
              <w:rPr>
                <w:rFonts w:ascii="宋体" w:cs="宋体"/>
                <w:b/>
                <w:kern w:val="0"/>
                <w:sz w:val="24"/>
              </w:rPr>
            </w:pPr>
          </w:p>
        </w:tc>
        <w:tc>
          <w:tcPr>
            <w:tcW w:w="4617" w:type="dxa"/>
            <w:vAlign w:val="center"/>
          </w:tcPr>
          <w:p>
            <w:pPr>
              <w:widowControl/>
              <w:adjustRightInd w:val="0"/>
              <w:snapToGrid w:val="0"/>
              <w:jc w:val="left"/>
              <w:rPr>
                <w:rFonts w:ascii="宋体" w:cs="宋体"/>
                <w:kern w:val="0"/>
                <w:szCs w:val="21"/>
              </w:rPr>
            </w:pPr>
          </w:p>
        </w:tc>
        <w:tc>
          <w:tcPr>
            <w:tcW w:w="2544" w:type="dxa"/>
            <w:tcBorders>
              <w:right w:val="single" w:color="auto" w:sz="12" w:space="0"/>
            </w:tcBorders>
            <w:vAlign w:val="center"/>
          </w:tcPr>
          <w:p>
            <w:pPr>
              <w:widowControl/>
              <w:adjustRightInd w:val="0"/>
              <w:snapToGrid w:val="0"/>
              <w:jc w:val="center"/>
              <w:rPr>
                <w:rFonts w:asci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2222" w:type="dxa"/>
            <w:vMerge w:val="continue"/>
            <w:tcBorders>
              <w:left w:val="single" w:color="auto" w:sz="12" w:space="0"/>
            </w:tcBorders>
            <w:vAlign w:val="center"/>
          </w:tcPr>
          <w:p>
            <w:pPr>
              <w:widowControl/>
              <w:adjustRightInd w:val="0"/>
              <w:snapToGrid w:val="0"/>
              <w:jc w:val="center"/>
              <w:rPr>
                <w:rFonts w:ascii="宋体" w:cs="宋体"/>
                <w:b/>
                <w:kern w:val="0"/>
                <w:sz w:val="24"/>
              </w:rPr>
            </w:pPr>
          </w:p>
        </w:tc>
        <w:tc>
          <w:tcPr>
            <w:tcW w:w="4617" w:type="dxa"/>
            <w:vAlign w:val="center"/>
          </w:tcPr>
          <w:p>
            <w:pPr>
              <w:widowControl/>
              <w:adjustRightInd w:val="0"/>
              <w:snapToGrid w:val="0"/>
              <w:jc w:val="left"/>
              <w:rPr>
                <w:rFonts w:ascii="宋体" w:cs="宋体"/>
                <w:kern w:val="0"/>
                <w:szCs w:val="21"/>
              </w:rPr>
            </w:pPr>
          </w:p>
        </w:tc>
        <w:tc>
          <w:tcPr>
            <w:tcW w:w="2544" w:type="dxa"/>
            <w:tcBorders>
              <w:right w:val="single" w:color="auto" w:sz="12" w:space="0"/>
            </w:tcBorders>
            <w:vAlign w:val="center"/>
          </w:tcPr>
          <w:p>
            <w:pPr>
              <w:widowControl/>
              <w:adjustRightInd w:val="0"/>
              <w:snapToGrid w:val="0"/>
              <w:jc w:val="center"/>
              <w:rPr>
                <w:rFonts w:asci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2222" w:type="dxa"/>
            <w:vMerge w:val="continue"/>
            <w:tcBorders>
              <w:left w:val="single" w:color="auto" w:sz="12" w:space="0"/>
            </w:tcBorders>
            <w:vAlign w:val="center"/>
          </w:tcPr>
          <w:p>
            <w:pPr>
              <w:widowControl/>
              <w:adjustRightInd w:val="0"/>
              <w:snapToGrid w:val="0"/>
              <w:jc w:val="center"/>
              <w:rPr>
                <w:rFonts w:ascii="宋体" w:cs="宋体"/>
                <w:b/>
                <w:kern w:val="0"/>
                <w:sz w:val="24"/>
              </w:rPr>
            </w:pPr>
          </w:p>
        </w:tc>
        <w:tc>
          <w:tcPr>
            <w:tcW w:w="4617" w:type="dxa"/>
            <w:vAlign w:val="center"/>
          </w:tcPr>
          <w:p>
            <w:pPr>
              <w:widowControl/>
              <w:adjustRightInd w:val="0"/>
              <w:snapToGrid w:val="0"/>
              <w:jc w:val="left"/>
              <w:rPr>
                <w:rFonts w:ascii="宋体" w:cs="宋体"/>
                <w:kern w:val="0"/>
                <w:szCs w:val="21"/>
              </w:rPr>
            </w:pPr>
          </w:p>
        </w:tc>
        <w:tc>
          <w:tcPr>
            <w:tcW w:w="2544" w:type="dxa"/>
            <w:tcBorders>
              <w:right w:val="single" w:color="auto" w:sz="12" w:space="0"/>
            </w:tcBorders>
            <w:vAlign w:val="center"/>
          </w:tcPr>
          <w:p>
            <w:pPr>
              <w:widowControl/>
              <w:adjustRightInd w:val="0"/>
              <w:snapToGrid w:val="0"/>
              <w:jc w:val="center"/>
              <w:rPr>
                <w:rFonts w:asci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8" w:hRule="exact"/>
          <w:jc w:val="center"/>
        </w:trPr>
        <w:tc>
          <w:tcPr>
            <w:tcW w:w="2222" w:type="dxa"/>
            <w:tcBorders>
              <w:left w:val="single" w:color="auto" w:sz="12" w:space="0"/>
              <w:bottom w:val="single" w:color="auto" w:sz="12" w:space="0"/>
            </w:tcBorders>
            <w:vAlign w:val="center"/>
          </w:tcPr>
          <w:p>
            <w:pPr>
              <w:adjustRightInd w:val="0"/>
              <w:snapToGrid w:val="0"/>
              <w:spacing w:line="360" w:lineRule="auto"/>
              <w:jc w:val="center"/>
              <w:rPr>
                <w:rFonts w:ascii="宋体"/>
                <w:b/>
                <w:sz w:val="24"/>
              </w:rPr>
            </w:pPr>
            <w:r>
              <w:rPr>
                <w:rFonts w:hint="eastAsia" w:ascii="宋体" w:hAnsi="宋体"/>
                <w:b/>
                <w:sz w:val="24"/>
              </w:rPr>
              <w:t>核实意见</w:t>
            </w:r>
          </w:p>
        </w:tc>
        <w:tc>
          <w:tcPr>
            <w:tcW w:w="7161" w:type="dxa"/>
            <w:gridSpan w:val="2"/>
            <w:tcBorders>
              <w:bottom w:val="single" w:color="auto" w:sz="12" w:space="0"/>
              <w:right w:val="single" w:color="auto" w:sz="12" w:space="0"/>
            </w:tcBorders>
            <w:vAlign w:val="center"/>
          </w:tcPr>
          <w:p>
            <w:pPr>
              <w:ind w:firstLine="420" w:firstLineChars="200"/>
              <w:jc w:val="left"/>
              <w:rPr>
                <w:szCs w:val="21"/>
              </w:rPr>
            </w:pPr>
            <w:r>
              <w:rPr>
                <w:rFonts w:hint="eastAsia"/>
                <w:szCs w:val="21"/>
              </w:rPr>
              <w:t>我方所提交的报名资料和有关证明（含有关附件）均为真实、合法、有效文件，否则我方所交保证金由融资方和组织人没收。</w:t>
            </w:r>
          </w:p>
          <w:p>
            <w:pPr>
              <w:jc w:val="left"/>
              <w:rPr>
                <w:szCs w:val="21"/>
              </w:rPr>
            </w:pPr>
          </w:p>
          <w:p>
            <w:pPr>
              <w:jc w:val="left"/>
              <w:rPr>
                <w:szCs w:val="21"/>
              </w:rPr>
            </w:pPr>
          </w:p>
          <w:p>
            <w:pPr>
              <w:spacing w:line="360" w:lineRule="auto"/>
              <w:jc w:val="center"/>
              <w:rPr>
                <w:szCs w:val="21"/>
              </w:rPr>
            </w:pPr>
            <w:r>
              <w:rPr>
                <w:rFonts w:hint="eastAsia"/>
                <w:szCs w:val="21"/>
              </w:rPr>
              <w:t>意向投资方（盖章）：</w:t>
            </w:r>
          </w:p>
          <w:p>
            <w:pPr>
              <w:spacing w:line="360" w:lineRule="auto"/>
              <w:jc w:val="center"/>
              <w:rPr>
                <w:szCs w:val="21"/>
              </w:rPr>
            </w:pPr>
          </w:p>
          <w:p>
            <w:pPr>
              <w:spacing w:line="360" w:lineRule="auto"/>
              <w:jc w:val="center"/>
              <w:rPr>
                <w:szCs w:val="21"/>
              </w:rPr>
            </w:pPr>
          </w:p>
          <w:p>
            <w:pPr>
              <w:spacing w:line="480" w:lineRule="auto"/>
              <w:ind w:right="420"/>
              <w:jc w:val="center"/>
              <w:rPr>
                <w:szCs w:val="21"/>
              </w:rPr>
            </w:pPr>
            <w:r>
              <w:rPr>
                <w:rFonts w:hint="eastAsia"/>
                <w:szCs w:val="21"/>
              </w:rPr>
              <w:t>（签字）：</w:t>
            </w:r>
            <w:r>
              <w:rPr>
                <w:szCs w:val="21"/>
              </w:rPr>
              <w:t>___</w:t>
            </w:r>
            <w:r>
              <w:rPr>
                <w:szCs w:val="21"/>
                <w:u w:val="single"/>
              </w:rPr>
              <w:t xml:space="preserve">     _ __</w:t>
            </w:r>
            <w:r>
              <w:rPr>
                <w:szCs w:val="21"/>
              </w:rPr>
              <w:t>____</w:t>
            </w:r>
          </w:p>
          <w:p>
            <w:pPr>
              <w:adjustRightInd w:val="0"/>
              <w:snapToGrid w:val="0"/>
              <w:spacing w:line="480" w:lineRule="auto"/>
              <w:jc w:val="right"/>
              <w:rPr>
                <w:rFonts w:ascii="宋体"/>
                <w:szCs w:val="21"/>
              </w:rPr>
            </w:pPr>
            <w:r>
              <w:rPr>
                <w:rFonts w:hint="eastAsia"/>
                <w:szCs w:val="21"/>
              </w:rPr>
              <w:t>日期：</w:t>
            </w:r>
            <w:r>
              <w:rPr>
                <w:szCs w:val="21"/>
              </w:rPr>
              <w:t>______</w:t>
            </w:r>
            <w:r>
              <w:rPr>
                <w:rFonts w:hint="eastAsia"/>
                <w:szCs w:val="21"/>
              </w:rPr>
              <w:t>年</w:t>
            </w:r>
            <w:r>
              <w:rPr>
                <w:szCs w:val="21"/>
              </w:rPr>
              <w:t>____</w:t>
            </w:r>
            <w:r>
              <w:rPr>
                <w:rFonts w:hint="eastAsia"/>
                <w:szCs w:val="21"/>
              </w:rPr>
              <w:t>月</w:t>
            </w:r>
            <w:r>
              <w:rPr>
                <w:szCs w:val="21"/>
              </w:rPr>
              <w:t>____</w:t>
            </w:r>
            <w:r>
              <w:rPr>
                <w:rFonts w:hint="eastAsia"/>
                <w:szCs w:val="21"/>
              </w:rPr>
              <w:t>日</w:t>
            </w:r>
          </w:p>
          <w:p>
            <w:pPr>
              <w:rPr>
                <w:rFonts w:ascii="宋体"/>
                <w:szCs w:val="21"/>
              </w:rPr>
            </w:pPr>
          </w:p>
        </w:tc>
      </w:tr>
    </w:tbl>
    <w:p>
      <w:pPr>
        <w:pStyle w:val="2"/>
        <w:spacing w:before="120" w:after="120" w:line="360" w:lineRule="auto"/>
        <w:jc w:val="center"/>
        <w:rPr>
          <w:sz w:val="32"/>
          <w:szCs w:val="32"/>
        </w:rPr>
      </w:pPr>
      <w:r>
        <w:rPr>
          <w:sz w:val="32"/>
          <w:szCs w:val="32"/>
        </w:rPr>
        <w:br w:type="page"/>
      </w:r>
      <w:bookmarkStart w:id="11" w:name="_Toc11247"/>
      <w:r>
        <w:rPr>
          <w:rFonts w:hint="eastAsia"/>
          <w:sz w:val="32"/>
          <w:szCs w:val="32"/>
        </w:rPr>
        <w:t>认购风险告知书</w:t>
      </w:r>
      <w:bookmarkEnd w:id="11"/>
    </w:p>
    <w:p>
      <w:pPr>
        <w:spacing w:line="360" w:lineRule="auto"/>
        <w:rPr>
          <w:rFonts w:ascii="宋体"/>
          <w:sz w:val="24"/>
          <w:szCs w:val="24"/>
        </w:rPr>
      </w:pPr>
      <w:r>
        <w:rPr>
          <w:rFonts w:hint="eastAsia" w:ascii="宋体" w:hAnsi="宋体"/>
          <w:sz w:val="24"/>
          <w:szCs w:val="24"/>
        </w:rPr>
        <w:t>尊敬的投资方：</w:t>
      </w:r>
    </w:p>
    <w:p>
      <w:pPr>
        <w:spacing w:line="360" w:lineRule="auto"/>
        <w:ind w:firstLine="600" w:firstLineChars="250"/>
        <w:rPr>
          <w:rFonts w:ascii="宋体"/>
          <w:sz w:val="24"/>
          <w:szCs w:val="24"/>
        </w:rPr>
      </w:pPr>
      <w:r>
        <w:rPr>
          <w:rFonts w:hint="eastAsia" w:ascii="宋体" w:hAnsi="宋体"/>
          <w:sz w:val="24"/>
          <w:szCs w:val="24"/>
        </w:rPr>
        <w:t>台州市产权交易所有限公司作为产权市场的交易平台将恪尽职守，履行诚实、信用、谨慎、有效组织的义务。在您通过台州市产权交易所有限公司参与浙江海正博锐生物制药有限公司</w:t>
      </w:r>
      <w:bookmarkStart w:id="12" w:name="_Hlk527723805"/>
      <w:r>
        <w:rPr>
          <w:rFonts w:hint="eastAsia" w:ascii="宋体" w:hAnsi="宋体"/>
          <w:sz w:val="24"/>
          <w:szCs w:val="24"/>
        </w:rPr>
        <w:t>新增8,928.5714万元注册资本</w:t>
      </w:r>
      <w:bookmarkEnd w:id="12"/>
      <w:r>
        <w:rPr>
          <w:rFonts w:hint="eastAsia" w:ascii="宋体" w:hAnsi="宋体"/>
          <w:sz w:val="24"/>
          <w:szCs w:val="24"/>
        </w:rPr>
        <w:t>项目的投资时，应充分意识到可能面临的各种投资风险。为此，台州市产权交易所有限公司郑重告知如下：</w:t>
      </w:r>
    </w:p>
    <w:p>
      <w:pPr>
        <w:spacing w:line="360" w:lineRule="auto"/>
        <w:ind w:firstLine="480" w:firstLineChars="200"/>
        <w:rPr>
          <w:rFonts w:ascii="宋体"/>
          <w:sz w:val="24"/>
          <w:szCs w:val="24"/>
        </w:rPr>
      </w:pPr>
      <w:r>
        <w:rPr>
          <w:rFonts w:hint="eastAsia" w:ascii="宋体" w:hAnsi="宋体"/>
          <w:sz w:val="24"/>
          <w:szCs w:val="24"/>
        </w:rPr>
        <w:t>一、本项目海正博锐未承诺保本和最低收益，具有一定的投资风险，适合风险识别、评估、承受能力较强的合格投资者。</w:t>
      </w:r>
    </w:p>
    <w:p>
      <w:pPr>
        <w:spacing w:line="360" w:lineRule="auto"/>
        <w:ind w:firstLine="480" w:firstLineChars="200"/>
        <w:rPr>
          <w:rFonts w:ascii="宋体"/>
          <w:sz w:val="24"/>
          <w:szCs w:val="24"/>
        </w:rPr>
      </w:pPr>
      <w:r>
        <w:rPr>
          <w:rFonts w:hint="eastAsia" w:ascii="宋体" w:hAnsi="宋体"/>
          <w:sz w:val="24"/>
          <w:szCs w:val="24"/>
        </w:rPr>
        <w:t>二、投资方提供的所有证件和资料均应真实、全面、有效、合法，并保证其认购资金来源合法。</w:t>
      </w:r>
    </w:p>
    <w:p>
      <w:pPr>
        <w:spacing w:line="360" w:lineRule="auto"/>
        <w:ind w:firstLine="480" w:firstLineChars="200"/>
        <w:rPr>
          <w:rFonts w:ascii="宋体" w:hAnsi="宋体"/>
          <w:sz w:val="24"/>
          <w:szCs w:val="24"/>
        </w:rPr>
      </w:pPr>
      <w:r>
        <w:rPr>
          <w:rFonts w:hint="eastAsia" w:ascii="宋体" w:hAnsi="宋体"/>
          <w:sz w:val="24"/>
          <w:szCs w:val="24"/>
        </w:rPr>
        <w:t>三、投资方因参与本项目所产生的风险，由投资方自行承担。</w:t>
      </w:r>
    </w:p>
    <w:p>
      <w:pPr>
        <w:spacing w:line="360" w:lineRule="auto"/>
        <w:ind w:right="105" w:rightChars="50" w:firstLine="480" w:firstLineChars="200"/>
        <w:jc w:val="left"/>
        <w:rPr>
          <w:rFonts w:ascii="宋体" w:hAnsi="宋体"/>
          <w:sz w:val="24"/>
          <w:szCs w:val="24"/>
        </w:rPr>
      </w:pPr>
      <w:r>
        <w:rPr>
          <w:rFonts w:hint="eastAsia" w:ascii="宋体" w:hAnsi="宋体"/>
          <w:sz w:val="24"/>
          <w:szCs w:val="24"/>
        </w:rPr>
        <w:t>四、在本项目中，如只有一家投资方报名并经确认后，您方报名时提交的《增资认购报价单》报价作为成交价。如有两家或两家以上报名的，应按增资文件规定采取网络竞价</w:t>
      </w:r>
      <w:r>
        <w:rPr>
          <w:rFonts w:hint="eastAsia" w:ascii="宋体" w:hAnsi="宋体"/>
          <w:sz w:val="24"/>
        </w:rPr>
        <w:t>方式确定最终投资方</w:t>
      </w:r>
      <w:r>
        <w:rPr>
          <w:rFonts w:hint="eastAsia" w:ascii="宋体" w:hAnsi="宋体"/>
          <w:sz w:val="24"/>
          <w:szCs w:val="24"/>
        </w:rPr>
        <w:t>，您报名时提交的《增资认购报价单》将被确认为无效。</w:t>
      </w:r>
    </w:p>
    <w:p>
      <w:pPr>
        <w:spacing w:line="360" w:lineRule="auto"/>
        <w:ind w:firstLine="480" w:firstLineChars="200"/>
        <w:rPr>
          <w:rFonts w:ascii="宋体"/>
          <w:sz w:val="24"/>
          <w:szCs w:val="24"/>
        </w:rPr>
      </w:pPr>
      <w:r>
        <w:rPr>
          <w:rFonts w:hint="eastAsia" w:ascii="宋体" w:hAnsi="宋体"/>
          <w:sz w:val="24"/>
          <w:szCs w:val="24"/>
        </w:rPr>
        <w:t>五、在本项目中，投资方提交的《增资认购报价单》应当明确所认购</w:t>
      </w:r>
      <w:r>
        <w:rPr>
          <w:rFonts w:ascii="宋体" w:hAnsi="宋体"/>
          <w:sz w:val="24"/>
          <w:szCs w:val="24"/>
        </w:rPr>
        <w:t>89,285,714元注册资本，报价不得低于每股的起始价格11.2</w:t>
      </w:r>
      <w:r>
        <w:rPr>
          <w:rFonts w:hint="eastAsia" w:ascii="宋体" w:hAnsi="宋体"/>
          <w:sz w:val="24"/>
          <w:szCs w:val="24"/>
        </w:rPr>
        <w:t>元人民币。如低于上述价格或认购</w:t>
      </w:r>
      <w:r>
        <w:rPr>
          <w:rFonts w:ascii="宋体" w:hAnsi="宋体"/>
          <w:sz w:val="24"/>
          <w:szCs w:val="24"/>
        </w:rPr>
        <w:t>注册资本金额未达8,928.5714万元时，您提交的《增资认购报价单》将被确认为无效。您将面临丧失投资资格以及相应的资金损失。</w:t>
      </w:r>
    </w:p>
    <w:p>
      <w:pPr>
        <w:spacing w:line="360" w:lineRule="auto"/>
        <w:ind w:firstLine="480" w:firstLineChars="200"/>
        <w:rPr>
          <w:rFonts w:ascii="宋体"/>
          <w:sz w:val="24"/>
          <w:szCs w:val="24"/>
        </w:rPr>
      </w:pPr>
      <w:r>
        <w:rPr>
          <w:rFonts w:hint="eastAsia" w:ascii="宋体" w:hAnsi="宋体"/>
          <w:sz w:val="24"/>
          <w:szCs w:val="24"/>
        </w:rPr>
        <w:t>六、请您务必在规定时间内足额缴付保证金到台交所指定账户</w:t>
      </w:r>
      <w:r>
        <w:rPr>
          <w:rFonts w:hint="eastAsia" w:ascii="宋体" w:hAnsi="宋体"/>
          <w:sz w:val="24"/>
        </w:rPr>
        <w:t>，如异地网银支付的请关注人民银行大额转账的时间要求，提前汇款。否则，会影响您的认购资格。</w:t>
      </w:r>
    </w:p>
    <w:p>
      <w:pPr>
        <w:spacing w:line="360" w:lineRule="auto"/>
        <w:ind w:firstLine="480" w:firstLineChars="200"/>
        <w:rPr>
          <w:rFonts w:ascii="宋体"/>
          <w:sz w:val="24"/>
          <w:szCs w:val="24"/>
        </w:rPr>
      </w:pPr>
      <w:r>
        <w:rPr>
          <w:rFonts w:hint="eastAsia" w:ascii="宋体" w:hAnsi="宋体"/>
          <w:sz w:val="24"/>
          <w:szCs w:val="24"/>
        </w:rPr>
        <w:t>七、在本项目中，您一经提交《增资认购报价单》并缴纳保证金后不得随意撤销认购，否则将承担违约责任。由此您可能会面临撤销认购带来的违约责任。</w:t>
      </w:r>
    </w:p>
    <w:p>
      <w:pPr>
        <w:spacing w:line="360" w:lineRule="auto"/>
        <w:ind w:firstLine="480" w:firstLineChars="200"/>
        <w:rPr>
          <w:rFonts w:ascii="宋体"/>
          <w:sz w:val="24"/>
          <w:szCs w:val="24"/>
        </w:rPr>
      </w:pPr>
      <w:r>
        <w:rPr>
          <w:rFonts w:hint="eastAsia" w:ascii="宋体" w:hAnsi="宋体"/>
          <w:sz w:val="24"/>
          <w:szCs w:val="24"/>
        </w:rPr>
        <w:t>八、如您违反其他交易规则，也可能会导致交易无效，对此产生的法律后果请您充分知悉。</w:t>
      </w:r>
    </w:p>
    <w:p>
      <w:pPr>
        <w:spacing w:line="360" w:lineRule="auto"/>
        <w:ind w:firstLine="480" w:firstLineChars="200"/>
        <w:jc w:val="left"/>
        <w:rPr>
          <w:rFonts w:ascii="宋体" w:hAnsi="宋体"/>
          <w:sz w:val="24"/>
          <w:szCs w:val="24"/>
        </w:rPr>
      </w:pPr>
      <w:r>
        <w:rPr>
          <w:rFonts w:hint="eastAsia" w:ascii="宋体" w:hAnsi="宋体"/>
          <w:sz w:val="24"/>
          <w:szCs w:val="24"/>
        </w:rPr>
        <w:t>九、您在参加增资活动前，应当仔细阅读本告知书及其他交易文件，谨慎作出是否签署交易文件的决策。投资方签署相关文件并缴付保证金后，即表明您已认真阅读并理解本告知书及所有的交易文件，并愿意依法承担相应的投资风险和法律责任。</w:t>
      </w:r>
    </w:p>
    <w:p>
      <w:pPr>
        <w:spacing w:line="360" w:lineRule="auto"/>
        <w:ind w:firstLine="5400" w:firstLineChars="2250"/>
        <w:jc w:val="center"/>
        <w:rPr>
          <w:rFonts w:ascii="宋体"/>
          <w:sz w:val="24"/>
          <w:szCs w:val="24"/>
        </w:rPr>
      </w:pPr>
      <w:r>
        <w:rPr>
          <w:rFonts w:hint="eastAsia" w:ascii="宋体" w:hAnsi="宋体"/>
          <w:sz w:val="24"/>
          <w:szCs w:val="24"/>
        </w:rPr>
        <w:t>台州市产权交易所有限公司</w:t>
      </w:r>
    </w:p>
    <w:p>
      <w:pPr>
        <w:spacing w:line="360" w:lineRule="auto"/>
        <w:ind w:firstLine="5400" w:firstLineChars="2250"/>
        <w:jc w:val="center"/>
        <w:rPr>
          <w:rFonts w:ascii="方正姚体" w:hAnsi="宋体" w:eastAsia="方正姚体"/>
          <w:b/>
          <w:kern w:val="0"/>
          <w:sz w:val="40"/>
        </w:rPr>
      </w:pPr>
      <w:r>
        <w:rPr>
          <w:rFonts w:hint="eastAsia" w:ascii="宋体" w:hAnsi="宋体"/>
          <w:sz w:val="24"/>
          <w:szCs w:val="24"/>
        </w:rPr>
        <w:t>二〇一九年  月  日</w:t>
      </w:r>
      <w:r>
        <w:rPr>
          <w:rFonts w:ascii="宋体" w:hAnsi="宋体"/>
          <w:b/>
          <w:sz w:val="44"/>
          <w:szCs w:val="72"/>
        </w:rPr>
        <w:br w:type="page"/>
      </w:r>
    </w:p>
    <w:p>
      <w:pPr>
        <w:pStyle w:val="2"/>
        <w:jc w:val="center"/>
        <w:rPr>
          <w:sz w:val="32"/>
          <w:szCs w:val="32"/>
        </w:rPr>
      </w:pPr>
      <w:bookmarkStart w:id="13" w:name="_Toc3705"/>
      <w:r>
        <w:rPr>
          <w:rFonts w:hint="eastAsia"/>
          <w:sz w:val="32"/>
          <w:szCs w:val="32"/>
        </w:rPr>
        <w:t>意向投资方资格确认通知书</w:t>
      </w:r>
      <w:bookmarkEnd w:id="13"/>
    </w:p>
    <w:p>
      <w:pPr>
        <w:rPr>
          <w:snapToGrid w:val="0"/>
          <w:kern w:val="0"/>
        </w:rPr>
      </w:pPr>
    </w:p>
    <w:p>
      <w:pPr>
        <w:rPr>
          <w:snapToGrid w:val="0"/>
          <w:kern w:val="0"/>
        </w:rPr>
      </w:pPr>
    </w:p>
    <w:p>
      <w:pPr>
        <w:spacing w:line="360" w:lineRule="auto"/>
        <w:ind w:firstLine="300"/>
        <w:rPr>
          <w:rFonts w:ascii="宋体"/>
          <w:snapToGrid w:val="0"/>
          <w:kern w:val="0"/>
          <w:sz w:val="24"/>
          <w:u w:val="single"/>
        </w:rPr>
      </w:pPr>
      <w:r>
        <w:rPr>
          <w:rFonts w:ascii="仿宋_GB2312" w:hAnsi="Tahoma"/>
          <w:kern w:val="0"/>
          <w:sz w:val="30"/>
          <w:u w:val="single"/>
        </w:rPr>
        <w:t xml:space="preserve">                 </w:t>
      </w:r>
      <w:r>
        <w:rPr>
          <w:rFonts w:hint="eastAsia" w:ascii="仿宋_GB2312" w:hAnsi="Tahoma"/>
          <w:kern w:val="0"/>
          <w:sz w:val="30"/>
          <w:u w:val="single"/>
        </w:rPr>
        <w:t xml:space="preserve"> </w:t>
      </w:r>
      <w:r>
        <w:rPr>
          <w:rFonts w:ascii="仿宋_GB2312" w:hAnsi="Tahoma"/>
          <w:kern w:val="0"/>
          <w:sz w:val="30"/>
          <w:u w:val="single"/>
        </w:rPr>
        <w:t xml:space="preserve">       </w:t>
      </w:r>
      <w:r>
        <w:rPr>
          <w:rFonts w:hint="eastAsia" w:ascii="宋体" w:hAnsi="宋体"/>
          <w:snapToGrid w:val="0"/>
          <w:kern w:val="0"/>
          <w:sz w:val="24"/>
          <w:u w:val="single"/>
        </w:rPr>
        <w:t>：</w:t>
      </w:r>
    </w:p>
    <w:p>
      <w:pPr>
        <w:spacing w:line="360" w:lineRule="auto"/>
        <w:rPr>
          <w:rFonts w:ascii="仿宋_GB2312" w:hAnsi="Tahoma" w:eastAsia="仿宋_GB2312" w:cs="Tahoma"/>
          <w:kern w:val="0"/>
          <w:sz w:val="30"/>
          <w:szCs w:val="30"/>
        </w:rPr>
      </w:pPr>
    </w:p>
    <w:p>
      <w:pPr>
        <w:snapToGrid w:val="0"/>
        <w:spacing w:line="360" w:lineRule="auto"/>
        <w:ind w:firstLine="600" w:firstLineChars="200"/>
        <w:jc w:val="left"/>
        <w:rPr>
          <w:rFonts w:ascii="仿宋_GB2312" w:hAnsi="Tahoma" w:eastAsia="仿宋_GB2312" w:cs="Tahoma"/>
          <w:kern w:val="0"/>
          <w:sz w:val="30"/>
          <w:szCs w:val="30"/>
        </w:rPr>
      </w:pPr>
      <w:r>
        <w:rPr>
          <w:rFonts w:hint="eastAsia" w:ascii="仿宋_GB2312" w:hAnsi="Tahoma" w:eastAsia="仿宋_GB2312" w:cs="Tahoma"/>
          <w:kern w:val="0"/>
          <w:sz w:val="30"/>
          <w:szCs w:val="30"/>
        </w:rPr>
        <w:t>贵方拟投资浙江海正博锐生物制药有限公司增资扩股项目，根据贵方所缴的保证金</w:t>
      </w:r>
      <w:r>
        <w:rPr>
          <w:rFonts w:hint="eastAsia" w:ascii="仿宋_GB2312" w:hAnsi="Tahoma" w:eastAsia="仿宋_GB2312" w:cs="Tahoma"/>
          <w:kern w:val="0"/>
          <w:sz w:val="30"/>
          <w:szCs w:val="30"/>
          <w:u w:val="single"/>
        </w:rPr>
        <w:t>人民币30,000万元</w:t>
      </w:r>
      <w:r>
        <w:rPr>
          <w:rFonts w:hint="eastAsia" w:ascii="仿宋_GB2312" w:hAnsi="Tahoma" w:eastAsia="仿宋_GB2312" w:cs="Tahoma"/>
          <w:kern w:val="0"/>
          <w:sz w:val="30"/>
          <w:szCs w:val="30"/>
        </w:rPr>
        <w:t>，符合本次</w:t>
      </w:r>
      <w:r>
        <w:rPr>
          <w:rFonts w:hint="eastAsia" w:ascii="仿宋_GB2312" w:hAnsi="Tahoma" w:eastAsia="仿宋_GB2312" w:cs="Tahoma"/>
          <w:kern w:val="0"/>
          <w:sz w:val="30"/>
          <w:szCs w:val="30"/>
          <w:u w:val="single"/>
        </w:rPr>
        <w:t>增资8,928.5714</w:t>
      </w:r>
      <w:r>
        <w:rPr>
          <w:rFonts w:ascii="仿宋_GB2312" w:hAnsi="Tahoma" w:eastAsia="仿宋_GB2312" w:cs="Tahoma"/>
          <w:kern w:val="0"/>
          <w:sz w:val="30"/>
          <w:szCs w:val="30"/>
          <w:u w:val="single"/>
        </w:rPr>
        <w:t xml:space="preserve"> </w:t>
      </w:r>
      <w:r>
        <w:rPr>
          <w:rFonts w:hint="eastAsia" w:ascii="仿宋_GB2312" w:hAnsi="Tahoma" w:eastAsia="仿宋_GB2312" w:cs="Tahoma"/>
          <w:kern w:val="0"/>
          <w:sz w:val="30"/>
          <w:szCs w:val="30"/>
          <w:u w:val="single"/>
        </w:rPr>
        <w:t>万元</w:t>
      </w:r>
      <w:r>
        <w:rPr>
          <w:rFonts w:hint="eastAsia" w:ascii="仿宋_GB2312" w:hAnsi="Tahoma" w:eastAsia="仿宋_GB2312" w:cs="Tahoma"/>
          <w:kern w:val="0"/>
          <w:sz w:val="30"/>
          <w:szCs w:val="30"/>
        </w:rPr>
        <w:t>资格条件，已经融资方审核，通知如下：</w:t>
      </w:r>
    </w:p>
    <w:p>
      <w:pPr>
        <w:spacing w:line="500" w:lineRule="atLeast"/>
        <w:ind w:firstLine="600" w:firstLineChars="200"/>
        <w:rPr>
          <w:rFonts w:ascii="仿宋_GB2312" w:hAnsi="Tahoma" w:eastAsia="仿宋_GB2312" w:cs="Tahoma"/>
          <w:kern w:val="0"/>
          <w:sz w:val="30"/>
          <w:szCs w:val="30"/>
        </w:rPr>
      </w:pPr>
      <w:r>
        <w:rPr>
          <w:rFonts w:hint="eastAsia" w:ascii="仿宋_GB2312" w:hAnsi="Tahoma" w:eastAsia="仿宋_GB2312" w:cs="Tahoma"/>
          <w:kern w:val="0"/>
          <w:sz w:val="30"/>
          <w:szCs w:val="30"/>
        </w:rPr>
        <w:t>贵方请持此《资格确认书》参加我所</w:t>
      </w:r>
      <w:r>
        <w:rPr>
          <w:rFonts w:hint="eastAsia" w:ascii="仿宋_GB2312" w:hAnsi="Tahoma" w:eastAsia="仿宋_GB2312" w:cs="Tahoma"/>
          <w:kern w:val="0"/>
          <w:sz w:val="30"/>
          <w:szCs w:val="30"/>
          <w:u w:val="single"/>
        </w:rPr>
        <w:t>于</w:t>
      </w:r>
      <w:r>
        <w:rPr>
          <w:rFonts w:ascii="仿宋_GB2312" w:hAnsi="Tahoma" w:eastAsia="仿宋_GB2312" w:cs="Tahoma"/>
          <w:kern w:val="0"/>
          <w:sz w:val="30"/>
          <w:szCs w:val="30"/>
          <w:u w:val="single"/>
        </w:rPr>
        <w:t>2019</w:t>
      </w:r>
      <w:r>
        <w:rPr>
          <w:rFonts w:hint="eastAsia" w:ascii="仿宋_GB2312" w:hAnsi="Tahoma" w:eastAsia="仿宋_GB2312" w:cs="Tahoma"/>
          <w:kern w:val="0"/>
          <w:sz w:val="30"/>
          <w:szCs w:val="30"/>
          <w:u w:val="single"/>
        </w:rPr>
        <w:t>年9月4日</w:t>
      </w:r>
      <w:r>
        <w:rPr>
          <w:rFonts w:ascii="仿宋_GB2312" w:hAnsi="Tahoma" w:eastAsia="仿宋_GB2312" w:cs="Tahoma"/>
          <w:kern w:val="0"/>
          <w:sz w:val="30"/>
          <w:szCs w:val="30"/>
          <w:u w:val="single"/>
        </w:rPr>
        <w:t>(</w:t>
      </w:r>
      <w:r>
        <w:rPr>
          <w:rFonts w:hint="eastAsia" w:ascii="仿宋_GB2312" w:hAnsi="Tahoma" w:eastAsia="仿宋_GB2312" w:cs="Tahoma"/>
          <w:kern w:val="0"/>
          <w:sz w:val="30"/>
          <w:szCs w:val="30"/>
          <w:u w:val="single"/>
        </w:rPr>
        <w:t>星期三</w:t>
      </w:r>
      <w:r>
        <w:rPr>
          <w:rFonts w:ascii="仿宋_GB2312" w:hAnsi="Tahoma"/>
          <w:kern w:val="0"/>
          <w:sz w:val="30"/>
          <w:u w:val="single"/>
        </w:rPr>
        <w:t>)</w:t>
      </w:r>
      <w:r>
        <w:rPr>
          <w:rFonts w:hint="eastAsia" w:ascii="仿宋_GB2312" w:hAnsi="Tahoma" w:eastAsia="仿宋_GB2312" w:cs="Tahoma"/>
          <w:kern w:val="0"/>
          <w:sz w:val="30"/>
          <w:szCs w:val="30"/>
          <w:u w:val="single"/>
        </w:rPr>
        <w:t>上午9：30时</w:t>
      </w:r>
      <w:r>
        <w:rPr>
          <w:rFonts w:hint="eastAsia" w:ascii="仿宋_GB2312" w:hAnsi="Tahoma" w:eastAsia="仿宋_GB2312" w:cs="Tahoma"/>
          <w:kern w:val="0"/>
          <w:sz w:val="30"/>
          <w:szCs w:val="30"/>
        </w:rPr>
        <w:t>，在台州市产权交易所</w:t>
      </w:r>
      <w:bookmarkStart w:id="14" w:name="dizhi"/>
      <w:r>
        <w:rPr>
          <w:rFonts w:hint="eastAsia" w:ascii="仿宋_GB2312" w:hAnsi="Tahoma" w:eastAsia="仿宋_GB2312" w:cs="Tahoma"/>
          <w:kern w:val="0"/>
          <w:sz w:val="30"/>
          <w:szCs w:val="30"/>
        </w:rPr>
        <w:t>（台州市市府大道777号浙江民泰商业银行三楼三号开标室）</w:t>
      </w:r>
      <w:bookmarkEnd w:id="14"/>
      <w:r>
        <w:rPr>
          <w:rFonts w:hint="eastAsia" w:ascii="仿宋_GB2312" w:hAnsi="Tahoma" w:eastAsia="仿宋_GB2312" w:cs="Tahoma"/>
          <w:kern w:val="0"/>
          <w:sz w:val="30"/>
          <w:szCs w:val="30"/>
        </w:rPr>
        <w:t>举行的浙江海正博锐生物制药有限公司新增8,928.5714万元注册资本项目活动。</w:t>
      </w:r>
    </w:p>
    <w:p>
      <w:pPr>
        <w:snapToGrid w:val="0"/>
        <w:spacing w:line="360" w:lineRule="auto"/>
        <w:ind w:firstLine="600" w:firstLineChars="200"/>
        <w:rPr>
          <w:rFonts w:ascii="仿宋_GB2312" w:hAnsi="Tahoma" w:eastAsia="仿宋_GB2312" w:cs="Tahoma"/>
          <w:kern w:val="0"/>
          <w:sz w:val="30"/>
          <w:szCs w:val="30"/>
        </w:rPr>
      </w:pPr>
    </w:p>
    <w:p>
      <w:pPr>
        <w:snapToGrid w:val="0"/>
        <w:spacing w:line="360" w:lineRule="auto"/>
        <w:ind w:firstLine="600" w:firstLineChars="200"/>
        <w:rPr>
          <w:rFonts w:ascii="仿宋_GB2312" w:hAnsi="Tahoma" w:eastAsia="仿宋_GB2312" w:cs="Tahoma"/>
          <w:kern w:val="0"/>
          <w:sz w:val="30"/>
          <w:szCs w:val="30"/>
        </w:rPr>
      </w:pPr>
      <w:r>
        <w:rPr>
          <w:rFonts w:hint="eastAsia" w:ascii="仿宋_GB2312" w:hAnsi="Tahoma" w:eastAsia="仿宋_GB2312" w:cs="Tahoma"/>
          <w:kern w:val="0"/>
          <w:sz w:val="30"/>
          <w:szCs w:val="30"/>
        </w:rPr>
        <w:t>特此通知。</w:t>
      </w:r>
    </w:p>
    <w:p>
      <w:pPr>
        <w:snapToGrid w:val="0"/>
        <w:spacing w:line="360" w:lineRule="auto"/>
        <w:ind w:firstLine="600" w:firstLineChars="200"/>
        <w:rPr>
          <w:rFonts w:ascii="宋体"/>
          <w:snapToGrid w:val="0"/>
          <w:kern w:val="0"/>
          <w:sz w:val="30"/>
          <w:szCs w:val="30"/>
        </w:rPr>
      </w:pPr>
    </w:p>
    <w:p>
      <w:pPr>
        <w:snapToGrid w:val="0"/>
        <w:spacing w:line="360" w:lineRule="auto"/>
        <w:ind w:firstLine="600" w:firstLineChars="200"/>
        <w:rPr>
          <w:rFonts w:ascii="宋体"/>
          <w:snapToGrid w:val="0"/>
          <w:kern w:val="0"/>
          <w:sz w:val="30"/>
          <w:szCs w:val="30"/>
        </w:rPr>
      </w:pPr>
    </w:p>
    <w:p>
      <w:pPr>
        <w:snapToGrid w:val="0"/>
        <w:spacing w:line="360" w:lineRule="auto"/>
        <w:ind w:firstLine="435"/>
        <w:jc w:val="center"/>
        <w:rPr>
          <w:rFonts w:ascii="宋体"/>
          <w:snapToGrid w:val="0"/>
          <w:kern w:val="0"/>
          <w:sz w:val="30"/>
          <w:szCs w:val="30"/>
        </w:rPr>
      </w:pPr>
      <w:r>
        <w:rPr>
          <w:rFonts w:ascii="宋体" w:hAnsi="宋体"/>
          <w:snapToGrid w:val="0"/>
          <w:kern w:val="0"/>
          <w:sz w:val="30"/>
          <w:szCs w:val="30"/>
        </w:rPr>
        <w:t xml:space="preserve">                       </w:t>
      </w:r>
      <w:r>
        <w:rPr>
          <w:rFonts w:hint="eastAsia" w:ascii="宋体" w:hAnsi="宋体"/>
          <w:snapToGrid w:val="0"/>
          <w:kern w:val="0"/>
          <w:sz w:val="30"/>
          <w:szCs w:val="30"/>
        </w:rPr>
        <w:t>产权交易机构（盖章）</w:t>
      </w:r>
    </w:p>
    <w:p>
      <w:pPr>
        <w:snapToGrid w:val="0"/>
        <w:spacing w:line="360" w:lineRule="auto"/>
        <w:ind w:firstLine="435"/>
        <w:rPr>
          <w:rFonts w:ascii="宋体"/>
          <w:snapToGrid w:val="0"/>
          <w:kern w:val="0"/>
          <w:sz w:val="30"/>
          <w:szCs w:val="30"/>
        </w:rPr>
      </w:pPr>
    </w:p>
    <w:p>
      <w:pPr>
        <w:snapToGrid w:val="0"/>
        <w:spacing w:line="360" w:lineRule="auto"/>
        <w:ind w:firstLine="6465" w:firstLineChars="2155"/>
        <w:rPr>
          <w:rFonts w:ascii="宋体"/>
          <w:snapToGrid w:val="0"/>
          <w:kern w:val="0"/>
          <w:sz w:val="30"/>
          <w:szCs w:val="30"/>
        </w:rPr>
      </w:pPr>
      <w:r>
        <w:rPr>
          <w:rFonts w:hint="eastAsia" w:ascii="宋体" w:hAnsi="宋体"/>
          <w:kern w:val="0"/>
          <w:sz w:val="30"/>
        </w:rPr>
        <w:t>年</w:t>
      </w:r>
      <w:r>
        <w:rPr>
          <w:rFonts w:ascii="宋体" w:hAnsi="宋体"/>
          <w:kern w:val="0"/>
          <w:sz w:val="30"/>
        </w:rPr>
        <w:t xml:space="preserve"> </w:t>
      </w:r>
      <w:r>
        <w:rPr>
          <w:rFonts w:hint="eastAsia" w:ascii="宋体" w:hAnsi="宋体"/>
          <w:kern w:val="0"/>
          <w:sz w:val="30"/>
        </w:rPr>
        <w:t xml:space="preserve"> </w:t>
      </w:r>
      <w:r>
        <w:rPr>
          <w:rFonts w:ascii="宋体" w:hAnsi="宋体"/>
          <w:kern w:val="0"/>
          <w:sz w:val="30"/>
        </w:rPr>
        <w:t xml:space="preserve"> </w:t>
      </w:r>
      <w:r>
        <w:rPr>
          <w:rFonts w:hint="eastAsia" w:ascii="宋体" w:hAnsi="宋体"/>
          <w:kern w:val="0"/>
          <w:sz w:val="30"/>
        </w:rPr>
        <w:t>月</w:t>
      </w:r>
      <w:r>
        <w:rPr>
          <w:rFonts w:ascii="宋体" w:hAnsi="宋体"/>
          <w:kern w:val="0"/>
          <w:sz w:val="30"/>
        </w:rPr>
        <w:t xml:space="preserve">  </w:t>
      </w:r>
      <w:r>
        <w:rPr>
          <w:rFonts w:ascii="宋体" w:hAnsi="宋体"/>
          <w:snapToGrid w:val="0"/>
          <w:kern w:val="0"/>
          <w:sz w:val="30"/>
          <w:szCs w:val="30"/>
        </w:rPr>
        <w:t xml:space="preserve"> </w:t>
      </w:r>
      <w:r>
        <w:rPr>
          <w:rFonts w:hint="eastAsia" w:ascii="宋体" w:hAnsi="宋体"/>
          <w:kern w:val="0"/>
          <w:sz w:val="30"/>
        </w:rPr>
        <w:t>日</w:t>
      </w:r>
    </w:p>
    <w:p>
      <w:pPr>
        <w:spacing w:line="500" w:lineRule="atLeast"/>
        <w:ind w:firstLine="1084" w:firstLineChars="450"/>
        <w:jc w:val="center"/>
        <w:rPr>
          <w:rFonts w:ascii="宋体"/>
          <w:b/>
          <w:sz w:val="24"/>
          <w:szCs w:val="24"/>
        </w:rPr>
      </w:pPr>
    </w:p>
    <w:p>
      <w:pPr>
        <w:spacing w:line="500" w:lineRule="atLeast"/>
        <w:rPr>
          <w:rFonts w:ascii="宋体"/>
          <w:b/>
          <w:sz w:val="24"/>
          <w:szCs w:val="24"/>
        </w:rPr>
      </w:pPr>
    </w:p>
    <w:p>
      <w:pPr>
        <w:pStyle w:val="2"/>
        <w:jc w:val="center"/>
        <w:rPr>
          <w:sz w:val="32"/>
          <w:szCs w:val="32"/>
        </w:rPr>
      </w:pPr>
      <w:r>
        <w:rPr>
          <w:rFonts w:ascii="宋体" w:hAnsi="宋体"/>
          <w:b w:val="0"/>
          <w:sz w:val="24"/>
          <w:szCs w:val="24"/>
        </w:rPr>
        <w:br w:type="page"/>
      </w:r>
      <w:bookmarkStart w:id="15" w:name="_Toc7551"/>
      <w:r>
        <w:rPr>
          <w:rFonts w:hint="eastAsia"/>
          <w:sz w:val="32"/>
          <w:szCs w:val="32"/>
        </w:rPr>
        <w:t>增资认购报价单</w:t>
      </w:r>
      <w:bookmarkEnd w:id="15"/>
    </w:p>
    <w:p>
      <w:pPr>
        <w:spacing w:line="500" w:lineRule="atLeast"/>
        <w:rPr>
          <w:rFonts w:ascii="宋体"/>
          <w:sz w:val="24"/>
          <w:szCs w:val="24"/>
        </w:rPr>
      </w:pPr>
    </w:p>
    <w:p>
      <w:pPr>
        <w:spacing w:line="520" w:lineRule="exact"/>
        <w:ind w:firstLine="480" w:firstLineChars="200"/>
        <w:rPr>
          <w:rFonts w:ascii="宋体" w:hAnsi="宋体"/>
          <w:sz w:val="24"/>
          <w:szCs w:val="24"/>
        </w:rPr>
      </w:pPr>
      <w:r>
        <w:rPr>
          <w:rFonts w:hint="eastAsia" w:ascii="宋体" w:hAnsi="宋体"/>
          <w:sz w:val="24"/>
          <w:szCs w:val="24"/>
        </w:rPr>
        <w:t>台州市产权交易所有限公司：</w:t>
      </w:r>
    </w:p>
    <w:p>
      <w:pPr>
        <w:pStyle w:val="8"/>
        <w:numPr>
          <w:ilvl w:val="0"/>
          <w:numId w:val="7"/>
        </w:numPr>
        <w:spacing w:line="520" w:lineRule="exact"/>
        <w:ind w:left="0" w:firstLine="480"/>
        <w:rPr>
          <w:rFonts w:ascii="宋体" w:hAnsi="宋体" w:eastAsia="宋体"/>
          <w:sz w:val="24"/>
        </w:rPr>
      </w:pPr>
      <w:r>
        <w:rPr>
          <w:rFonts w:hint="eastAsia" w:ascii="宋体" w:hAnsi="宋体" w:eastAsia="宋体"/>
          <w:sz w:val="24"/>
        </w:rPr>
        <w:t>经认真阅读编号为台交所挂【2019】16号《浙江海正博锐生物制药有限公司新增8,928.5714万元注册资本项目文件》，我方已充分知悉和理解该增资扩股项目情况及相关风险，同意按照台州市产权交易所规则和公告的投资方择优选择程序参与本次增资认购活动，并接受程序选择结果和承担由此产生的一切后果。在此过程中，如我方有违法违规行为，我方愿意承担相应法律责任，并赔偿相关方损失，包括扣除已缴纳的保证金和承担违约责任等。我方对此次增资报价为：</w:t>
      </w:r>
    </w:p>
    <w:p>
      <w:pPr>
        <w:pStyle w:val="8"/>
        <w:spacing w:line="520" w:lineRule="exact"/>
        <w:ind w:firstLine="480"/>
        <w:rPr>
          <w:rFonts w:ascii="宋体" w:hAnsi="宋体" w:eastAsia="宋体"/>
          <w:sz w:val="24"/>
          <w:u w:val="single"/>
        </w:rPr>
      </w:pPr>
      <w:r>
        <w:rPr>
          <w:rFonts w:hint="eastAsia" w:ascii="宋体" w:hAnsi="宋体" w:eastAsia="宋体"/>
          <w:sz w:val="24"/>
          <w:u w:val="single"/>
        </w:rPr>
        <w:t>报价：增资额8,928.5714万元，单价            元/元注册</w:t>
      </w:r>
      <w:r>
        <w:rPr>
          <w:rFonts w:ascii="宋体" w:hAnsi="宋体" w:eastAsia="宋体"/>
          <w:sz w:val="24"/>
          <w:u w:val="single"/>
        </w:rPr>
        <w:t>资本</w:t>
      </w:r>
      <w:r>
        <w:rPr>
          <w:rFonts w:hint="eastAsia" w:ascii="宋体" w:hAnsi="宋体" w:eastAsia="宋体"/>
          <w:sz w:val="24"/>
          <w:u w:val="single"/>
        </w:rPr>
        <w:t>（人民币）。（应当明确所认购8,928.5714万元注册资本，报价不得低于每股的起始价格11.2元人民币。）</w:t>
      </w:r>
    </w:p>
    <w:p>
      <w:pPr>
        <w:pStyle w:val="10"/>
        <w:spacing w:after="0" w:line="520" w:lineRule="exact"/>
        <w:ind w:leftChars="0" w:firstLine="480" w:firstLineChars="200"/>
        <w:rPr>
          <w:rFonts w:ascii="宋体" w:hAnsi="宋体"/>
          <w:sz w:val="24"/>
        </w:rPr>
      </w:pPr>
      <w:r>
        <w:rPr>
          <w:rFonts w:hint="eastAsia" w:ascii="宋体" w:hAnsi="宋体"/>
          <w:sz w:val="24"/>
        </w:rPr>
        <w:t>二、一旦我方有幸成为最终投资方，我方保证：</w:t>
      </w:r>
    </w:p>
    <w:p>
      <w:pPr>
        <w:pStyle w:val="10"/>
        <w:spacing w:after="0" w:line="520" w:lineRule="exact"/>
        <w:ind w:left="0" w:leftChars="0" w:firstLine="480" w:firstLineChars="200"/>
        <w:rPr>
          <w:rFonts w:ascii="宋体" w:hAnsi="宋体"/>
          <w:sz w:val="24"/>
        </w:rPr>
      </w:pPr>
      <w:r>
        <w:rPr>
          <w:rFonts w:hint="eastAsia" w:ascii="宋体" w:hAnsi="宋体"/>
          <w:sz w:val="24"/>
        </w:rPr>
        <w:t>1、当场签订《增资确认书》和《增资扩股协议》；</w:t>
      </w:r>
    </w:p>
    <w:p>
      <w:pPr>
        <w:pStyle w:val="10"/>
        <w:spacing w:after="0" w:line="520" w:lineRule="exact"/>
        <w:ind w:left="0" w:leftChars="0" w:firstLine="480" w:firstLineChars="200"/>
        <w:rPr>
          <w:rFonts w:ascii="宋体" w:hAnsi="宋体"/>
          <w:sz w:val="24"/>
        </w:rPr>
      </w:pPr>
      <w:r>
        <w:rPr>
          <w:rFonts w:hint="eastAsia" w:ascii="宋体" w:hAnsi="宋体"/>
          <w:sz w:val="24"/>
        </w:rPr>
        <w:t>2、如只有我方一家报名并经确认后，我方接受本《增资认购报价单》报价作为成交价。</w:t>
      </w:r>
    </w:p>
    <w:p>
      <w:pPr>
        <w:spacing w:line="520" w:lineRule="exact"/>
        <w:ind w:right="105" w:rightChars="50" w:firstLine="480" w:firstLineChars="200"/>
        <w:jc w:val="left"/>
        <w:rPr>
          <w:rFonts w:ascii="宋体" w:hAnsi="宋体"/>
          <w:sz w:val="24"/>
          <w:szCs w:val="24"/>
        </w:rPr>
      </w:pPr>
      <w:r>
        <w:rPr>
          <w:rFonts w:hint="eastAsia" w:ascii="宋体" w:hAnsi="宋体"/>
          <w:sz w:val="24"/>
          <w:szCs w:val="24"/>
        </w:rPr>
        <w:t>3、如有两家或两家以上报名的，我方愿意按增资文件规定采取竞价方式确定最终投资方。</w:t>
      </w:r>
    </w:p>
    <w:p>
      <w:pPr>
        <w:pStyle w:val="10"/>
        <w:spacing w:after="0" w:line="520" w:lineRule="exact"/>
        <w:ind w:left="0" w:leftChars="0" w:firstLine="480" w:firstLineChars="200"/>
        <w:rPr>
          <w:rFonts w:ascii="宋体" w:hAnsi="宋体"/>
          <w:sz w:val="24"/>
        </w:rPr>
      </w:pPr>
      <w:r>
        <w:rPr>
          <w:rFonts w:hint="eastAsia" w:ascii="宋体" w:hAnsi="宋体"/>
          <w:sz w:val="24"/>
        </w:rPr>
        <w:t>4、《增资扩股协议》签署</w:t>
      </w:r>
      <w:r>
        <w:rPr>
          <w:rFonts w:ascii="宋体" w:hAnsi="宋体"/>
          <w:sz w:val="24"/>
        </w:rPr>
        <w:t>后(如需相关政府主管部门</w:t>
      </w:r>
      <w:r>
        <w:rPr>
          <w:rFonts w:hint="eastAsia" w:ascii="宋体" w:hAnsi="宋体"/>
          <w:sz w:val="24"/>
        </w:rPr>
        <w:t>批准</w:t>
      </w:r>
      <w:r>
        <w:rPr>
          <w:rFonts w:ascii="宋体" w:hAnsi="宋体"/>
          <w:sz w:val="24"/>
        </w:rPr>
        <w:t>、登记</w:t>
      </w:r>
      <w:r>
        <w:rPr>
          <w:rFonts w:hint="eastAsia" w:ascii="宋体" w:hAnsi="宋体"/>
          <w:sz w:val="24"/>
        </w:rPr>
        <w:t>及</w:t>
      </w:r>
      <w:r>
        <w:rPr>
          <w:rFonts w:ascii="宋体" w:hAnsi="宋体"/>
          <w:sz w:val="24"/>
        </w:rPr>
        <w:t>/或备案的，则在政府主管部门</w:t>
      </w:r>
      <w:r>
        <w:rPr>
          <w:rFonts w:hint="eastAsia" w:ascii="宋体" w:hAnsi="宋体"/>
          <w:sz w:val="24"/>
        </w:rPr>
        <w:t>批准</w:t>
      </w:r>
      <w:r>
        <w:rPr>
          <w:rFonts w:ascii="宋体" w:hAnsi="宋体"/>
          <w:sz w:val="24"/>
        </w:rPr>
        <w:t>、登记</w:t>
      </w:r>
      <w:r>
        <w:rPr>
          <w:rFonts w:hint="eastAsia" w:ascii="宋体" w:hAnsi="宋体"/>
          <w:sz w:val="24"/>
        </w:rPr>
        <w:t>及</w:t>
      </w:r>
      <w:r>
        <w:rPr>
          <w:rFonts w:ascii="宋体" w:hAnsi="宋体"/>
          <w:sz w:val="24"/>
        </w:rPr>
        <w:t>/或备案</w:t>
      </w:r>
      <w:r>
        <w:rPr>
          <w:rFonts w:hint="eastAsia" w:ascii="宋体" w:hAnsi="宋体"/>
          <w:sz w:val="24"/>
        </w:rPr>
        <w:t>后</w:t>
      </w:r>
      <w:r>
        <w:rPr>
          <w:rFonts w:ascii="宋体" w:hAnsi="宋体"/>
          <w:sz w:val="24"/>
        </w:rPr>
        <w:t>)</w:t>
      </w:r>
      <w:r>
        <w:rPr>
          <w:rFonts w:hint="eastAsia" w:ascii="宋体" w:hAnsi="宋体"/>
          <w:sz w:val="24"/>
        </w:rPr>
        <w:t>五个工作日内向</w:t>
      </w:r>
      <w:r>
        <w:rPr>
          <w:rFonts w:ascii="宋体" w:hAnsi="宋体"/>
          <w:sz w:val="24"/>
        </w:rPr>
        <w:t>增资方</w:t>
      </w:r>
      <w:r>
        <w:rPr>
          <w:rFonts w:hint="eastAsia" w:ascii="宋体" w:hAnsi="宋体"/>
          <w:sz w:val="24"/>
        </w:rPr>
        <w:t>一次性支付全部投资款（投资方</w:t>
      </w:r>
      <w:r>
        <w:rPr>
          <w:rFonts w:ascii="宋体" w:hAnsi="宋体"/>
          <w:sz w:val="24"/>
        </w:rPr>
        <w:t>先期汇入产交所的竞买保证金应转</w:t>
      </w:r>
      <w:r>
        <w:rPr>
          <w:rFonts w:hint="eastAsia" w:ascii="宋体" w:hAnsi="宋体"/>
          <w:sz w:val="24"/>
        </w:rPr>
        <w:t>为</w:t>
      </w:r>
      <w:r>
        <w:rPr>
          <w:rFonts w:ascii="宋体" w:hAnsi="宋体"/>
          <w:sz w:val="24"/>
        </w:rPr>
        <w:t>同额投资款）</w:t>
      </w:r>
      <w:r>
        <w:rPr>
          <w:rFonts w:hint="eastAsia" w:ascii="宋体" w:hAnsi="宋体"/>
          <w:sz w:val="24"/>
        </w:rPr>
        <w:t>，</w:t>
      </w:r>
      <w:r>
        <w:rPr>
          <w:rFonts w:ascii="宋体" w:hAnsi="宋体"/>
          <w:sz w:val="24"/>
        </w:rPr>
        <w:t>并于</w:t>
      </w:r>
      <w:r>
        <w:rPr>
          <w:rFonts w:hint="eastAsia" w:ascii="宋体" w:hAnsi="宋体"/>
          <w:sz w:val="24"/>
        </w:rPr>
        <w:t>《增资扩股协议》生效</w:t>
      </w:r>
      <w:r>
        <w:rPr>
          <w:rFonts w:ascii="宋体" w:hAnsi="宋体"/>
          <w:sz w:val="24"/>
        </w:rPr>
        <w:t>后五个工作日内</w:t>
      </w:r>
      <w:r>
        <w:rPr>
          <w:rFonts w:hint="eastAsia" w:ascii="宋体" w:hAnsi="宋体"/>
          <w:sz w:val="24"/>
        </w:rPr>
        <w:t>向</w:t>
      </w:r>
      <w:r>
        <w:rPr>
          <w:rFonts w:ascii="宋体" w:hAnsi="宋体"/>
          <w:sz w:val="24"/>
        </w:rPr>
        <w:t>产交所支付</w:t>
      </w:r>
      <w:r>
        <w:rPr>
          <w:rFonts w:hint="eastAsia" w:ascii="宋体" w:hAnsi="宋体"/>
          <w:sz w:val="24"/>
        </w:rPr>
        <w:t>人民币58万元服务费；所支付的资金来源合法。</w:t>
      </w:r>
    </w:p>
    <w:p>
      <w:pPr>
        <w:pStyle w:val="10"/>
        <w:spacing w:after="0" w:line="520" w:lineRule="exact"/>
        <w:ind w:left="0" w:leftChars="0" w:firstLine="480" w:firstLineChars="200"/>
        <w:rPr>
          <w:rFonts w:ascii="宋体" w:hAnsi="宋体"/>
          <w:sz w:val="24"/>
        </w:rPr>
      </w:pPr>
      <w:r>
        <w:rPr>
          <w:rFonts w:hint="eastAsia" w:ascii="宋体" w:hAnsi="宋体"/>
          <w:sz w:val="24"/>
        </w:rPr>
        <w:t>5、自愿接受该项目公告所有内容和增资认购的全部要求和条件。</w:t>
      </w:r>
    </w:p>
    <w:p>
      <w:pPr>
        <w:pStyle w:val="10"/>
        <w:spacing w:after="0" w:line="520" w:lineRule="exact"/>
        <w:ind w:left="0" w:leftChars="0" w:right="640" w:firstLine="5520" w:firstLineChars="2300"/>
        <w:rPr>
          <w:rFonts w:ascii="宋体" w:hAnsi="宋体"/>
          <w:sz w:val="24"/>
        </w:rPr>
      </w:pPr>
      <w:r>
        <w:rPr>
          <w:rFonts w:hint="eastAsia" w:ascii="宋体" w:hAnsi="宋体"/>
          <w:sz w:val="24"/>
        </w:rPr>
        <w:t>竞买方(盖章)：</w:t>
      </w:r>
    </w:p>
    <w:p>
      <w:pPr>
        <w:pStyle w:val="10"/>
        <w:spacing w:after="0" w:line="520" w:lineRule="exact"/>
        <w:ind w:left="0" w:leftChars="0" w:right="640" w:firstLine="5520" w:firstLineChars="2300"/>
        <w:rPr>
          <w:rFonts w:ascii="宋体" w:hAnsi="宋体"/>
          <w:sz w:val="24"/>
        </w:rPr>
      </w:pPr>
      <w:r>
        <w:rPr>
          <w:rFonts w:hint="eastAsia" w:ascii="宋体" w:hAnsi="宋体"/>
          <w:sz w:val="24"/>
        </w:rPr>
        <w:t>代表人（签字）：</w:t>
      </w:r>
    </w:p>
    <w:p>
      <w:pPr>
        <w:pStyle w:val="10"/>
        <w:spacing w:after="0" w:line="520" w:lineRule="exact"/>
        <w:ind w:left="0" w:leftChars="0" w:right="640" w:firstLine="5520" w:firstLineChars="2300"/>
        <w:rPr>
          <w:rFonts w:ascii="宋体" w:hAnsi="宋体"/>
          <w:sz w:val="24"/>
        </w:rPr>
      </w:pPr>
      <w:r>
        <w:rPr>
          <w:rFonts w:hint="eastAsia" w:ascii="宋体" w:hAnsi="宋体"/>
          <w:sz w:val="24"/>
        </w:rPr>
        <w:t>联系电话：</w:t>
      </w:r>
    </w:p>
    <w:p>
      <w:pPr>
        <w:spacing w:line="520" w:lineRule="exact"/>
        <w:ind w:right="960"/>
        <w:jc w:val="right"/>
        <w:rPr>
          <w:rFonts w:ascii="宋体"/>
          <w:b/>
          <w:spacing w:val="12"/>
          <w:sz w:val="36"/>
          <w:szCs w:val="36"/>
        </w:rPr>
      </w:pPr>
      <w:r>
        <w:rPr>
          <w:rFonts w:hint="eastAsia" w:ascii="宋体" w:hAnsi="宋体"/>
          <w:sz w:val="24"/>
          <w:szCs w:val="24"/>
        </w:rPr>
        <w:t xml:space="preserve">二〇一九年  月   日 </w:t>
      </w:r>
      <w:r>
        <w:rPr>
          <w:rFonts w:ascii="宋体" w:hAnsi="宋体" w:cs="Tahoma"/>
          <w:kern w:val="0"/>
          <w:sz w:val="24"/>
          <w:szCs w:val="24"/>
        </w:rPr>
        <w:br w:type="page"/>
      </w:r>
    </w:p>
    <w:p>
      <w:pPr>
        <w:widowControl/>
        <w:spacing w:line="360" w:lineRule="auto"/>
        <w:jc w:val="center"/>
        <w:rPr>
          <w:rFonts w:ascii="华文中宋" w:hAnsi="华文中宋"/>
          <w:sz w:val="28"/>
          <w:shd w:val="clear" w:color="auto" w:fill="FFFFFF"/>
        </w:rPr>
      </w:pPr>
      <w:bookmarkStart w:id="16" w:name="_Toc29683"/>
      <w:r>
        <w:rPr>
          <w:rStyle w:val="25"/>
          <w:rFonts w:hint="eastAsia"/>
        </w:rPr>
        <w:t>网络竞价规则</w:t>
      </w:r>
      <w:bookmarkEnd w:id="16"/>
    </w:p>
    <w:p>
      <w:pPr>
        <w:tabs>
          <w:tab w:val="left" w:pos="720"/>
          <w:tab w:val="left" w:pos="1260"/>
          <w:tab w:val="left" w:pos="2160"/>
          <w:tab w:val="left" w:pos="2880"/>
          <w:tab w:val="left" w:pos="3600"/>
          <w:tab w:val="left" w:pos="4320"/>
          <w:tab w:val="left" w:pos="5040"/>
          <w:tab w:val="left" w:pos="5760"/>
          <w:tab w:val="left" w:pos="6660"/>
          <w:tab w:val="left" w:pos="8280"/>
        </w:tabs>
        <w:autoSpaceDE w:val="0"/>
        <w:autoSpaceDN w:val="0"/>
        <w:adjustRightInd w:val="0"/>
        <w:spacing w:line="360" w:lineRule="auto"/>
        <w:ind w:right="23" w:firstLine="560"/>
        <w:rPr>
          <w:rFonts w:ascii="宋体" w:hAnsi="宋体"/>
          <w:kern w:val="0"/>
          <w:sz w:val="28"/>
        </w:rPr>
      </w:pPr>
      <w:r>
        <w:rPr>
          <w:rFonts w:hint="eastAsia" w:ascii="宋体" w:hAnsi="宋体"/>
          <w:kern w:val="0"/>
          <w:sz w:val="28"/>
        </w:rPr>
        <w:t>台州市产权交易所</w:t>
      </w:r>
      <w:r>
        <w:rPr>
          <w:rFonts w:hint="eastAsia" w:ascii="宋体" w:hAnsi="宋体" w:cs="宋体"/>
          <w:kern w:val="0"/>
          <w:sz w:val="28"/>
          <w:szCs w:val="28"/>
        </w:rPr>
        <w:t>（以下简称“产交所”）对浙江海正博锐生物制药有限公司增资扩股</w:t>
      </w:r>
      <w:r>
        <w:rPr>
          <w:rFonts w:hint="eastAsia" w:ascii="宋体" w:hAnsi="宋体"/>
          <w:sz w:val="28"/>
          <w:szCs w:val="28"/>
        </w:rPr>
        <w:t>对外</w:t>
      </w:r>
      <w:r>
        <w:rPr>
          <w:rFonts w:hint="eastAsia" w:ascii="宋体" w:hAnsi="宋体"/>
          <w:sz w:val="28"/>
        </w:rPr>
        <w:t>公开</w:t>
      </w:r>
      <w:r>
        <w:rPr>
          <w:rFonts w:hint="eastAsia" w:ascii="宋体" w:hAnsi="宋体"/>
          <w:sz w:val="28"/>
          <w:szCs w:val="28"/>
        </w:rPr>
        <w:t>出让</w:t>
      </w:r>
      <w:r>
        <w:rPr>
          <w:rFonts w:hint="eastAsia" w:ascii="宋体" w:hAnsi="宋体"/>
          <w:kern w:val="0"/>
          <w:sz w:val="28"/>
        </w:rPr>
        <w:t>，特制定本次</w:t>
      </w:r>
      <w:r>
        <w:rPr>
          <w:rFonts w:hint="eastAsia" w:ascii="宋体" w:hAnsi="宋体" w:cs="宋体"/>
          <w:kern w:val="0"/>
          <w:sz w:val="28"/>
          <w:szCs w:val="28"/>
        </w:rPr>
        <w:t>多次性网络竞价</w:t>
      </w:r>
      <w:r>
        <w:rPr>
          <w:rFonts w:hint="eastAsia" w:ascii="宋体" w:hAnsi="宋体"/>
          <w:kern w:val="0"/>
          <w:sz w:val="28"/>
        </w:rPr>
        <w:t>规则：</w:t>
      </w:r>
    </w:p>
    <w:p>
      <w:pPr>
        <w:spacing w:line="360" w:lineRule="auto"/>
        <w:ind w:firstLine="560"/>
        <w:rPr>
          <w:rFonts w:ascii="宋体" w:hAnsi="宋体" w:cs="宋体"/>
          <w:sz w:val="28"/>
          <w:szCs w:val="28"/>
        </w:rPr>
      </w:pPr>
      <w:r>
        <w:rPr>
          <w:rFonts w:hint="eastAsia" w:ascii="宋体" w:hAnsi="宋体" w:cs="宋体"/>
          <w:sz w:val="28"/>
          <w:szCs w:val="28"/>
        </w:rPr>
        <w:t>一、竞价人报名及资格确认成功后，即表示已认真阅读并同意本竞价文件中提出的相关内容，报价一经确认提交即不可撤回，竞价人须谨慎报价。</w:t>
      </w:r>
    </w:p>
    <w:p>
      <w:pPr>
        <w:spacing w:line="360" w:lineRule="auto"/>
        <w:ind w:firstLine="551" w:firstLineChars="196"/>
        <w:rPr>
          <w:rFonts w:ascii="宋体" w:hAnsi="宋体" w:cs="宋体"/>
          <w:b/>
          <w:bCs/>
          <w:sz w:val="28"/>
          <w:szCs w:val="28"/>
        </w:rPr>
      </w:pPr>
      <w:r>
        <w:rPr>
          <w:rFonts w:hint="eastAsia" w:ascii="宋体" w:hAnsi="宋体" w:cs="宋体"/>
          <w:b/>
          <w:sz w:val="28"/>
          <w:szCs w:val="28"/>
        </w:rPr>
        <w:t>二、本次报价不得低于起始价人民币</w:t>
      </w:r>
      <w:r>
        <w:rPr>
          <w:rFonts w:ascii="宋体" w:hAnsi="宋体" w:cs="宋体"/>
          <w:b/>
          <w:sz w:val="28"/>
          <w:szCs w:val="28"/>
        </w:rPr>
        <w:t>100</w:t>
      </w:r>
      <w:r>
        <w:rPr>
          <w:rFonts w:hint="eastAsia" w:ascii="宋体" w:hAnsi="宋体" w:cs="宋体"/>
          <w:b/>
          <w:sz w:val="28"/>
          <w:szCs w:val="28"/>
        </w:rPr>
        <w:t>,000万元或等值其他货币。</w:t>
      </w:r>
    </w:p>
    <w:p>
      <w:pPr>
        <w:widowControl/>
        <w:shd w:val="clear" w:color="auto" w:fill="FFFFFF"/>
        <w:spacing w:line="360" w:lineRule="auto"/>
        <w:ind w:firstLine="562"/>
        <w:jc w:val="left"/>
        <w:rPr>
          <w:rFonts w:ascii="宋体" w:hAnsi="宋体" w:cs="宋体"/>
          <w:i/>
          <w:sz w:val="28"/>
          <w:szCs w:val="28"/>
        </w:rPr>
      </w:pPr>
      <w:r>
        <w:rPr>
          <w:rFonts w:hint="eastAsia" w:ascii="宋体" w:hAnsi="宋体" w:cs="宋体"/>
          <w:b/>
          <w:bCs/>
          <w:sz w:val="28"/>
          <w:szCs w:val="28"/>
        </w:rPr>
        <w:t>三、</w:t>
      </w:r>
      <w:r>
        <w:rPr>
          <w:rFonts w:hint="eastAsia" w:ascii="宋体" w:hAnsi="宋体" w:cs="宋体"/>
          <w:sz w:val="28"/>
          <w:szCs w:val="28"/>
        </w:rPr>
        <w:t>本次报价以报价最高者为成交方。</w:t>
      </w:r>
    </w:p>
    <w:p>
      <w:pPr>
        <w:widowControl/>
        <w:shd w:val="clear" w:color="auto" w:fill="FFFFFF"/>
        <w:spacing w:line="360" w:lineRule="auto"/>
        <w:ind w:firstLine="562"/>
        <w:jc w:val="left"/>
        <w:rPr>
          <w:rFonts w:ascii="宋体" w:hAnsi="宋体" w:cs="宋体"/>
          <w:b/>
          <w:bCs/>
          <w:sz w:val="28"/>
          <w:szCs w:val="28"/>
        </w:rPr>
      </w:pPr>
      <w:r>
        <w:rPr>
          <w:rFonts w:hint="eastAsia" w:ascii="宋体" w:hAnsi="宋体" w:cs="宋体"/>
          <w:b/>
          <w:bCs/>
          <w:sz w:val="28"/>
          <w:szCs w:val="28"/>
        </w:rPr>
        <w:t>四、网络多次性竞价程序：</w:t>
      </w:r>
    </w:p>
    <w:p>
      <w:pPr>
        <w:spacing w:line="360" w:lineRule="auto"/>
        <w:ind w:firstLine="560"/>
        <w:rPr>
          <w:rFonts w:ascii="宋体" w:hAnsi="宋体" w:cs="宋体"/>
          <w:b/>
          <w:kern w:val="0"/>
          <w:sz w:val="28"/>
          <w:szCs w:val="28"/>
        </w:rPr>
      </w:pPr>
      <w:r>
        <w:rPr>
          <w:rFonts w:hint="eastAsia" w:ascii="宋体" w:hAnsi="宋体" w:cs="宋体"/>
          <w:sz w:val="28"/>
          <w:szCs w:val="28"/>
        </w:rPr>
        <w:t>1、</w:t>
      </w:r>
      <w:r>
        <w:rPr>
          <w:rFonts w:hint="eastAsia" w:ascii="宋体" w:hAnsi="宋体"/>
          <w:sz w:val="28"/>
        </w:rPr>
        <w:t>意向</w:t>
      </w:r>
      <w:r>
        <w:rPr>
          <w:rFonts w:hint="eastAsia" w:ascii="宋体" w:hAnsi="宋体" w:cs="宋体"/>
          <w:sz w:val="28"/>
          <w:szCs w:val="28"/>
        </w:rPr>
        <w:t>竞价人</w:t>
      </w:r>
      <w:r>
        <w:rPr>
          <w:rFonts w:hint="eastAsia" w:ascii="宋体" w:hAnsi="宋体"/>
          <w:sz w:val="28"/>
        </w:rPr>
        <w:t>在台州市公共资源交易</w:t>
      </w:r>
      <w:r>
        <w:rPr>
          <w:rFonts w:hint="eastAsia" w:ascii="宋体" w:hAnsi="宋体" w:cs="宋体"/>
          <w:sz w:val="28"/>
          <w:szCs w:val="28"/>
        </w:rPr>
        <w:t>网</w:t>
      </w:r>
      <w:r>
        <w:rPr>
          <w:rFonts w:hint="eastAsia" w:ascii="宋体" w:hAnsi="宋体" w:cs="宋体"/>
          <w:b/>
          <w:kern w:val="0"/>
          <w:sz w:val="28"/>
          <w:szCs w:val="28"/>
        </w:rPr>
        <w:t>（</w:t>
      </w:r>
      <w:r>
        <w:fldChar w:fldCharType="begin"/>
      </w:r>
      <w:r>
        <w:instrText xml:space="preserve"> HYPERLINK "http://www.tzztb.com/tzcms/" </w:instrText>
      </w:r>
      <w:r>
        <w:fldChar w:fldCharType="separate"/>
      </w:r>
      <w:r>
        <w:rPr>
          <w:rStyle w:val="22"/>
          <w:rFonts w:hint="eastAsia" w:ascii="宋体" w:hAnsi="宋体" w:cs="宋体"/>
          <w:color w:val="auto"/>
          <w:sz w:val="28"/>
          <w:szCs w:val="28"/>
        </w:rPr>
        <w:t>http://www.tzztb.com/tzcms/</w:t>
      </w:r>
      <w:r>
        <w:rPr>
          <w:rStyle w:val="22"/>
          <w:rFonts w:hint="eastAsia" w:ascii="宋体" w:hAnsi="宋体" w:cs="宋体"/>
          <w:color w:val="auto"/>
          <w:sz w:val="28"/>
          <w:szCs w:val="28"/>
        </w:rPr>
        <w:fldChar w:fldCharType="end"/>
      </w:r>
      <w:r>
        <w:rPr>
          <w:rFonts w:hint="eastAsia" w:ascii="宋体" w:hAnsi="宋体" w:cs="宋体"/>
          <w:b/>
          <w:kern w:val="0"/>
          <w:sz w:val="28"/>
          <w:szCs w:val="28"/>
        </w:rPr>
        <w:t>）</w:t>
      </w:r>
      <w:r>
        <w:rPr>
          <w:rFonts w:hint="eastAsia" w:ascii="宋体" w:hAnsi="宋体" w:cs="宋体"/>
          <w:sz w:val="28"/>
          <w:szCs w:val="28"/>
        </w:rPr>
        <w:t>上对本项目进行网络报名。如实登记手机号并牢记密码。</w:t>
      </w:r>
    </w:p>
    <w:p>
      <w:pPr>
        <w:wordWrap w:val="0"/>
        <w:spacing w:line="360" w:lineRule="auto"/>
        <w:ind w:firstLine="560"/>
        <w:rPr>
          <w:rFonts w:ascii="宋体" w:hAnsi="宋体"/>
          <w:kern w:val="0"/>
          <w:sz w:val="28"/>
        </w:rPr>
      </w:pPr>
      <w:r>
        <w:rPr>
          <w:rFonts w:hint="eastAsia" w:ascii="宋体" w:hAnsi="宋体" w:cs="宋体"/>
          <w:sz w:val="28"/>
          <w:szCs w:val="28"/>
        </w:rPr>
        <w:t>2、报名成功并收到短信后在规定时间内（2019年7月10日至9月3日16：00，节假日除外）到</w:t>
      </w:r>
      <w:r>
        <w:rPr>
          <w:rFonts w:hint="eastAsia" w:ascii="宋体" w:hAnsi="宋体" w:cs="宋体"/>
          <w:kern w:val="0"/>
          <w:sz w:val="28"/>
          <w:szCs w:val="28"/>
        </w:rPr>
        <w:t>台州市产权交易所（</w:t>
      </w:r>
      <w:r>
        <w:rPr>
          <w:rFonts w:hint="eastAsia" w:ascii="宋体" w:hAnsi="宋体"/>
          <w:kern w:val="0"/>
          <w:sz w:val="28"/>
        </w:rPr>
        <w:t>台州市市府大道777号</w:t>
      </w:r>
      <w:r>
        <w:rPr>
          <w:rFonts w:hint="eastAsia" w:ascii="宋体" w:hAnsi="宋体"/>
          <w:kern w:val="0"/>
          <w:sz w:val="28"/>
          <w:szCs w:val="28"/>
        </w:rPr>
        <w:t>浙江民泰商业银行五楼511室</w:t>
      </w:r>
      <w:r>
        <w:rPr>
          <w:rFonts w:hint="eastAsia" w:ascii="宋体" w:hAnsi="宋体" w:cs="宋体"/>
          <w:kern w:val="0"/>
          <w:sz w:val="28"/>
          <w:szCs w:val="28"/>
        </w:rPr>
        <w:t>）进行资料审核,并缴付竞买保证金，并将审核意见告知出让方进行征询、确认</w:t>
      </w:r>
      <w:r>
        <w:rPr>
          <w:rFonts w:hint="eastAsia" w:ascii="宋体" w:hAnsi="宋体"/>
          <w:kern w:val="0"/>
          <w:sz w:val="28"/>
        </w:rPr>
        <w:t>。</w:t>
      </w:r>
    </w:p>
    <w:p>
      <w:pPr>
        <w:spacing w:line="360" w:lineRule="auto"/>
        <w:ind w:firstLine="560"/>
        <w:rPr>
          <w:rFonts w:ascii="宋体" w:hAnsi="宋体" w:cs="宋体"/>
          <w:b/>
          <w:bCs/>
          <w:sz w:val="28"/>
          <w:szCs w:val="28"/>
          <w:u w:val="single"/>
        </w:rPr>
      </w:pPr>
      <w:r>
        <w:rPr>
          <w:rFonts w:hint="eastAsia" w:ascii="宋体" w:hAnsi="宋体" w:cs="宋体"/>
          <w:kern w:val="0"/>
          <w:sz w:val="28"/>
          <w:szCs w:val="28"/>
        </w:rPr>
        <w:t>3、</w:t>
      </w:r>
      <w:r>
        <w:rPr>
          <w:rFonts w:hint="eastAsia" w:ascii="宋体" w:hAnsi="宋体" w:cs="宋体"/>
          <w:b/>
          <w:bCs/>
          <w:kern w:val="0"/>
          <w:sz w:val="28"/>
          <w:szCs w:val="28"/>
          <w:u w:val="single"/>
        </w:rPr>
        <w:t>在竞价时间十分钟前凭报名时的</w:t>
      </w:r>
      <w:r>
        <w:rPr>
          <w:rFonts w:hint="eastAsia" w:ascii="宋体" w:hAnsi="宋体" w:cs="宋体"/>
          <w:b/>
          <w:bCs/>
          <w:sz w:val="28"/>
          <w:szCs w:val="28"/>
          <w:u w:val="single"/>
        </w:rPr>
        <w:t>信用代码证号（或手机号码）、密码以及手机验证码登入本项目网络竞价大厅进行报价准备，并在竞价时间予以报价。</w:t>
      </w:r>
    </w:p>
    <w:p>
      <w:pPr>
        <w:spacing w:line="360" w:lineRule="auto"/>
        <w:ind w:firstLine="551" w:firstLineChars="196"/>
        <w:rPr>
          <w:rFonts w:ascii="宋体" w:hAnsi="宋体" w:cs="宋体"/>
          <w:b/>
          <w:bCs/>
          <w:sz w:val="28"/>
          <w:szCs w:val="28"/>
          <w:shd w:val="clear" w:color="auto" w:fill="FFFFFF"/>
        </w:rPr>
      </w:pPr>
      <w:r>
        <w:rPr>
          <w:rFonts w:hint="eastAsia" w:ascii="宋体" w:hAnsi="宋体" w:cs="宋体"/>
          <w:b/>
          <w:bCs/>
          <w:sz w:val="28"/>
          <w:szCs w:val="28"/>
          <w:shd w:val="clear" w:color="auto" w:fill="FFFFFF"/>
        </w:rPr>
        <w:t>多次网络报价的报价时段分为自由报价时段和延时报价时段。自由报价时段是网络竞价系统中预设的一段时间周期，此时段内，竞价人可以发送报价，也可不发送报价，自由报价时段结束后，系统进入延时报价时段。 延时报价时段是在自由报价时段之外提供的不定时间的补充交易时段，设一定时长的延时周期。在一个延时周期内，如无竞价人继续报价，则竞价活动结束；如有竞价人报价，则重新进入一个延时周期，直到无人报价为止。“自由报价时长”和“延时报价时长”以本项目竞价厅为准。</w:t>
      </w:r>
    </w:p>
    <w:p>
      <w:pPr>
        <w:spacing w:line="360" w:lineRule="auto"/>
        <w:ind w:firstLine="562"/>
        <w:jc w:val="left"/>
        <w:rPr>
          <w:rFonts w:ascii="宋体" w:hAnsi="宋体" w:cs="宋体"/>
          <w:b/>
          <w:bCs/>
          <w:sz w:val="28"/>
          <w:szCs w:val="28"/>
          <w:shd w:val="clear" w:color="auto" w:fill="FFFFFF"/>
        </w:rPr>
      </w:pPr>
      <w:r>
        <w:rPr>
          <w:rFonts w:hint="eastAsia" w:ascii="宋体" w:hAnsi="宋体" w:cs="宋体"/>
          <w:b/>
          <w:bCs/>
          <w:sz w:val="28"/>
          <w:szCs w:val="28"/>
          <w:shd w:val="clear" w:color="auto" w:fill="FFFFFF"/>
        </w:rPr>
        <w:t>竞价人在规定的报价时段内通过网络竞价系统报价，报价指令未确认前可撤回或更改，经确认后不得撤销。在规定的报价时段内，所有竞价人均未报价的，网络竞价活动终止。</w:t>
      </w:r>
    </w:p>
    <w:p>
      <w:pPr>
        <w:spacing w:line="360" w:lineRule="auto"/>
        <w:ind w:firstLine="562"/>
        <w:jc w:val="left"/>
        <w:rPr>
          <w:rFonts w:ascii="宋体" w:hAnsi="宋体" w:cs="宋体"/>
          <w:b/>
          <w:bCs/>
          <w:sz w:val="28"/>
          <w:szCs w:val="28"/>
          <w:shd w:val="clear" w:color="auto" w:fill="FFFFFF"/>
        </w:rPr>
      </w:pPr>
      <w:r>
        <w:rPr>
          <w:rFonts w:hint="eastAsia" w:ascii="宋体" w:hAnsi="宋体" w:cs="宋体"/>
          <w:b/>
          <w:bCs/>
          <w:sz w:val="28"/>
          <w:szCs w:val="28"/>
          <w:shd w:val="clear" w:color="auto" w:fill="FFFFFF"/>
        </w:rPr>
        <w:t>本次网络竞价的首次报价是以</w:t>
      </w:r>
      <w:r>
        <w:rPr>
          <w:rFonts w:ascii="宋体" w:hAnsi="宋体" w:cs="宋体"/>
          <w:b/>
          <w:bCs/>
          <w:sz w:val="28"/>
          <w:szCs w:val="28"/>
          <w:shd w:val="clear" w:color="auto" w:fill="FFFFFF"/>
        </w:rPr>
        <w:t>100</w:t>
      </w:r>
      <w:r>
        <w:rPr>
          <w:rFonts w:hint="eastAsia" w:ascii="宋体" w:hAnsi="宋体" w:cs="宋体"/>
          <w:b/>
          <w:bCs/>
          <w:sz w:val="28"/>
          <w:szCs w:val="28"/>
          <w:shd w:val="clear" w:color="auto" w:fill="FFFFFF"/>
        </w:rPr>
        <w:t>,000万元人民币（挂牌价）或等值其他货币为基础，根据公告内容，不得低于</w:t>
      </w:r>
      <w:r>
        <w:rPr>
          <w:rFonts w:ascii="宋体" w:hAnsi="宋体" w:cs="宋体"/>
          <w:b/>
          <w:bCs/>
          <w:sz w:val="28"/>
          <w:szCs w:val="28"/>
          <w:shd w:val="clear" w:color="auto" w:fill="FFFFFF"/>
        </w:rPr>
        <w:t>100</w:t>
      </w:r>
      <w:r>
        <w:rPr>
          <w:rFonts w:hint="eastAsia" w:ascii="宋体" w:hAnsi="宋体" w:cs="宋体"/>
          <w:b/>
          <w:bCs/>
          <w:sz w:val="28"/>
          <w:szCs w:val="28"/>
          <w:shd w:val="clear" w:color="auto" w:fill="FFFFFF"/>
        </w:rPr>
        <w:t>,000万元人民币或等值其他货币（挂牌价），再次报价应根据公告高于前次报价，成为当前最新报价，原报价即丧失其约束力，每次加价必须等于交易中心事先确定的加价幅度或加价幅度的整数倍。报价结束时的最高报价为成交价，其报价者即为成交方。</w:t>
      </w:r>
    </w:p>
    <w:p>
      <w:pPr>
        <w:spacing w:line="360" w:lineRule="auto"/>
        <w:ind w:firstLine="560"/>
        <w:rPr>
          <w:rFonts w:ascii="宋体" w:hAnsi="宋体" w:cs="宋体"/>
          <w:sz w:val="28"/>
          <w:szCs w:val="28"/>
        </w:rPr>
      </w:pPr>
      <w:r>
        <w:rPr>
          <w:rFonts w:hint="eastAsia" w:ascii="宋体" w:hAnsi="宋体" w:cs="宋体"/>
          <w:sz w:val="28"/>
          <w:szCs w:val="28"/>
        </w:rPr>
        <w:t>4、竞价大厅公布成交结果。</w:t>
      </w:r>
    </w:p>
    <w:p>
      <w:pPr>
        <w:spacing w:line="360" w:lineRule="auto"/>
        <w:ind w:firstLine="560"/>
        <w:rPr>
          <w:rFonts w:ascii="宋体" w:hAnsi="宋体" w:cs="宋体"/>
          <w:sz w:val="28"/>
          <w:szCs w:val="28"/>
        </w:rPr>
      </w:pPr>
      <w:r>
        <w:rPr>
          <w:rFonts w:hint="eastAsia" w:ascii="宋体" w:hAnsi="宋体" w:cs="宋体"/>
          <w:sz w:val="28"/>
          <w:szCs w:val="28"/>
        </w:rPr>
        <w:t>5、成交方携带身份证明到</w:t>
      </w:r>
      <w:r>
        <w:rPr>
          <w:rFonts w:hint="eastAsia" w:ascii="宋体" w:hAnsi="宋体" w:cs="宋体"/>
          <w:kern w:val="0"/>
          <w:sz w:val="28"/>
          <w:szCs w:val="28"/>
        </w:rPr>
        <w:t>台州市产权交易所（台州市民泰银行五楼511室）领取成交通知书</w:t>
      </w:r>
      <w:r>
        <w:rPr>
          <w:rFonts w:hint="eastAsia" w:ascii="宋体" w:hAnsi="宋体" w:cs="宋体"/>
          <w:sz w:val="28"/>
          <w:szCs w:val="28"/>
        </w:rPr>
        <w:t>。</w:t>
      </w:r>
    </w:p>
    <w:p>
      <w:pPr>
        <w:spacing w:line="360" w:lineRule="auto"/>
        <w:ind w:firstLine="562"/>
        <w:rPr>
          <w:rFonts w:ascii="宋体" w:hAnsi="宋体" w:cs="宋体"/>
          <w:bCs/>
          <w:kern w:val="0"/>
          <w:sz w:val="28"/>
          <w:szCs w:val="28"/>
        </w:rPr>
      </w:pPr>
      <w:r>
        <w:rPr>
          <w:rFonts w:hint="eastAsia" w:ascii="宋体" w:hAnsi="宋体" w:cs="宋体"/>
          <w:b/>
          <w:sz w:val="28"/>
          <w:szCs w:val="28"/>
        </w:rPr>
        <w:t>五、</w:t>
      </w:r>
      <w:r>
        <w:rPr>
          <w:rFonts w:hint="eastAsia" w:ascii="宋体" w:hAnsi="宋体" w:cs="宋体"/>
          <w:b/>
          <w:bCs/>
          <w:kern w:val="0"/>
          <w:sz w:val="28"/>
          <w:szCs w:val="28"/>
        </w:rPr>
        <w:t>网络竞价时间：</w:t>
      </w:r>
      <w:r>
        <w:rPr>
          <w:rFonts w:hint="eastAsia" w:ascii="宋体" w:hAnsi="宋体" w:cs="宋体"/>
          <w:bCs/>
          <w:kern w:val="0"/>
          <w:sz w:val="28"/>
          <w:szCs w:val="28"/>
        </w:rPr>
        <w:t>2019年9月4日（星期三）上午</w:t>
      </w:r>
      <w:r>
        <w:rPr>
          <w:rFonts w:ascii="宋体" w:hAnsi="宋体" w:cs="宋体"/>
          <w:bCs/>
          <w:kern w:val="0"/>
          <w:sz w:val="28"/>
          <w:szCs w:val="28"/>
        </w:rPr>
        <w:t>9：30</w:t>
      </w:r>
      <w:r>
        <w:rPr>
          <w:rFonts w:hint="eastAsia" w:ascii="宋体" w:hAnsi="宋体" w:cs="宋体"/>
          <w:bCs/>
          <w:kern w:val="0"/>
          <w:sz w:val="28"/>
          <w:szCs w:val="28"/>
        </w:rPr>
        <w:t>。</w:t>
      </w:r>
    </w:p>
    <w:p>
      <w:pPr>
        <w:spacing w:line="360" w:lineRule="auto"/>
        <w:ind w:firstLine="562"/>
        <w:rPr>
          <w:rFonts w:ascii="宋体" w:hAnsi="宋体" w:cs="宋体"/>
          <w:sz w:val="28"/>
          <w:szCs w:val="28"/>
        </w:rPr>
      </w:pPr>
      <w:r>
        <w:rPr>
          <w:rFonts w:hint="eastAsia" w:ascii="宋体" w:hAnsi="宋体" w:cs="宋体"/>
          <w:sz w:val="28"/>
          <w:szCs w:val="28"/>
        </w:rPr>
        <w:t>六、确定成交方后，成交方须在当日到我所签署《增资确认书》。成交方凭《增资确认书》两天内与委托方签订《增资扩股</w:t>
      </w:r>
      <w:r>
        <w:rPr>
          <w:rFonts w:ascii="宋体" w:hAnsi="宋体" w:cs="宋体"/>
          <w:sz w:val="28"/>
          <w:szCs w:val="28"/>
        </w:rPr>
        <w:t>协议</w:t>
      </w:r>
      <w:r>
        <w:rPr>
          <w:rFonts w:hint="eastAsia" w:ascii="宋体" w:hAnsi="宋体" w:cs="宋体"/>
          <w:sz w:val="28"/>
          <w:szCs w:val="28"/>
        </w:rPr>
        <w:t>》。</w:t>
      </w:r>
    </w:p>
    <w:p>
      <w:pPr>
        <w:spacing w:line="360" w:lineRule="auto"/>
        <w:ind w:firstLine="560"/>
        <w:rPr>
          <w:rFonts w:ascii="宋体" w:hAnsi="宋体" w:cs="宋体"/>
          <w:sz w:val="28"/>
          <w:szCs w:val="28"/>
          <w:u w:val="single"/>
        </w:rPr>
      </w:pPr>
      <w:r>
        <w:rPr>
          <w:rFonts w:hint="eastAsia" w:ascii="宋体" w:hAnsi="宋体" w:cs="宋体"/>
          <w:sz w:val="28"/>
          <w:szCs w:val="28"/>
          <w:u w:val="single"/>
        </w:rPr>
        <w:t>成交方无故拖延或拒签合同的将保证金不予退还并取消成交资格。</w:t>
      </w:r>
    </w:p>
    <w:p>
      <w:pPr>
        <w:numPr>
          <w:ilvl w:val="0"/>
          <w:numId w:val="8"/>
        </w:numPr>
        <w:spacing w:line="360" w:lineRule="auto"/>
        <w:ind w:firstLine="560" w:firstLineChars="200"/>
        <w:rPr>
          <w:rFonts w:ascii="宋体" w:hAnsi="宋体" w:cs="宋体"/>
          <w:kern w:val="0"/>
          <w:sz w:val="28"/>
          <w:szCs w:val="28"/>
        </w:rPr>
      </w:pPr>
      <w:r>
        <w:rPr>
          <w:rFonts w:hint="eastAsia" w:ascii="宋体" w:hAnsi="宋体" w:cs="宋体"/>
          <w:kern w:val="0"/>
          <w:sz w:val="28"/>
          <w:szCs w:val="28"/>
        </w:rPr>
        <w:t>免责声明：</w:t>
      </w:r>
    </w:p>
    <w:p>
      <w:pPr>
        <w:numPr>
          <w:ilvl w:val="0"/>
          <w:numId w:val="9"/>
        </w:numPr>
        <w:spacing w:line="360" w:lineRule="auto"/>
        <w:ind w:firstLine="593"/>
        <w:rPr>
          <w:rFonts w:ascii="宋体" w:hAnsi="宋体" w:cs="宋体"/>
          <w:sz w:val="28"/>
          <w:szCs w:val="28"/>
          <w:shd w:val="clear" w:color="auto" w:fill="FFFFFF"/>
        </w:rPr>
      </w:pPr>
      <w:r>
        <w:rPr>
          <w:rFonts w:hint="eastAsia" w:ascii="宋体" w:hAnsi="宋体" w:cs="宋体"/>
          <w:sz w:val="28"/>
          <w:szCs w:val="28"/>
          <w:shd w:val="clear" w:color="auto" w:fill="FFFFFF"/>
        </w:rPr>
        <w:t>报价人在参加网络竞价活动之前，应对竞价标的进行了全面了解，接受竞价文件的内容和要求，对其报价行为负责，且网络报价实施后不得以不了解所竞得标的为由予以反悔。</w:t>
      </w:r>
    </w:p>
    <w:p>
      <w:pPr>
        <w:numPr>
          <w:ilvl w:val="0"/>
          <w:numId w:val="9"/>
        </w:numPr>
        <w:spacing w:line="360" w:lineRule="auto"/>
        <w:ind w:firstLine="593"/>
        <w:rPr>
          <w:rFonts w:ascii="宋体" w:hAnsi="宋体" w:cs="宋体"/>
          <w:sz w:val="28"/>
          <w:szCs w:val="28"/>
          <w:shd w:val="clear" w:color="auto" w:fill="FFFFFF"/>
        </w:rPr>
      </w:pPr>
      <w:r>
        <w:rPr>
          <w:rFonts w:hint="eastAsia" w:ascii="宋体" w:hAnsi="宋体" w:cs="宋体"/>
          <w:sz w:val="28"/>
          <w:szCs w:val="28"/>
          <w:shd w:val="clear" w:color="auto" w:fill="FFFFFF"/>
        </w:rPr>
        <w:t>为确保网络传输的安全，保障报价人的利益，网络报价平台对网络资料的传输采用数据加密处理，但无法保证电子信息绝对安全。</w:t>
      </w:r>
    </w:p>
    <w:p>
      <w:pPr>
        <w:numPr>
          <w:ilvl w:val="0"/>
          <w:numId w:val="9"/>
        </w:numPr>
        <w:spacing w:line="360" w:lineRule="auto"/>
        <w:ind w:firstLine="593"/>
        <w:rPr>
          <w:rFonts w:ascii="宋体" w:hAnsi="宋体" w:cs="宋体"/>
          <w:sz w:val="28"/>
          <w:szCs w:val="28"/>
          <w:shd w:val="clear" w:color="auto" w:fill="FFFFFF"/>
        </w:rPr>
      </w:pPr>
      <w:r>
        <w:rPr>
          <w:rFonts w:hint="eastAsia" w:ascii="宋体" w:hAnsi="宋体" w:cs="宋体"/>
          <w:sz w:val="28"/>
          <w:szCs w:val="28"/>
          <w:shd w:val="clear" w:color="auto" w:fill="FFFFFF"/>
        </w:rPr>
        <w:t>如因不可抗力造成网络报价活动不能正常进行，台州产权交易所不承担任何责任。</w:t>
      </w:r>
    </w:p>
    <w:p>
      <w:pPr>
        <w:numPr>
          <w:ilvl w:val="0"/>
          <w:numId w:val="9"/>
        </w:numPr>
        <w:spacing w:line="360" w:lineRule="auto"/>
        <w:ind w:firstLine="593"/>
        <w:rPr>
          <w:rFonts w:ascii="宋体" w:hAnsi="宋体" w:cs="宋体"/>
          <w:sz w:val="28"/>
          <w:szCs w:val="28"/>
          <w:shd w:val="clear" w:color="auto" w:fill="FFFFFF"/>
        </w:rPr>
      </w:pPr>
      <w:r>
        <w:rPr>
          <w:rFonts w:hint="eastAsia" w:ascii="宋体" w:hAnsi="宋体" w:cs="宋体"/>
          <w:sz w:val="28"/>
          <w:szCs w:val="28"/>
          <w:shd w:val="clear" w:color="auto" w:fill="FFFFFF"/>
        </w:rPr>
        <w:t>如因网络报价服务器等设备故障、网络传输线路（电信）故障、黑客攻击等原因造成网络报价不能正常进行，台州产权交易所不承担任何责任。但是，我所将全力排除故障，解决问题，尽快恢复网络报价平台的正常运行。</w:t>
      </w:r>
    </w:p>
    <w:p>
      <w:pPr>
        <w:numPr>
          <w:ilvl w:val="0"/>
          <w:numId w:val="9"/>
        </w:numPr>
        <w:spacing w:line="360" w:lineRule="auto"/>
        <w:ind w:firstLine="593"/>
        <w:rPr>
          <w:rFonts w:ascii="宋体" w:hAnsi="宋体" w:cs="宋体"/>
          <w:sz w:val="28"/>
          <w:szCs w:val="28"/>
          <w:shd w:val="clear" w:color="auto" w:fill="FFFFFF"/>
        </w:rPr>
      </w:pPr>
      <w:r>
        <w:rPr>
          <w:rFonts w:hint="eastAsia" w:ascii="宋体" w:hAnsi="宋体" w:cs="宋体"/>
          <w:sz w:val="28"/>
          <w:szCs w:val="28"/>
          <w:shd w:val="clear" w:color="auto" w:fill="FFFFFF"/>
        </w:rPr>
        <w:t>如因报价人自身报价电脑设备故障、网络传输线路不畅通等原因，造成报价人不能正常进行网络报价，我所不承担任何责任。</w:t>
      </w:r>
    </w:p>
    <w:p>
      <w:pPr>
        <w:numPr>
          <w:ilvl w:val="0"/>
          <w:numId w:val="9"/>
        </w:numPr>
        <w:spacing w:line="360" w:lineRule="auto"/>
        <w:ind w:firstLine="593"/>
        <w:rPr>
          <w:rFonts w:ascii="宋体" w:hAnsi="宋体" w:cs="宋体"/>
          <w:sz w:val="28"/>
          <w:szCs w:val="28"/>
          <w:shd w:val="clear" w:color="auto" w:fill="FFFFFF"/>
        </w:rPr>
      </w:pPr>
      <w:r>
        <w:rPr>
          <w:rFonts w:hint="eastAsia" w:ascii="宋体" w:hAnsi="宋体" w:cs="宋体"/>
          <w:sz w:val="28"/>
          <w:szCs w:val="28"/>
          <w:shd w:val="clear" w:color="auto" w:fill="FFFFFF"/>
        </w:rPr>
        <w:t>如因报价人操作不当或操作失误而造成的任何损失，由当事人自己负责。</w:t>
      </w:r>
    </w:p>
    <w:p>
      <w:pPr>
        <w:numPr>
          <w:ilvl w:val="0"/>
          <w:numId w:val="9"/>
        </w:numPr>
        <w:spacing w:line="360" w:lineRule="auto"/>
        <w:ind w:firstLine="593"/>
        <w:rPr>
          <w:rFonts w:ascii="宋体" w:hAnsi="宋体" w:cs="宋体"/>
          <w:sz w:val="28"/>
          <w:szCs w:val="28"/>
          <w:shd w:val="clear" w:color="auto" w:fill="FFFFFF"/>
        </w:rPr>
      </w:pPr>
      <w:r>
        <w:rPr>
          <w:rFonts w:hint="eastAsia" w:ascii="宋体" w:hAnsi="宋体" w:cs="宋体"/>
          <w:sz w:val="28"/>
          <w:szCs w:val="28"/>
          <w:shd w:val="clear" w:color="auto" w:fill="FFFFFF"/>
        </w:rPr>
        <w:t>如因报价人的报价设备的系统时间与网络报价平台服务器时间不一致而造成的任何后果，由当事人自己负责。</w:t>
      </w:r>
    </w:p>
    <w:p>
      <w:pPr>
        <w:numPr>
          <w:ilvl w:val="0"/>
          <w:numId w:val="9"/>
        </w:numPr>
        <w:spacing w:line="360" w:lineRule="auto"/>
        <w:ind w:firstLine="593"/>
        <w:rPr>
          <w:rFonts w:ascii="宋体" w:hAnsi="宋体" w:cs="宋体"/>
          <w:sz w:val="28"/>
          <w:szCs w:val="28"/>
          <w:shd w:val="clear" w:color="auto" w:fill="FFFFFF"/>
        </w:rPr>
      </w:pPr>
      <w:r>
        <w:rPr>
          <w:rFonts w:hint="eastAsia" w:ascii="宋体" w:hAnsi="宋体" w:cs="宋体"/>
          <w:sz w:val="28"/>
          <w:szCs w:val="28"/>
          <w:shd w:val="clear" w:color="auto" w:fill="FFFFFF"/>
        </w:rPr>
        <w:t>用户、报价人应对自身的账户安全负责。若用户或报价人的账户被盗用，则由当事人自己负责。</w:t>
      </w:r>
    </w:p>
    <w:p>
      <w:pPr>
        <w:numPr>
          <w:ilvl w:val="0"/>
          <w:numId w:val="8"/>
        </w:numPr>
        <w:spacing w:line="360" w:lineRule="auto"/>
        <w:ind w:firstLine="560" w:firstLineChars="200"/>
        <w:rPr>
          <w:rFonts w:ascii="宋体" w:hAnsi="宋体"/>
          <w:kern w:val="0"/>
          <w:sz w:val="28"/>
        </w:rPr>
      </w:pPr>
      <w:r>
        <w:rPr>
          <w:rFonts w:hint="eastAsia" w:ascii="宋体" w:hAnsi="宋体"/>
          <w:kern w:val="0"/>
          <w:sz w:val="28"/>
        </w:rPr>
        <w:t>请</w:t>
      </w:r>
      <w:r>
        <w:rPr>
          <w:rFonts w:hint="eastAsia" w:ascii="宋体" w:hAnsi="宋体" w:cs="宋体"/>
          <w:kern w:val="0"/>
          <w:sz w:val="28"/>
          <w:szCs w:val="28"/>
        </w:rPr>
        <w:t>各竞价人</w:t>
      </w:r>
      <w:r>
        <w:rPr>
          <w:rFonts w:hint="eastAsia" w:ascii="宋体" w:hAnsi="宋体"/>
          <w:kern w:val="0"/>
          <w:sz w:val="28"/>
        </w:rPr>
        <w:t>仔细阅读</w:t>
      </w:r>
      <w:r>
        <w:rPr>
          <w:rFonts w:hint="eastAsia" w:ascii="宋体" w:hAnsi="宋体" w:cs="宋体"/>
          <w:kern w:val="0"/>
          <w:sz w:val="28"/>
          <w:szCs w:val="28"/>
        </w:rPr>
        <w:t>本竞价</w:t>
      </w:r>
      <w:r>
        <w:rPr>
          <w:rFonts w:hint="eastAsia" w:ascii="宋体" w:hAnsi="宋体"/>
          <w:kern w:val="0"/>
          <w:sz w:val="28"/>
        </w:rPr>
        <w:t>文件。</w:t>
      </w:r>
    </w:p>
    <w:p>
      <w:pPr>
        <w:tabs>
          <w:tab w:val="left" w:pos="580"/>
          <w:tab w:val="left" w:pos="720"/>
          <w:tab w:val="left" w:pos="2880"/>
          <w:tab w:val="left" w:pos="3600"/>
          <w:tab w:val="left" w:pos="4320"/>
          <w:tab w:val="left" w:pos="5040"/>
          <w:tab w:val="left" w:pos="5760"/>
          <w:tab w:val="left" w:pos="8280"/>
        </w:tabs>
        <w:autoSpaceDE w:val="0"/>
        <w:autoSpaceDN w:val="0"/>
        <w:adjustRightInd w:val="0"/>
        <w:spacing w:line="360" w:lineRule="auto"/>
        <w:ind w:right="23" w:firstLine="4620" w:firstLineChars="1650"/>
        <w:jc w:val="left"/>
        <w:rPr>
          <w:rFonts w:ascii="宋体" w:hAnsi="宋体"/>
          <w:sz w:val="28"/>
        </w:rPr>
      </w:pPr>
    </w:p>
    <w:p>
      <w:pPr>
        <w:tabs>
          <w:tab w:val="left" w:pos="580"/>
          <w:tab w:val="left" w:pos="720"/>
          <w:tab w:val="left" w:pos="2880"/>
          <w:tab w:val="left" w:pos="3600"/>
          <w:tab w:val="left" w:pos="4320"/>
          <w:tab w:val="left" w:pos="5040"/>
          <w:tab w:val="left" w:pos="5760"/>
          <w:tab w:val="left" w:pos="8280"/>
        </w:tabs>
        <w:autoSpaceDE w:val="0"/>
        <w:autoSpaceDN w:val="0"/>
        <w:adjustRightInd w:val="0"/>
        <w:spacing w:line="360" w:lineRule="auto"/>
        <w:ind w:right="23" w:firstLine="4620" w:firstLineChars="1650"/>
        <w:jc w:val="left"/>
        <w:rPr>
          <w:rFonts w:ascii="宋体" w:hAnsi="宋体"/>
          <w:sz w:val="28"/>
        </w:rPr>
      </w:pPr>
      <w:r>
        <w:rPr>
          <w:rFonts w:hint="eastAsia" w:ascii="宋体" w:hAnsi="宋体"/>
          <w:sz w:val="28"/>
          <w:szCs w:val="28"/>
        </w:rPr>
        <w:t xml:space="preserve"> </w:t>
      </w:r>
      <w:r>
        <w:rPr>
          <w:rFonts w:hint="eastAsia" w:ascii="宋体" w:hAnsi="宋体"/>
          <w:sz w:val="28"/>
        </w:rPr>
        <w:t>台州市产权交易所有限公司</w:t>
      </w:r>
    </w:p>
    <w:p>
      <w:pPr>
        <w:spacing w:line="360" w:lineRule="auto"/>
        <w:jc w:val="center"/>
      </w:pPr>
      <w:r>
        <w:rPr>
          <w:rFonts w:hint="eastAsia" w:ascii="宋体" w:hAnsi="宋体"/>
          <w:sz w:val="28"/>
          <w:szCs w:val="28"/>
        </w:rPr>
        <w:t xml:space="preserve">                            二〇一九年七月十日</w:t>
      </w:r>
    </w:p>
    <w:p>
      <w:pPr>
        <w:widowControl/>
        <w:shd w:val="clear" w:color="auto" w:fill="FFFFFF"/>
        <w:spacing w:line="480" w:lineRule="auto"/>
        <w:ind w:firstLine="4320" w:firstLineChars="1800"/>
        <w:jc w:val="left"/>
        <w:rPr>
          <w:rFonts w:ascii="宋体" w:hAnsi="宋体" w:cs="宋体"/>
          <w:kern w:val="0"/>
          <w:sz w:val="24"/>
          <w:szCs w:val="24"/>
        </w:rPr>
      </w:pPr>
    </w:p>
    <w:p>
      <w:pPr>
        <w:widowControl/>
        <w:shd w:val="clear" w:color="auto" w:fill="FFFFFF"/>
        <w:spacing w:line="480" w:lineRule="auto"/>
        <w:ind w:firstLine="4320" w:firstLineChars="1800"/>
        <w:jc w:val="left"/>
        <w:rPr>
          <w:rFonts w:ascii="宋体" w:hAnsi="宋体" w:cs="宋体"/>
          <w:kern w:val="0"/>
          <w:sz w:val="24"/>
          <w:szCs w:val="24"/>
        </w:rPr>
      </w:pPr>
    </w:p>
    <w:p>
      <w:pPr>
        <w:widowControl/>
        <w:shd w:val="clear" w:color="auto" w:fill="FFFFFF"/>
        <w:spacing w:line="480" w:lineRule="auto"/>
        <w:ind w:firstLine="4320" w:firstLineChars="1800"/>
        <w:jc w:val="left"/>
        <w:rPr>
          <w:rFonts w:ascii="宋体" w:hAnsi="宋体" w:cs="宋体"/>
          <w:kern w:val="0"/>
          <w:sz w:val="24"/>
          <w:szCs w:val="24"/>
        </w:rPr>
      </w:pPr>
    </w:p>
    <w:p>
      <w:pPr>
        <w:widowControl/>
        <w:shd w:val="clear" w:color="auto" w:fill="FFFFFF"/>
        <w:spacing w:line="480" w:lineRule="auto"/>
        <w:ind w:firstLine="4320" w:firstLineChars="1800"/>
        <w:jc w:val="left"/>
        <w:rPr>
          <w:rFonts w:ascii="宋体" w:hAnsi="宋体" w:cs="宋体"/>
          <w:kern w:val="0"/>
          <w:sz w:val="24"/>
          <w:szCs w:val="24"/>
        </w:rPr>
      </w:pPr>
    </w:p>
    <w:p>
      <w:pPr>
        <w:widowControl/>
        <w:jc w:val="left"/>
        <w:rPr>
          <w:b/>
          <w:sz w:val="32"/>
          <w:szCs w:val="36"/>
        </w:rPr>
      </w:pPr>
      <w:r>
        <w:rPr>
          <w:b/>
          <w:sz w:val="32"/>
          <w:szCs w:val="36"/>
        </w:rPr>
        <w:br w:type="page"/>
      </w:r>
    </w:p>
    <w:p>
      <w:pPr>
        <w:pStyle w:val="2"/>
        <w:jc w:val="center"/>
        <w:rPr>
          <w:sz w:val="32"/>
          <w:szCs w:val="32"/>
        </w:rPr>
      </w:pPr>
      <w:bookmarkStart w:id="17" w:name="_Toc8724"/>
      <w:r>
        <w:rPr>
          <w:rFonts w:hint="eastAsia"/>
          <w:sz w:val="32"/>
          <w:szCs w:val="32"/>
        </w:rPr>
        <w:t>增资确认书</w:t>
      </w:r>
      <w:bookmarkEnd w:id="17"/>
    </w:p>
    <w:p>
      <w:pPr>
        <w:rPr>
          <w:rFonts w:ascii="宋体"/>
        </w:rPr>
      </w:pPr>
    </w:p>
    <w:p>
      <w:pPr>
        <w:spacing w:line="500" w:lineRule="exact"/>
        <w:rPr>
          <w:rFonts w:ascii="宋体"/>
          <w:sz w:val="24"/>
          <w:szCs w:val="24"/>
        </w:rPr>
      </w:pPr>
      <w:r>
        <w:rPr>
          <w:rFonts w:hint="eastAsia" w:ascii="宋体" w:hAnsi="宋体"/>
          <w:sz w:val="24"/>
          <w:szCs w:val="24"/>
        </w:rPr>
        <w:t>主持人：台州市产权交易所有限公司</w:t>
      </w:r>
    </w:p>
    <w:p>
      <w:pPr>
        <w:spacing w:line="500" w:lineRule="exact"/>
        <w:rPr>
          <w:rFonts w:ascii="宋体"/>
          <w:sz w:val="24"/>
          <w:szCs w:val="24"/>
        </w:rPr>
      </w:pPr>
      <w:r>
        <w:rPr>
          <w:rFonts w:hint="eastAsia" w:ascii="宋体" w:hAnsi="宋体"/>
          <w:sz w:val="24"/>
          <w:szCs w:val="24"/>
        </w:rPr>
        <w:t>投资方：                  联系电话：</w:t>
      </w:r>
    </w:p>
    <w:p>
      <w:pPr>
        <w:spacing w:line="500" w:lineRule="exact"/>
        <w:rPr>
          <w:rFonts w:ascii="宋体"/>
          <w:sz w:val="24"/>
          <w:szCs w:val="24"/>
        </w:rPr>
      </w:pPr>
    </w:p>
    <w:p>
      <w:pPr>
        <w:spacing w:line="500" w:lineRule="exact"/>
        <w:ind w:firstLine="480" w:firstLineChars="200"/>
        <w:rPr>
          <w:rFonts w:ascii="宋体" w:hAnsi="宋体"/>
          <w:sz w:val="24"/>
          <w:szCs w:val="24"/>
        </w:rPr>
      </w:pPr>
      <w:r>
        <w:rPr>
          <w:rFonts w:hint="eastAsia" w:ascii="宋体" w:hAnsi="宋体"/>
          <w:sz w:val="24"/>
          <w:szCs w:val="24"/>
        </w:rPr>
        <w:t>投资方于2019年9月4日上午9:30时在举行的(台交所挂[2019]16号)浙江海正博锐生物制药有限公司新增8,928.5714万元注册资本网络竞价活动中，根据相关法律法规规定，双方签订增资确认书如下：</w:t>
      </w:r>
    </w:p>
    <w:p>
      <w:pPr>
        <w:spacing w:line="500" w:lineRule="exact"/>
        <w:ind w:firstLine="480" w:firstLineChars="200"/>
        <w:rPr>
          <w:rFonts w:ascii="宋体" w:hAnsi="宋体"/>
          <w:sz w:val="24"/>
          <w:szCs w:val="24"/>
        </w:rPr>
      </w:pPr>
    </w:p>
    <w:p>
      <w:pPr>
        <w:spacing w:line="500" w:lineRule="exact"/>
        <w:ind w:firstLine="480" w:firstLineChars="200"/>
        <w:rPr>
          <w:rFonts w:ascii="宋体"/>
          <w:sz w:val="24"/>
          <w:szCs w:val="24"/>
        </w:rPr>
      </w:pPr>
      <w:r>
        <w:rPr>
          <w:rFonts w:hint="eastAsia" w:ascii="宋体" w:hAnsi="宋体"/>
          <w:sz w:val="24"/>
          <w:szCs w:val="24"/>
        </w:rPr>
        <w:t>一、</w:t>
      </w:r>
      <w:r>
        <w:rPr>
          <w:rFonts w:hint="eastAsia" w:ascii="宋体" w:hAnsi="宋体"/>
          <w:sz w:val="24"/>
          <w:szCs w:val="24"/>
          <w:u w:val="single"/>
        </w:rPr>
        <w:t>投资方投资总额</w:t>
      </w:r>
      <w:r>
        <w:rPr>
          <w:rFonts w:ascii="宋体" w:hAnsi="宋体"/>
          <w:sz w:val="24"/>
          <w:szCs w:val="24"/>
          <w:u w:val="single"/>
        </w:rPr>
        <w:t xml:space="preserve">           </w:t>
      </w:r>
      <w:r>
        <w:rPr>
          <w:rFonts w:hint="eastAsia" w:ascii="宋体" w:hAnsi="宋体"/>
          <w:sz w:val="24"/>
          <w:szCs w:val="24"/>
          <w:u w:val="single"/>
        </w:rPr>
        <w:t>万元，单价</w:t>
      </w:r>
      <w:r>
        <w:rPr>
          <w:rFonts w:ascii="宋体" w:hAnsi="宋体"/>
          <w:sz w:val="24"/>
          <w:szCs w:val="24"/>
          <w:u w:val="single"/>
        </w:rPr>
        <w:t xml:space="preserve">       元</w:t>
      </w:r>
      <w:r>
        <w:rPr>
          <w:rFonts w:hint="eastAsia" w:ascii="宋体" w:hAnsi="宋体"/>
          <w:sz w:val="24"/>
          <w:szCs w:val="24"/>
          <w:u w:val="single"/>
        </w:rPr>
        <w:t>/股，增资及转股后占得浙江海正博锐生物制药有限公司</w:t>
      </w:r>
      <w:r>
        <w:rPr>
          <w:rFonts w:ascii="宋体" w:hAnsi="宋体"/>
          <w:sz w:val="24"/>
          <w:szCs w:val="24"/>
          <w:u w:val="single"/>
        </w:rPr>
        <w:t>58%</w:t>
      </w:r>
      <w:r>
        <w:rPr>
          <w:rFonts w:hint="eastAsia" w:ascii="宋体" w:hAnsi="宋体"/>
          <w:sz w:val="24"/>
          <w:szCs w:val="24"/>
          <w:u w:val="single"/>
        </w:rPr>
        <w:t>股权</w:t>
      </w:r>
      <w:r>
        <w:rPr>
          <w:rFonts w:hint="eastAsia" w:ascii="宋体" w:hAnsi="宋体"/>
          <w:sz w:val="24"/>
          <w:szCs w:val="24"/>
        </w:rPr>
        <w:t>。</w:t>
      </w:r>
    </w:p>
    <w:p>
      <w:pPr>
        <w:spacing w:line="500" w:lineRule="exact"/>
        <w:ind w:firstLine="480" w:firstLineChars="200"/>
        <w:rPr>
          <w:rFonts w:ascii="宋体" w:hAnsi="宋体"/>
          <w:sz w:val="24"/>
          <w:szCs w:val="24"/>
        </w:rPr>
      </w:pPr>
      <w:r>
        <w:rPr>
          <w:rFonts w:hint="eastAsia" w:ascii="宋体" w:hAnsi="宋体"/>
          <w:sz w:val="24"/>
          <w:szCs w:val="24"/>
        </w:rPr>
        <w:t>二、服务费：大写人民币伍拾捌万元整，小写人民币580000.00元。</w:t>
      </w:r>
    </w:p>
    <w:p>
      <w:pPr>
        <w:spacing w:line="480" w:lineRule="atLeast"/>
        <w:ind w:right="105" w:rightChars="50" w:firstLine="480" w:firstLineChars="200"/>
        <w:rPr>
          <w:rFonts w:ascii="宋体" w:hAnsi="宋体"/>
          <w:sz w:val="24"/>
          <w:szCs w:val="24"/>
        </w:rPr>
      </w:pPr>
      <w:r>
        <w:rPr>
          <w:rFonts w:hint="eastAsia" w:ascii="宋体" w:hAnsi="宋体"/>
          <w:sz w:val="24"/>
          <w:szCs w:val="24"/>
        </w:rPr>
        <w:t>三、付款方式：增资成交后，投资方当天签署本《增资确认书》，</w:t>
      </w:r>
      <w:r>
        <w:rPr>
          <w:rFonts w:ascii="宋体" w:hAnsi="宋体"/>
          <w:sz w:val="24"/>
          <w:szCs w:val="24"/>
        </w:rPr>
        <w:t>并于《增资确认书》签署后两日内</w:t>
      </w:r>
      <w:r>
        <w:rPr>
          <w:rFonts w:hint="eastAsia" w:ascii="宋体" w:hAnsi="宋体"/>
          <w:sz w:val="24"/>
          <w:szCs w:val="24"/>
        </w:rPr>
        <w:t>签署《增资扩股协议》，《增资扩股协议》签署后(如需</w:t>
      </w:r>
      <w:r>
        <w:rPr>
          <w:rFonts w:ascii="宋体" w:hAnsi="宋体"/>
          <w:sz w:val="24"/>
          <w:szCs w:val="24"/>
        </w:rPr>
        <w:t>相关政府主管部门</w:t>
      </w:r>
      <w:r>
        <w:rPr>
          <w:rFonts w:hint="eastAsia" w:ascii="宋体" w:hAnsi="宋体"/>
          <w:sz w:val="24"/>
          <w:szCs w:val="24"/>
        </w:rPr>
        <w:t>批准</w:t>
      </w:r>
      <w:r>
        <w:rPr>
          <w:rFonts w:ascii="宋体" w:hAnsi="宋体"/>
          <w:sz w:val="24"/>
          <w:szCs w:val="24"/>
        </w:rPr>
        <w:t>、登记</w:t>
      </w:r>
      <w:r>
        <w:rPr>
          <w:rFonts w:hint="eastAsia" w:ascii="宋体" w:hAnsi="宋体"/>
          <w:sz w:val="24"/>
          <w:szCs w:val="24"/>
        </w:rPr>
        <w:t>及/</w:t>
      </w:r>
      <w:r>
        <w:rPr>
          <w:rFonts w:ascii="宋体" w:hAnsi="宋体"/>
          <w:sz w:val="24"/>
          <w:szCs w:val="24"/>
        </w:rPr>
        <w:t>或备案的，则在政府主管部门</w:t>
      </w:r>
      <w:r>
        <w:rPr>
          <w:rFonts w:hint="eastAsia" w:ascii="宋体" w:hAnsi="宋体"/>
          <w:sz w:val="24"/>
          <w:szCs w:val="24"/>
        </w:rPr>
        <w:t>批准</w:t>
      </w:r>
      <w:r>
        <w:rPr>
          <w:rFonts w:ascii="宋体" w:hAnsi="宋体"/>
          <w:sz w:val="24"/>
          <w:szCs w:val="24"/>
        </w:rPr>
        <w:t>、登记</w:t>
      </w:r>
      <w:r>
        <w:rPr>
          <w:rFonts w:hint="eastAsia" w:ascii="宋体" w:hAnsi="宋体"/>
          <w:sz w:val="24"/>
          <w:szCs w:val="24"/>
        </w:rPr>
        <w:t>及/</w:t>
      </w:r>
      <w:r>
        <w:rPr>
          <w:rFonts w:ascii="宋体" w:hAnsi="宋体"/>
          <w:sz w:val="24"/>
          <w:szCs w:val="24"/>
        </w:rPr>
        <w:t>或备案</w:t>
      </w:r>
      <w:r>
        <w:rPr>
          <w:rFonts w:hint="eastAsia" w:ascii="宋体" w:hAnsi="宋体"/>
          <w:sz w:val="24"/>
          <w:szCs w:val="24"/>
        </w:rPr>
        <w:t>后)</w:t>
      </w:r>
      <w:r>
        <w:rPr>
          <w:rFonts w:ascii="宋体" w:hAnsi="宋体"/>
          <w:sz w:val="24"/>
          <w:szCs w:val="24"/>
        </w:rPr>
        <w:t xml:space="preserve"> 5个工作日</w:t>
      </w:r>
      <w:r>
        <w:rPr>
          <w:rFonts w:hint="eastAsia" w:ascii="宋体" w:hAnsi="宋体"/>
          <w:sz w:val="24"/>
          <w:szCs w:val="24"/>
        </w:rPr>
        <w:t>内一次性支付全部投资款至</w:t>
      </w:r>
      <w:r>
        <w:rPr>
          <w:rFonts w:ascii="宋体" w:hAnsi="宋体"/>
          <w:sz w:val="24"/>
          <w:szCs w:val="24"/>
        </w:rPr>
        <w:t>增资方账户</w:t>
      </w:r>
      <w:r>
        <w:rPr>
          <w:rFonts w:hint="eastAsia" w:ascii="宋体" w:hAnsi="宋体"/>
          <w:sz w:val="24"/>
          <w:szCs w:val="24"/>
        </w:rPr>
        <w:t>（投资方先期汇入产交所的竞买保证金应转为同额投资款）</w:t>
      </w:r>
      <w:r>
        <w:rPr>
          <w:rFonts w:ascii="宋体" w:hAnsi="宋体"/>
          <w:sz w:val="24"/>
          <w:szCs w:val="24"/>
        </w:rPr>
        <w:t>，并</w:t>
      </w:r>
      <w:r>
        <w:rPr>
          <w:rFonts w:hint="eastAsia" w:ascii="宋体" w:hAnsi="宋体"/>
          <w:sz w:val="24"/>
          <w:szCs w:val="24"/>
        </w:rPr>
        <w:t>于</w:t>
      </w:r>
      <w:r>
        <w:rPr>
          <w:rFonts w:hint="eastAsia" w:ascii="宋体" w:hAnsi="宋体"/>
          <w:sz w:val="24"/>
        </w:rPr>
        <w:t>《增资扩股协议》生效</w:t>
      </w:r>
      <w:r>
        <w:rPr>
          <w:rFonts w:ascii="宋体" w:hAnsi="宋体"/>
          <w:sz w:val="24"/>
        </w:rPr>
        <w:t>后五个工作日内</w:t>
      </w:r>
      <w:r>
        <w:rPr>
          <w:rFonts w:ascii="宋体" w:hAnsi="宋体"/>
          <w:sz w:val="24"/>
          <w:szCs w:val="24"/>
        </w:rPr>
        <w:t>支付全部</w:t>
      </w:r>
      <w:r>
        <w:rPr>
          <w:rFonts w:hint="eastAsia" w:ascii="宋体" w:hAnsi="宋体"/>
          <w:sz w:val="24"/>
          <w:szCs w:val="24"/>
        </w:rPr>
        <w:t>服务费至</w:t>
      </w:r>
      <w:r>
        <w:rPr>
          <w:rFonts w:ascii="宋体" w:hAnsi="宋体"/>
          <w:sz w:val="24"/>
          <w:szCs w:val="24"/>
        </w:rPr>
        <w:t>产交所账户</w:t>
      </w:r>
      <w:r>
        <w:rPr>
          <w:rFonts w:hint="eastAsia" w:ascii="宋体" w:hAnsi="宋体"/>
          <w:sz w:val="24"/>
          <w:szCs w:val="24"/>
        </w:rPr>
        <w:t>。保证金和服务费以人民币方式汇入：</w:t>
      </w:r>
    </w:p>
    <w:p>
      <w:pPr>
        <w:spacing w:line="360" w:lineRule="auto"/>
        <w:ind w:firstLine="560"/>
        <w:rPr>
          <w:rFonts w:ascii="宋体" w:hAnsi="宋体"/>
          <w:b/>
          <w:bCs/>
          <w:sz w:val="24"/>
          <w:szCs w:val="24"/>
        </w:rPr>
      </w:pPr>
      <w:r>
        <w:rPr>
          <w:rFonts w:hint="eastAsia" w:ascii="宋体" w:hAnsi="宋体"/>
          <w:b/>
          <w:bCs/>
          <w:sz w:val="24"/>
          <w:szCs w:val="24"/>
        </w:rPr>
        <w:t>保证金账户：</w:t>
      </w:r>
    </w:p>
    <w:p>
      <w:pPr>
        <w:spacing w:line="360" w:lineRule="auto"/>
        <w:ind w:firstLine="560"/>
        <w:rPr>
          <w:rFonts w:ascii="宋体" w:hAnsi="宋体"/>
          <w:sz w:val="24"/>
          <w:szCs w:val="24"/>
        </w:rPr>
      </w:pPr>
      <w:r>
        <w:rPr>
          <w:rFonts w:ascii="宋体" w:hAnsi="宋体"/>
          <w:sz w:val="24"/>
          <w:szCs w:val="24"/>
        </w:rPr>
        <w:t>(1) 投资</w:t>
      </w:r>
      <w:r>
        <w:rPr>
          <w:rFonts w:hint="eastAsia" w:ascii="宋体" w:hAnsi="宋体"/>
          <w:sz w:val="24"/>
          <w:szCs w:val="24"/>
        </w:rPr>
        <w:t>方</w:t>
      </w:r>
      <w:r>
        <w:rPr>
          <w:rFonts w:ascii="宋体" w:hAnsi="宋体"/>
          <w:sz w:val="24"/>
          <w:szCs w:val="24"/>
        </w:rPr>
        <w:t>为境内主体适用：单位名称：台州市产权交易所有限公司，开户行：浙江民泰商业银行台州椒江支行，帐号：5830162608000</w:t>
      </w:r>
      <w:r>
        <w:rPr>
          <w:rFonts w:hint="eastAsia" w:ascii="宋体" w:hAnsi="宋体"/>
          <w:sz w:val="24"/>
          <w:szCs w:val="24"/>
        </w:rPr>
        <w:t>15</w:t>
      </w:r>
      <w:r>
        <w:rPr>
          <w:rFonts w:ascii="宋体" w:hAnsi="宋体"/>
          <w:sz w:val="24"/>
          <w:szCs w:val="24"/>
        </w:rPr>
        <w:t>。</w:t>
      </w:r>
    </w:p>
    <w:p>
      <w:pPr>
        <w:spacing w:line="360" w:lineRule="auto"/>
        <w:ind w:firstLine="560"/>
        <w:rPr>
          <w:rFonts w:ascii="宋体" w:hAnsi="宋体"/>
          <w:sz w:val="24"/>
          <w:szCs w:val="24"/>
        </w:rPr>
      </w:pPr>
      <w:r>
        <w:rPr>
          <w:rFonts w:ascii="宋体" w:hAnsi="宋体"/>
          <w:sz w:val="24"/>
          <w:szCs w:val="24"/>
        </w:rPr>
        <w:t>(2) 投资</w:t>
      </w:r>
      <w:r>
        <w:rPr>
          <w:rFonts w:hint="eastAsia" w:ascii="宋体" w:hAnsi="宋体"/>
          <w:sz w:val="24"/>
          <w:szCs w:val="24"/>
        </w:rPr>
        <w:t>方</w:t>
      </w:r>
      <w:r>
        <w:rPr>
          <w:rFonts w:ascii="宋体" w:hAnsi="宋体"/>
          <w:sz w:val="24"/>
          <w:szCs w:val="24"/>
        </w:rPr>
        <w:t>为境外主体适用：单位名称：台州市产权交易所有限公司，开户行：</w:t>
      </w:r>
      <w:r>
        <w:rPr>
          <w:rFonts w:hint="eastAsia" w:ascii="宋体" w:hAnsi="宋体"/>
          <w:sz w:val="24"/>
          <w:szCs w:val="24"/>
        </w:rPr>
        <w:t>中国农业银行台州市经济开发区支行</w:t>
      </w:r>
      <w:r>
        <w:rPr>
          <w:rFonts w:ascii="宋体" w:hAnsi="宋体"/>
          <w:sz w:val="24"/>
          <w:szCs w:val="24"/>
        </w:rPr>
        <w:t>，帐号：</w:t>
      </w:r>
      <w:r>
        <w:rPr>
          <w:rFonts w:hint="eastAsia" w:ascii="宋体" w:hAnsi="宋体"/>
          <w:sz w:val="24"/>
          <w:szCs w:val="24"/>
        </w:rPr>
        <w:t>19900101040022292</w:t>
      </w:r>
      <w:r>
        <w:rPr>
          <w:rFonts w:ascii="宋体" w:hAnsi="宋体"/>
          <w:sz w:val="24"/>
          <w:szCs w:val="24"/>
        </w:rPr>
        <w:t>。</w:t>
      </w:r>
    </w:p>
    <w:p>
      <w:pPr>
        <w:spacing w:line="360" w:lineRule="auto"/>
        <w:ind w:firstLine="560"/>
        <w:rPr>
          <w:rFonts w:ascii="宋体" w:hAnsi="宋体"/>
          <w:b/>
          <w:bCs/>
          <w:sz w:val="24"/>
          <w:szCs w:val="24"/>
        </w:rPr>
      </w:pPr>
      <w:r>
        <w:rPr>
          <w:rFonts w:hint="eastAsia" w:ascii="宋体" w:hAnsi="宋体"/>
          <w:b/>
          <w:bCs/>
          <w:sz w:val="24"/>
          <w:szCs w:val="24"/>
        </w:rPr>
        <w:t>服务费账户：</w:t>
      </w:r>
    </w:p>
    <w:p>
      <w:pPr>
        <w:spacing w:line="360" w:lineRule="auto"/>
        <w:ind w:firstLine="560"/>
        <w:rPr>
          <w:rFonts w:ascii="宋体" w:hAnsi="宋体"/>
          <w:sz w:val="24"/>
          <w:szCs w:val="24"/>
        </w:rPr>
      </w:pPr>
      <w:r>
        <w:rPr>
          <w:rFonts w:hint="eastAsia" w:ascii="宋体" w:hAnsi="宋体"/>
          <w:sz w:val="24"/>
          <w:szCs w:val="24"/>
        </w:rPr>
        <w:t>开户单位：台州市产权交易所有限公司，</w:t>
      </w:r>
      <w:r>
        <w:rPr>
          <w:rFonts w:ascii="宋体" w:hAnsi="宋体"/>
          <w:sz w:val="24"/>
          <w:szCs w:val="24"/>
        </w:rPr>
        <w:t>开户行：浙江民泰商业银行台州椒江支行</w:t>
      </w:r>
      <w:r>
        <w:rPr>
          <w:rFonts w:hint="eastAsia" w:ascii="宋体" w:hAnsi="宋体"/>
          <w:sz w:val="24"/>
          <w:szCs w:val="24"/>
        </w:rPr>
        <w:t>，</w:t>
      </w:r>
      <w:r>
        <w:rPr>
          <w:rFonts w:ascii="宋体" w:hAnsi="宋体"/>
          <w:sz w:val="24"/>
          <w:szCs w:val="24"/>
        </w:rPr>
        <w:t>账号：583016260800028。</w:t>
      </w:r>
    </w:p>
    <w:p>
      <w:pPr>
        <w:spacing w:line="500" w:lineRule="exact"/>
        <w:ind w:firstLine="480"/>
        <w:rPr>
          <w:rFonts w:ascii="宋体" w:hAnsi="宋体"/>
          <w:bCs/>
          <w:sz w:val="24"/>
          <w:szCs w:val="24"/>
        </w:rPr>
      </w:pPr>
      <w:r>
        <w:rPr>
          <w:rFonts w:hint="eastAsia" w:ascii="宋体" w:hAnsi="宋体"/>
          <w:sz w:val="24"/>
          <w:szCs w:val="24"/>
        </w:rPr>
        <w:t>四、投资方成交后拒绝签署《增资确认书》、《增资</w:t>
      </w:r>
      <w:r>
        <w:rPr>
          <w:rFonts w:hint="eastAsia" w:ascii="宋体" w:hAnsi="宋体"/>
          <w:bCs/>
          <w:sz w:val="24"/>
          <w:szCs w:val="24"/>
        </w:rPr>
        <w:t>扩股</w:t>
      </w:r>
      <w:r>
        <w:rPr>
          <w:rFonts w:hint="eastAsia" w:ascii="宋体" w:hAnsi="宋体"/>
          <w:sz w:val="24"/>
          <w:szCs w:val="24"/>
        </w:rPr>
        <w:t>协议》，或不依本确认书足额支付投资款项的，视为其毁约，台交所有权追究其违约责任；投资方逾期支付增资成交款项的，视为投资方根本违约；</w:t>
      </w:r>
      <w:r>
        <w:rPr>
          <w:rFonts w:hint="eastAsia" w:ascii="宋体" w:hAnsi="宋体"/>
          <w:bCs/>
          <w:sz w:val="24"/>
          <w:szCs w:val="24"/>
        </w:rPr>
        <w:t>融资方有权解除《增资扩股协议》，台交所有权解除《增资确认书》</w:t>
      </w:r>
      <w:r>
        <w:rPr>
          <w:rFonts w:hint="eastAsia" w:ascii="宋体" w:hAnsi="宋体"/>
          <w:sz w:val="24"/>
          <w:szCs w:val="24"/>
        </w:rPr>
        <w:t>，保证金不予退还。</w:t>
      </w:r>
    </w:p>
    <w:p>
      <w:pPr>
        <w:spacing w:line="500" w:lineRule="exact"/>
        <w:ind w:firstLine="480" w:firstLineChars="200"/>
        <w:rPr>
          <w:rFonts w:ascii="宋体"/>
          <w:sz w:val="24"/>
          <w:szCs w:val="24"/>
        </w:rPr>
      </w:pPr>
      <w:r>
        <w:rPr>
          <w:rFonts w:hint="eastAsia" w:ascii="宋体" w:hAnsi="宋体"/>
          <w:sz w:val="24"/>
          <w:szCs w:val="24"/>
        </w:rPr>
        <w:t>五、投资方凭本《增资确认书》于两日</w:t>
      </w:r>
      <w:r>
        <w:rPr>
          <w:rFonts w:ascii="宋体" w:hAnsi="宋体"/>
          <w:sz w:val="24"/>
          <w:szCs w:val="24"/>
        </w:rPr>
        <w:t>内</w:t>
      </w:r>
      <w:r>
        <w:rPr>
          <w:rFonts w:hint="eastAsia" w:ascii="宋体" w:hAnsi="宋体"/>
          <w:sz w:val="24"/>
          <w:szCs w:val="24"/>
        </w:rPr>
        <w:t>与申请方签订《增资</w:t>
      </w:r>
      <w:r>
        <w:rPr>
          <w:rFonts w:hint="eastAsia" w:ascii="宋体" w:hAnsi="宋体"/>
          <w:bCs/>
          <w:sz w:val="24"/>
          <w:szCs w:val="24"/>
        </w:rPr>
        <w:t>扩股</w:t>
      </w:r>
      <w:r>
        <w:rPr>
          <w:rFonts w:hint="eastAsia" w:ascii="宋体" w:hAnsi="宋体"/>
          <w:sz w:val="24"/>
          <w:szCs w:val="24"/>
        </w:rPr>
        <w:t>协议》，并按增资协议进行履约。</w:t>
      </w:r>
    </w:p>
    <w:p>
      <w:pPr>
        <w:spacing w:line="500" w:lineRule="exact"/>
        <w:ind w:firstLine="480"/>
        <w:rPr>
          <w:rFonts w:ascii="宋体"/>
          <w:sz w:val="24"/>
          <w:szCs w:val="24"/>
        </w:rPr>
      </w:pPr>
      <w:r>
        <w:rPr>
          <w:rFonts w:hint="eastAsia" w:ascii="宋体" w:hAnsi="宋体"/>
          <w:sz w:val="24"/>
          <w:szCs w:val="24"/>
        </w:rPr>
        <w:t>六、确定本增资扩股活动各方当事人权利义务的依据：</w:t>
      </w:r>
    </w:p>
    <w:p>
      <w:pPr>
        <w:spacing w:line="500" w:lineRule="exact"/>
        <w:ind w:firstLine="480"/>
        <w:rPr>
          <w:rFonts w:ascii="宋体"/>
          <w:sz w:val="24"/>
          <w:szCs w:val="24"/>
        </w:rPr>
      </w:pPr>
      <w:r>
        <w:rPr>
          <w:rFonts w:ascii="宋体" w:hAnsi="宋体"/>
          <w:sz w:val="24"/>
          <w:szCs w:val="24"/>
        </w:rPr>
        <w:t>1</w:t>
      </w:r>
      <w:r>
        <w:rPr>
          <w:rFonts w:hint="eastAsia" w:ascii="宋体" w:hAnsi="宋体"/>
          <w:sz w:val="24"/>
          <w:szCs w:val="24"/>
        </w:rPr>
        <w:t>、《委托增资服务协议》；</w:t>
      </w:r>
    </w:p>
    <w:p>
      <w:pPr>
        <w:spacing w:line="500" w:lineRule="exact"/>
        <w:ind w:firstLine="480"/>
        <w:rPr>
          <w:rFonts w:ascii="宋体"/>
          <w:sz w:val="24"/>
          <w:szCs w:val="24"/>
        </w:rPr>
      </w:pPr>
      <w:r>
        <w:rPr>
          <w:rFonts w:ascii="宋体" w:hAnsi="宋体"/>
          <w:sz w:val="24"/>
          <w:szCs w:val="24"/>
        </w:rPr>
        <w:t>2</w:t>
      </w:r>
      <w:r>
        <w:rPr>
          <w:rFonts w:hint="eastAsia" w:ascii="宋体" w:hAnsi="宋体"/>
          <w:sz w:val="24"/>
          <w:szCs w:val="24"/>
        </w:rPr>
        <w:t>、《增资扩股协议》及</w:t>
      </w:r>
      <w:r>
        <w:rPr>
          <w:rFonts w:ascii="宋体" w:hAnsi="宋体"/>
          <w:sz w:val="24"/>
          <w:szCs w:val="24"/>
        </w:rPr>
        <w:t>其补充协议（如有）</w:t>
      </w:r>
      <w:r>
        <w:rPr>
          <w:rFonts w:hint="eastAsia" w:ascii="宋体" w:hAnsi="宋体"/>
          <w:sz w:val="24"/>
          <w:szCs w:val="24"/>
        </w:rPr>
        <w:t>；</w:t>
      </w:r>
    </w:p>
    <w:p>
      <w:pPr>
        <w:spacing w:line="500" w:lineRule="exact"/>
        <w:ind w:firstLine="480"/>
        <w:rPr>
          <w:rFonts w:ascii="宋体"/>
          <w:sz w:val="24"/>
          <w:szCs w:val="24"/>
        </w:rPr>
      </w:pPr>
      <w:r>
        <w:rPr>
          <w:rFonts w:ascii="宋体" w:hAnsi="宋体"/>
          <w:sz w:val="24"/>
          <w:szCs w:val="24"/>
        </w:rPr>
        <w:t>3</w:t>
      </w:r>
      <w:r>
        <w:rPr>
          <w:rFonts w:hint="eastAsia" w:ascii="宋体" w:hAnsi="宋体"/>
          <w:sz w:val="24"/>
          <w:szCs w:val="24"/>
        </w:rPr>
        <w:t>、《须知及特别约定》；</w:t>
      </w:r>
    </w:p>
    <w:p>
      <w:pPr>
        <w:spacing w:line="500" w:lineRule="exact"/>
        <w:ind w:firstLine="480"/>
        <w:rPr>
          <w:rFonts w:ascii="宋体"/>
          <w:sz w:val="24"/>
          <w:szCs w:val="24"/>
        </w:rPr>
      </w:pPr>
      <w:r>
        <w:rPr>
          <w:rFonts w:ascii="宋体" w:hAnsi="宋体"/>
          <w:sz w:val="24"/>
          <w:szCs w:val="24"/>
        </w:rPr>
        <w:t>4</w:t>
      </w:r>
      <w:r>
        <w:rPr>
          <w:rFonts w:hint="eastAsia" w:ascii="宋体" w:hAnsi="宋体"/>
          <w:sz w:val="24"/>
          <w:szCs w:val="24"/>
        </w:rPr>
        <w:t>、投资方办理的增资申请书及提供的有关文件和资料；</w:t>
      </w:r>
    </w:p>
    <w:p>
      <w:pPr>
        <w:spacing w:line="500" w:lineRule="exact"/>
        <w:ind w:firstLine="480"/>
        <w:rPr>
          <w:rFonts w:ascii="宋体"/>
          <w:sz w:val="24"/>
          <w:szCs w:val="24"/>
        </w:rPr>
      </w:pPr>
      <w:r>
        <w:rPr>
          <w:rFonts w:ascii="宋体" w:hAnsi="宋体"/>
          <w:sz w:val="24"/>
          <w:szCs w:val="24"/>
        </w:rPr>
        <w:t>5</w:t>
      </w:r>
      <w:r>
        <w:rPr>
          <w:rFonts w:hint="eastAsia" w:ascii="宋体" w:hAnsi="宋体"/>
          <w:sz w:val="24"/>
          <w:szCs w:val="24"/>
        </w:rPr>
        <w:t>、其他与本次增资有关的文件及内容。</w:t>
      </w:r>
    </w:p>
    <w:p>
      <w:pPr>
        <w:spacing w:line="500" w:lineRule="exact"/>
        <w:ind w:firstLine="480" w:firstLineChars="200"/>
        <w:rPr>
          <w:rFonts w:ascii="宋体" w:hAnsi="宋体"/>
          <w:sz w:val="24"/>
          <w:szCs w:val="24"/>
        </w:rPr>
      </w:pPr>
      <w:r>
        <w:rPr>
          <w:rFonts w:hint="eastAsia" w:ascii="宋体" w:hAnsi="宋体"/>
          <w:sz w:val="24"/>
          <w:szCs w:val="24"/>
        </w:rPr>
        <w:t>七、本确认书在履行中若发生争议，双方应协商解决，协商不成的，可向人民法院以起诉方式解决。</w:t>
      </w:r>
    </w:p>
    <w:p>
      <w:pPr>
        <w:spacing w:line="500" w:lineRule="exact"/>
        <w:ind w:firstLine="480" w:firstLineChars="200"/>
        <w:rPr>
          <w:rFonts w:ascii="宋体"/>
          <w:sz w:val="24"/>
          <w:szCs w:val="24"/>
        </w:rPr>
      </w:pPr>
      <w:r>
        <w:rPr>
          <w:rFonts w:hint="eastAsia" w:ascii="宋体" w:hAnsi="宋体"/>
          <w:sz w:val="24"/>
          <w:szCs w:val="24"/>
        </w:rPr>
        <w:t>八、本《增资确认书》一式陆份。组织人、投资方各执二份，融资方、监管部门各执一份。</w:t>
      </w:r>
    </w:p>
    <w:p>
      <w:pPr>
        <w:spacing w:line="500" w:lineRule="exact"/>
        <w:ind w:firstLine="480"/>
        <w:rPr>
          <w:rFonts w:ascii="宋体"/>
          <w:sz w:val="24"/>
          <w:szCs w:val="24"/>
        </w:rPr>
      </w:pPr>
    </w:p>
    <w:p>
      <w:pPr>
        <w:spacing w:line="500" w:lineRule="exact"/>
        <w:rPr>
          <w:rFonts w:ascii="宋体"/>
          <w:sz w:val="24"/>
          <w:szCs w:val="24"/>
        </w:rPr>
      </w:pPr>
    </w:p>
    <w:p>
      <w:pPr>
        <w:spacing w:line="500" w:lineRule="exact"/>
        <w:rPr>
          <w:rFonts w:ascii="宋体"/>
          <w:sz w:val="24"/>
          <w:szCs w:val="24"/>
        </w:rPr>
      </w:pPr>
      <w:r>
        <w:rPr>
          <w:rFonts w:hint="eastAsia" w:ascii="宋体" w:hAnsi="宋体"/>
          <w:sz w:val="24"/>
          <w:szCs w:val="24"/>
        </w:rPr>
        <w:t>组织人（盖章）：台州市产权交易所有限公司     投资方：</w:t>
      </w:r>
    </w:p>
    <w:p>
      <w:pPr>
        <w:tabs>
          <w:tab w:val="left" w:pos="5210"/>
        </w:tabs>
        <w:spacing w:line="500" w:lineRule="exact"/>
        <w:rPr>
          <w:rFonts w:ascii="宋体"/>
          <w:sz w:val="24"/>
          <w:szCs w:val="24"/>
        </w:rPr>
      </w:pPr>
      <w:r>
        <w:rPr>
          <w:rFonts w:hint="eastAsia" w:ascii="宋体" w:hAnsi="宋体"/>
          <w:sz w:val="24"/>
          <w:szCs w:val="24"/>
        </w:rPr>
        <w:t>法定代表人：</w:t>
      </w:r>
      <w:r>
        <w:rPr>
          <w:rFonts w:ascii="宋体"/>
          <w:sz w:val="24"/>
          <w:szCs w:val="24"/>
        </w:rPr>
        <w:tab/>
      </w:r>
      <w:r>
        <w:rPr>
          <w:rFonts w:hint="eastAsia" w:ascii="宋体" w:hAnsi="宋体"/>
          <w:sz w:val="24"/>
          <w:szCs w:val="24"/>
        </w:rPr>
        <w:t>法定代表人：</w:t>
      </w:r>
    </w:p>
    <w:p>
      <w:pPr>
        <w:tabs>
          <w:tab w:val="left" w:pos="5210"/>
        </w:tabs>
        <w:spacing w:line="500" w:lineRule="exact"/>
        <w:rPr>
          <w:rFonts w:ascii="宋体"/>
          <w:sz w:val="24"/>
          <w:szCs w:val="24"/>
        </w:rPr>
      </w:pPr>
      <w:r>
        <w:rPr>
          <w:rFonts w:hint="eastAsia" w:ascii="宋体" w:hAnsi="宋体"/>
          <w:sz w:val="24"/>
          <w:szCs w:val="24"/>
        </w:rPr>
        <w:t>委托代理人：</w:t>
      </w:r>
      <w:r>
        <w:rPr>
          <w:rFonts w:ascii="宋体"/>
          <w:sz w:val="24"/>
          <w:szCs w:val="24"/>
        </w:rPr>
        <w:tab/>
      </w:r>
      <w:r>
        <w:rPr>
          <w:rFonts w:hint="eastAsia" w:ascii="宋体" w:hAnsi="宋体"/>
          <w:sz w:val="24"/>
          <w:szCs w:val="24"/>
        </w:rPr>
        <w:t>委托代理人：</w:t>
      </w:r>
    </w:p>
    <w:p>
      <w:pPr>
        <w:tabs>
          <w:tab w:val="left" w:pos="5210"/>
        </w:tabs>
        <w:spacing w:line="500" w:lineRule="exact"/>
        <w:rPr>
          <w:rFonts w:ascii="宋体"/>
          <w:sz w:val="23"/>
          <w:szCs w:val="23"/>
        </w:rPr>
      </w:pPr>
      <w:r>
        <w:rPr>
          <w:rFonts w:hint="eastAsia" w:ascii="宋体" w:hAnsi="宋体"/>
          <w:sz w:val="24"/>
          <w:szCs w:val="24"/>
        </w:rPr>
        <w:t>签订日期：  年   月   日                    签订日期：  年  月   日</w:t>
      </w:r>
    </w:p>
    <w:p>
      <w:pPr>
        <w:tabs>
          <w:tab w:val="left" w:pos="5210"/>
        </w:tabs>
        <w:spacing w:line="360" w:lineRule="auto"/>
        <w:rPr>
          <w:rFonts w:ascii="宋体"/>
          <w:sz w:val="23"/>
          <w:szCs w:val="23"/>
        </w:rPr>
      </w:pPr>
    </w:p>
    <w:p>
      <w:pPr>
        <w:widowControl/>
        <w:spacing w:afterLines="100"/>
        <w:jc w:val="center"/>
        <w:rPr>
          <w:rFonts w:ascii="Times New Roman" w:hAnsi="Times New Roman" w:eastAsiaTheme="majorEastAsia"/>
          <w:b/>
          <w:kern w:val="0"/>
          <w:sz w:val="24"/>
          <w:szCs w:val="24"/>
        </w:rPr>
      </w:pPr>
      <w:r>
        <w:rPr>
          <w:rFonts w:ascii="宋体"/>
          <w:sz w:val="23"/>
          <w:szCs w:val="23"/>
        </w:rPr>
        <w:br w:type="page"/>
      </w:r>
      <w:r>
        <w:rPr>
          <w:rFonts w:ascii="Times New Roman" w:hAnsi="Times New Roman" w:eastAsiaTheme="majorEastAsia"/>
          <w:b/>
          <w:kern w:val="0"/>
          <w:sz w:val="24"/>
          <w:szCs w:val="24"/>
        </w:rPr>
        <w:t>浙江海正博锐生物制药有限公司</w:t>
      </w:r>
    </w:p>
    <w:p>
      <w:pPr>
        <w:keepNext/>
        <w:keepLines/>
        <w:spacing w:afterLines="100"/>
        <w:jc w:val="center"/>
        <w:outlineLvl w:val="0"/>
        <w:rPr>
          <w:rFonts w:ascii="Times New Roman" w:hAnsi="Times New Roman" w:eastAsiaTheme="majorEastAsia"/>
          <w:b/>
          <w:bCs/>
          <w:kern w:val="44"/>
          <w:sz w:val="24"/>
          <w:szCs w:val="24"/>
        </w:rPr>
      </w:pPr>
      <w:bookmarkStart w:id="18" w:name="_Toc28999"/>
      <w:r>
        <w:rPr>
          <w:rFonts w:ascii="Times New Roman" w:hAnsi="Times New Roman" w:eastAsiaTheme="majorEastAsia"/>
          <w:b/>
          <w:bCs/>
          <w:kern w:val="44"/>
          <w:sz w:val="24"/>
          <w:szCs w:val="24"/>
        </w:rPr>
        <w:t>增资扩股协议</w:t>
      </w:r>
      <w:bookmarkEnd w:id="18"/>
    </w:p>
    <w:p>
      <w:pPr>
        <w:widowControl/>
        <w:spacing w:afterLines="100"/>
        <w:rPr>
          <w:rFonts w:ascii="Times New Roman" w:hAnsi="Times New Roman" w:eastAsiaTheme="majorEastAsia"/>
          <w:kern w:val="0"/>
          <w:sz w:val="24"/>
          <w:szCs w:val="24"/>
        </w:rPr>
      </w:pPr>
    </w:p>
    <w:p>
      <w:pPr>
        <w:widowControl/>
        <w:spacing w:afterLines="100"/>
        <w:rPr>
          <w:rFonts w:ascii="Times New Roman" w:hAnsi="Times New Roman" w:eastAsiaTheme="majorEastAsia"/>
          <w:kern w:val="0"/>
          <w:sz w:val="24"/>
          <w:szCs w:val="24"/>
        </w:rPr>
      </w:pPr>
      <w:r>
        <w:rPr>
          <w:rFonts w:ascii="Times New Roman" w:hAnsi="Times New Roman" w:eastAsiaTheme="majorEastAsia"/>
          <w:kern w:val="0"/>
          <w:sz w:val="24"/>
          <w:szCs w:val="24"/>
        </w:rPr>
        <w:t>甲方：浙江海正博锐生物制药有限公司</w:t>
      </w:r>
    </w:p>
    <w:p>
      <w:pPr>
        <w:widowControl/>
        <w:spacing w:afterLines="100"/>
        <w:rPr>
          <w:rFonts w:ascii="Times New Roman" w:hAnsi="Times New Roman" w:eastAsiaTheme="majorEastAsia"/>
          <w:kern w:val="0"/>
          <w:sz w:val="24"/>
          <w:szCs w:val="24"/>
        </w:rPr>
      </w:pPr>
      <w:r>
        <w:rPr>
          <w:rFonts w:ascii="Times New Roman" w:hAnsi="Times New Roman" w:eastAsiaTheme="majorEastAsia"/>
          <w:kern w:val="0"/>
          <w:sz w:val="24"/>
          <w:szCs w:val="24"/>
        </w:rPr>
        <w:t>主体资格证号：91331002MA2DTHGU4M</w:t>
      </w:r>
    </w:p>
    <w:p>
      <w:pPr>
        <w:widowControl/>
        <w:spacing w:afterLines="100"/>
        <w:jc w:val="left"/>
        <w:rPr>
          <w:rFonts w:ascii="Times New Roman" w:hAnsi="Times New Roman" w:eastAsiaTheme="majorEastAsia"/>
          <w:kern w:val="0"/>
          <w:sz w:val="24"/>
          <w:szCs w:val="24"/>
        </w:rPr>
      </w:pPr>
      <w:r>
        <w:rPr>
          <w:rFonts w:ascii="Times New Roman" w:hAnsi="Times New Roman" w:eastAsiaTheme="majorEastAsia"/>
          <w:kern w:val="0"/>
          <w:sz w:val="24"/>
          <w:szCs w:val="24"/>
        </w:rPr>
        <w:t>注册地址/住所：浙江省台州市椒江区疏港大道1号</w:t>
      </w:r>
    </w:p>
    <w:p>
      <w:pPr>
        <w:widowControl/>
        <w:spacing w:afterLines="100"/>
        <w:jc w:val="left"/>
        <w:rPr>
          <w:rFonts w:ascii="Times New Roman" w:hAnsi="Times New Roman" w:eastAsiaTheme="majorEastAsia"/>
          <w:kern w:val="0"/>
          <w:sz w:val="24"/>
          <w:szCs w:val="24"/>
        </w:rPr>
      </w:pPr>
      <w:r>
        <w:rPr>
          <w:rFonts w:ascii="Times New Roman" w:hAnsi="Times New Roman" w:eastAsiaTheme="majorEastAsia"/>
          <w:kern w:val="0"/>
          <w:sz w:val="24"/>
          <w:szCs w:val="24"/>
        </w:rPr>
        <w:t>经济性质：其他有限责任公司</w:t>
      </w:r>
    </w:p>
    <w:p>
      <w:pPr>
        <w:widowControl/>
        <w:spacing w:afterLines="100"/>
        <w:jc w:val="left"/>
        <w:rPr>
          <w:rFonts w:ascii="Times New Roman" w:hAnsi="Times New Roman" w:eastAsiaTheme="majorEastAsia"/>
          <w:kern w:val="0"/>
          <w:sz w:val="24"/>
          <w:szCs w:val="24"/>
        </w:rPr>
      </w:pPr>
      <w:r>
        <w:rPr>
          <w:rFonts w:ascii="Times New Roman" w:hAnsi="Times New Roman" w:eastAsiaTheme="majorEastAsia"/>
          <w:kern w:val="0"/>
          <w:sz w:val="24"/>
          <w:szCs w:val="24"/>
        </w:rPr>
        <w:t>法定代表人：</w:t>
      </w:r>
      <w:r>
        <w:rPr>
          <w:rFonts w:ascii="Times New Roman" w:hAnsi="Times New Roman" w:eastAsiaTheme="majorEastAsia"/>
          <w:sz w:val="24"/>
          <w:szCs w:val="24"/>
        </w:rPr>
        <w:t>蒋国平</w:t>
      </w:r>
    </w:p>
    <w:p>
      <w:pPr>
        <w:spacing w:afterLines="100"/>
        <w:rPr>
          <w:rFonts w:ascii="Times New Roman" w:hAnsi="Times New Roman" w:eastAsiaTheme="majorEastAsia"/>
          <w:sz w:val="24"/>
          <w:szCs w:val="24"/>
        </w:rPr>
      </w:pPr>
    </w:p>
    <w:p>
      <w:pPr>
        <w:widowControl/>
        <w:spacing w:afterLines="100"/>
        <w:rPr>
          <w:rFonts w:ascii="Times New Roman" w:hAnsi="Times New Roman" w:eastAsiaTheme="majorEastAsia"/>
          <w:kern w:val="0"/>
          <w:sz w:val="24"/>
          <w:szCs w:val="24"/>
        </w:rPr>
      </w:pPr>
      <w:r>
        <w:rPr>
          <w:rFonts w:ascii="Times New Roman" w:hAnsi="Times New Roman" w:eastAsiaTheme="majorEastAsia"/>
          <w:kern w:val="0"/>
          <w:sz w:val="24"/>
          <w:szCs w:val="24"/>
        </w:rPr>
        <w:t>乙方：</w:t>
      </w:r>
    </w:p>
    <w:p>
      <w:pPr>
        <w:widowControl/>
        <w:spacing w:afterLines="100"/>
        <w:rPr>
          <w:rFonts w:ascii="Times New Roman" w:hAnsi="Times New Roman" w:eastAsiaTheme="majorEastAsia"/>
          <w:kern w:val="0"/>
          <w:sz w:val="24"/>
          <w:szCs w:val="24"/>
        </w:rPr>
      </w:pPr>
      <w:r>
        <w:rPr>
          <w:rFonts w:ascii="Times New Roman" w:hAnsi="Times New Roman" w:eastAsiaTheme="majorEastAsia"/>
          <w:kern w:val="0"/>
          <w:sz w:val="24"/>
          <w:szCs w:val="24"/>
        </w:rPr>
        <w:t>主体资格证号：</w:t>
      </w:r>
    </w:p>
    <w:p>
      <w:pPr>
        <w:widowControl/>
        <w:spacing w:afterLines="100"/>
        <w:rPr>
          <w:rFonts w:ascii="Times New Roman" w:hAnsi="Times New Roman" w:eastAsiaTheme="majorEastAsia"/>
          <w:kern w:val="0"/>
          <w:sz w:val="24"/>
          <w:szCs w:val="24"/>
        </w:rPr>
      </w:pPr>
      <w:r>
        <w:rPr>
          <w:rFonts w:ascii="Times New Roman" w:hAnsi="Times New Roman" w:eastAsiaTheme="majorEastAsia"/>
          <w:kern w:val="0"/>
          <w:sz w:val="24"/>
          <w:szCs w:val="24"/>
        </w:rPr>
        <w:t>注册地址/住所：</w:t>
      </w:r>
    </w:p>
    <w:p>
      <w:pPr>
        <w:widowControl/>
        <w:spacing w:afterLines="100"/>
        <w:rPr>
          <w:rFonts w:ascii="Times New Roman" w:hAnsi="Times New Roman" w:eastAsiaTheme="majorEastAsia"/>
          <w:kern w:val="0"/>
          <w:sz w:val="24"/>
          <w:szCs w:val="24"/>
        </w:rPr>
      </w:pPr>
      <w:r>
        <w:rPr>
          <w:rFonts w:ascii="Times New Roman" w:hAnsi="Times New Roman" w:eastAsiaTheme="majorEastAsia"/>
          <w:kern w:val="0"/>
          <w:sz w:val="24"/>
          <w:szCs w:val="24"/>
        </w:rPr>
        <w:t>经济性质：</w:t>
      </w:r>
    </w:p>
    <w:p>
      <w:pPr>
        <w:widowControl/>
        <w:spacing w:afterLines="100"/>
        <w:rPr>
          <w:rFonts w:ascii="Times New Roman" w:hAnsi="Times New Roman" w:eastAsiaTheme="majorEastAsia"/>
          <w:kern w:val="0"/>
          <w:sz w:val="24"/>
          <w:szCs w:val="24"/>
        </w:rPr>
      </w:pPr>
      <w:r>
        <w:rPr>
          <w:rFonts w:ascii="Times New Roman" w:hAnsi="Times New Roman" w:eastAsiaTheme="majorEastAsia"/>
          <w:kern w:val="0"/>
          <w:sz w:val="24"/>
          <w:szCs w:val="24"/>
        </w:rPr>
        <w:t>法定代表人：</w:t>
      </w:r>
    </w:p>
    <w:p>
      <w:pPr>
        <w:widowControl/>
        <w:spacing w:afterLines="100"/>
        <w:rPr>
          <w:rFonts w:ascii="Times New Roman" w:hAnsi="Times New Roman" w:eastAsiaTheme="majorEastAsia"/>
          <w:kern w:val="0"/>
          <w:sz w:val="24"/>
          <w:szCs w:val="24"/>
        </w:rPr>
      </w:pPr>
    </w:p>
    <w:p>
      <w:pPr>
        <w:widowControl/>
        <w:spacing w:afterLines="100"/>
        <w:jc w:val="left"/>
        <w:rPr>
          <w:rFonts w:ascii="Times New Roman" w:hAnsi="Times New Roman" w:eastAsiaTheme="majorEastAsia"/>
          <w:b/>
          <w:kern w:val="0"/>
          <w:sz w:val="24"/>
          <w:szCs w:val="24"/>
        </w:rPr>
      </w:pPr>
      <w:r>
        <w:rPr>
          <w:rFonts w:ascii="Times New Roman" w:hAnsi="Times New Roman" w:eastAsiaTheme="majorEastAsia"/>
          <w:b/>
          <w:kern w:val="0"/>
          <w:sz w:val="24"/>
          <w:szCs w:val="24"/>
        </w:rPr>
        <w:br w:type="page"/>
      </w:r>
      <w:r>
        <w:rPr>
          <w:rFonts w:ascii="Times New Roman" w:hAnsi="Times New Roman" w:eastAsiaTheme="majorEastAsia"/>
          <w:b/>
          <w:kern w:val="0"/>
          <w:sz w:val="24"/>
          <w:szCs w:val="24"/>
        </w:rPr>
        <w:t>鉴于：</w:t>
      </w:r>
    </w:p>
    <w:p>
      <w:pPr>
        <w:spacing w:afterLines="100"/>
        <w:ind w:firstLine="480" w:firstLineChars="200"/>
        <w:rPr>
          <w:rFonts w:ascii="Times New Roman" w:hAnsi="Times New Roman" w:eastAsiaTheme="majorEastAsia"/>
          <w:kern w:val="0"/>
          <w:sz w:val="24"/>
          <w:szCs w:val="24"/>
        </w:rPr>
      </w:pPr>
      <w:r>
        <w:rPr>
          <w:rFonts w:ascii="Times New Roman" w:hAnsi="Times New Roman" w:eastAsiaTheme="majorEastAsia"/>
          <w:kern w:val="0"/>
          <w:sz w:val="24"/>
          <w:szCs w:val="24"/>
        </w:rPr>
        <w:t>（一）甲方是依法设立、合法存续的有限责任公司；</w:t>
      </w:r>
    </w:p>
    <w:p>
      <w:pPr>
        <w:spacing w:afterLines="100"/>
        <w:ind w:firstLine="480" w:firstLineChars="200"/>
        <w:rPr>
          <w:rFonts w:ascii="Times New Roman" w:hAnsi="Times New Roman" w:eastAsiaTheme="majorEastAsia"/>
          <w:kern w:val="0"/>
          <w:sz w:val="24"/>
          <w:szCs w:val="24"/>
        </w:rPr>
      </w:pPr>
      <w:r>
        <w:rPr>
          <w:rFonts w:ascii="Times New Roman" w:hAnsi="Times New Roman" w:eastAsiaTheme="majorEastAsia"/>
          <w:kern w:val="0"/>
          <w:sz w:val="24"/>
          <w:szCs w:val="24"/>
        </w:rPr>
        <w:t>（二）乙方是</w:t>
      </w:r>
      <w:r>
        <w:rPr>
          <w:rFonts w:ascii="Times New Roman" w:hAnsi="Times New Roman" w:eastAsiaTheme="majorEastAsia"/>
          <w:kern w:val="0"/>
          <w:sz w:val="24"/>
          <w:szCs w:val="24"/>
          <w:u w:val="single"/>
        </w:rPr>
        <w:t xml:space="preserve">                          </w:t>
      </w:r>
      <w:r>
        <w:rPr>
          <w:rFonts w:ascii="Times New Roman" w:hAnsi="Times New Roman" w:eastAsiaTheme="majorEastAsia"/>
          <w:kern w:val="0"/>
          <w:sz w:val="24"/>
          <w:szCs w:val="24"/>
        </w:rPr>
        <w:t>（下称“乙方”或“投资方”）；</w:t>
      </w:r>
    </w:p>
    <w:p>
      <w:pPr>
        <w:spacing w:afterLines="100"/>
        <w:ind w:firstLine="480" w:firstLineChars="200"/>
        <w:rPr>
          <w:rFonts w:ascii="Times New Roman" w:hAnsi="Times New Roman" w:eastAsiaTheme="majorEastAsia"/>
          <w:kern w:val="0"/>
          <w:sz w:val="24"/>
          <w:szCs w:val="24"/>
        </w:rPr>
      </w:pPr>
      <w:r>
        <w:rPr>
          <w:rFonts w:ascii="Times New Roman" w:hAnsi="Times New Roman" w:eastAsiaTheme="majorEastAsia"/>
          <w:kern w:val="0"/>
          <w:sz w:val="24"/>
          <w:szCs w:val="24"/>
        </w:rPr>
        <w:t>（三）甲方通过台州市产权交易所有限公司，以公开征集投资方（即新增加股东）的方式认购人民币</w:t>
      </w:r>
      <w:r>
        <w:rPr>
          <w:rFonts w:ascii="Times New Roman" w:hAnsi="Times New Roman" w:eastAsiaTheme="majorEastAsia"/>
          <w:sz w:val="24"/>
          <w:szCs w:val="24"/>
        </w:rPr>
        <w:t>89,285,714</w:t>
      </w:r>
      <w:r>
        <w:rPr>
          <w:rFonts w:ascii="Times New Roman" w:hAnsi="Times New Roman" w:eastAsiaTheme="majorEastAsia"/>
          <w:kern w:val="0"/>
          <w:sz w:val="24"/>
          <w:szCs w:val="24"/>
        </w:rPr>
        <w:t>元注册资本，投资方以台州市产权交易所有限公司公布的报名条件和增资规则对上述标的进行增资(“本次增资”)；</w:t>
      </w:r>
    </w:p>
    <w:p>
      <w:pPr>
        <w:spacing w:afterLines="100"/>
        <w:ind w:firstLine="480" w:firstLineChars="200"/>
        <w:rPr>
          <w:rFonts w:ascii="Times New Roman" w:hAnsi="Times New Roman" w:eastAsiaTheme="majorEastAsia"/>
          <w:kern w:val="0"/>
          <w:sz w:val="24"/>
          <w:szCs w:val="24"/>
        </w:rPr>
      </w:pPr>
      <w:r>
        <w:rPr>
          <w:rFonts w:ascii="Times New Roman" w:hAnsi="Times New Roman" w:eastAsiaTheme="majorEastAsia"/>
          <w:kern w:val="0"/>
          <w:sz w:val="24"/>
          <w:szCs w:val="24"/>
        </w:rPr>
        <w:t>（四）乙方自愿参与甲方本次增资，且已通过台州市产权交易所有限公司的增资程序拟投资人民币</w:t>
      </w:r>
      <w:r>
        <w:rPr>
          <w:rFonts w:ascii="Times New Roman" w:hAnsi="Times New Roman" w:eastAsiaTheme="majorEastAsia"/>
          <w:kern w:val="0"/>
          <w:sz w:val="24"/>
          <w:szCs w:val="24"/>
          <w:u w:val="single"/>
        </w:rPr>
        <w:t xml:space="preserve">          </w:t>
      </w:r>
      <w:r>
        <w:rPr>
          <w:rFonts w:ascii="Times New Roman" w:hAnsi="Times New Roman" w:eastAsiaTheme="majorEastAsia"/>
          <w:kern w:val="0"/>
          <w:sz w:val="24"/>
          <w:szCs w:val="24"/>
        </w:rPr>
        <w:t>元，本次增资</w:t>
      </w:r>
      <w:r>
        <w:rPr>
          <w:rFonts w:ascii="Times New Roman" w:hAnsi="Times New Roman" w:eastAsiaTheme="majorEastAsia"/>
          <w:sz w:val="24"/>
          <w:szCs w:val="24"/>
        </w:rPr>
        <w:t>占浙江海正博锐生物制药有限公司</w:t>
      </w:r>
      <w:r>
        <w:rPr>
          <w:rFonts w:hint="eastAsia" w:ascii="Times New Roman" w:hAnsi="Times New Roman" w:eastAsiaTheme="majorEastAsia"/>
          <w:sz w:val="24"/>
          <w:szCs w:val="24"/>
        </w:rPr>
        <w:t>投资后</w:t>
      </w:r>
      <w:r>
        <w:rPr>
          <w:rFonts w:ascii="Times New Roman" w:hAnsi="Times New Roman" w:eastAsiaTheme="majorEastAsia"/>
          <w:sz w:val="24"/>
          <w:szCs w:val="24"/>
        </w:rPr>
        <w:t>股权比例为15.1515%</w:t>
      </w:r>
      <w:r>
        <w:rPr>
          <w:rFonts w:ascii="Times New Roman" w:hAnsi="Times New Roman" w:eastAsiaTheme="majorEastAsia"/>
          <w:kern w:val="0"/>
          <w:sz w:val="24"/>
          <w:szCs w:val="24"/>
        </w:rPr>
        <w:t>；</w:t>
      </w:r>
    </w:p>
    <w:p>
      <w:pPr>
        <w:spacing w:afterLines="100"/>
        <w:ind w:firstLine="480" w:firstLineChars="200"/>
        <w:rPr>
          <w:rFonts w:ascii="Times New Roman" w:hAnsi="Times New Roman" w:eastAsiaTheme="majorEastAsia"/>
          <w:kern w:val="0"/>
          <w:sz w:val="24"/>
          <w:szCs w:val="24"/>
        </w:rPr>
      </w:pPr>
      <w:r>
        <w:rPr>
          <w:rFonts w:ascii="Times New Roman" w:hAnsi="Times New Roman" w:eastAsiaTheme="majorEastAsia"/>
          <w:kern w:val="0"/>
          <w:sz w:val="24"/>
          <w:szCs w:val="24"/>
        </w:rPr>
        <w:t>基于友好协商、平等合作的基础，根据《中华人民共和国公司法》、《中华人民共和国合同法》及其他有关法律、法规，就甲方本次增资事宜，达成如下协议，以资共同遵守。</w:t>
      </w:r>
    </w:p>
    <w:p>
      <w:pPr>
        <w:spacing w:afterLines="100"/>
        <w:ind w:firstLine="482" w:firstLineChars="200"/>
        <w:rPr>
          <w:rFonts w:ascii="Times New Roman" w:hAnsi="Times New Roman" w:eastAsiaTheme="majorEastAsia"/>
          <w:kern w:val="0"/>
          <w:sz w:val="24"/>
          <w:szCs w:val="24"/>
        </w:rPr>
      </w:pPr>
      <w:r>
        <w:rPr>
          <w:rFonts w:ascii="Times New Roman" w:hAnsi="Times New Roman" w:eastAsiaTheme="majorEastAsia"/>
          <w:b/>
          <w:kern w:val="0"/>
          <w:sz w:val="24"/>
          <w:szCs w:val="24"/>
        </w:rPr>
        <w:t xml:space="preserve">第一条 </w:t>
      </w:r>
      <w:r>
        <w:rPr>
          <w:rFonts w:hint="eastAsia" w:ascii="Times New Roman" w:hAnsi="Times New Roman" w:eastAsiaTheme="majorEastAsia"/>
          <w:kern w:val="0"/>
          <w:sz w:val="24"/>
          <w:szCs w:val="24"/>
        </w:rPr>
        <w:t>甲方</w:t>
      </w:r>
      <w:r>
        <w:rPr>
          <w:rFonts w:ascii="Times New Roman" w:hAnsi="Times New Roman" w:eastAsiaTheme="majorEastAsia"/>
          <w:kern w:val="0"/>
          <w:sz w:val="24"/>
          <w:szCs w:val="24"/>
        </w:rPr>
        <w:t>的名称、法定代表人、注册地址</w:t>
      </w:r>
    </w:p>
    <w:p>
      <w:pPr>
        <w:spacing w:afterLines="100"/>
        <w:ind w:firstLine="480" w:firstLineChars="200"/>
        <w:rPr>
          <w:rFonts w:ascii="Times New Roman" w:hAnsi="Times New Roman" w:eastAsiaTheme="majorEastAsia"/>
          <w:kern w:val="0"/>
          <w:sz w:val="24"/>
          <w:szCs w:val="24"/>
        </w:rPr>
      </w:pPr>
      <w:r>
        <w:rPr>
          <w:rFonts w:hint="eastAsia" w:ascii="Times New Roman" w:hAnsi="Times New Roman" w:eastAsiaTheme="majorEastAsia"/>
          <w:kern w:val="0"/>
          <w:sz w:val="24"/>
          <w:szCs w:val="24"/>
        </w:rPr>
        <w:t>甲方</w:t>
      </w:r>
      <w:r>
        <w:rPr>
          <w:rFonts w:ascii="Times New Roman" w:hAnsi="Times New Roman" w:eastAsiaTheme="majorEastAsia"/>
          <w:kern w:val="0"/>
          <w:sz w:val="24"/>
          <w:szCs w:val="24"/>
        </w:rPr>
        <w:t>中文名称：浙江海正博锐生物制药有限公司</w:t>
      </w:r>
    </w:p>
    <w:p>
      <w:pPr>
        <w:spacing w:afterLines="100"/>
        <w:ind w:firstLine="480" w:firstLineChars="200"/>
        <w:rPr>
          <w:rFonts w:ascii="Times New Roman" w:hAnsi="Times New Roman" w:eastAsiaTheme="majorEastAsia"/>
          <w:kern w:val="0"/>
          <w:sz w:val="24"/>
          <w:szCs w:val="24"/>
        </w:rPr>
      </w:pPr>
      <w:r>
        <w:rPr>
          <w:rFonts w:ascii="Times New Roman" w:hAnsi="Times New Roman" w:eastAsiaTheme="majorEastAsia"/>
          <w:kern w:val="0"/>
          <w:sz w:val="24"/>
          <w:szCs w:val="24"/>
        </w:rPr>
        <w:t>法定代表人：</w:t>
      </w:r>
      <w:r>
        <w:rPr>
          <w:rFonts w:ascii="Times New Roman" w:hAnsi="Times New Roman" w:eastAsiaTheme="majorEastAsia"/>
          <w:sz w:val="24"/>
          <w:szCs w:val="24"/>
        </w:rPr>
        <w:t>蒋国平</w:t>
      </w:r>
    </w:p>
    <w:p>
      <w:pPr>
        <w:spacing w:afterLines="100"/>
        <w:ind w:firstLine="480" w:firstLineChars="200"/>
        <w:rPr>
          <w:rFonts w:ascii="Times New Roman" w:hAnsi="Times New Roman" w:eastAsiaTheme="majorEastAsia"/>
          <w:sz w:val="24"/>
          <w:szCs w:val="24"/>
        </w:rPr>
      </w:pPr>
      <w:r>
        <w:rPr>
          <w:rFonts w:ascii="Times New Roman" w:hAnsi="Times New Roman" w:eastAsiaTheme="majorEastAsia"/>
          <w:kern w:val="0"/>
          <w:sz w:val="24"/>
          <w:szCs w:val="24"/>
        </w:rPr>
        <w:t>注册地址：浙江省台州市椒江区疏港大道1号</w:t>
      </w:r>
    </w:p>
    <w:p>
      <w:pPr>
        <w:spacing w:afterLines="100"/>
        <w:ind w:firstLine="482" w:firstLineChars="200"/>
        <w:rPr>
          <w:rFonts w:ascii="Times New Roman" w:hAnsi="Times New Roman" w:eastAsiaTheme="majorEastAsia"/>
          <w:kern w:val="0"/>
          <w:sz w:val="24"/>
          <w:szCs w:val="24"/>
        </w:rPr>
      </w:pPr>
      <w:r>
        <w:rPr>
          <w:rFonts w:ascii="Times New Roman" w:hAnsi="Times New Roman" w:eastAsiaTheme="majorEastAsia"/>
          <w:b/>
          <w:kern w:val="0"/>
          <w:sz w:val="24"/>
          <w:szCs w:val="24"/>
        </w:rPr>
        <w:t xml:space="preserve">第二条 </w:t>
      </w:r>
      <w:r>
        <w:rPr>
          <w:rFonts w:hint="eastAsia" w:ascii="Times New Roman" w:hAnsi="Times New Roman" w:eastAsiaTheme="majorEastAsia"/>
          <w:kern w:val="0"/>
          <w:sz w:val="24"/>
          <w:szCs w:val="24"/>
        </w:rPr>
        <w:t>甲方</w:t>
      </w:r>
      <w:r>
        <w:rPr>
          <w:rFonts w:ascii="Times New Roman" w:hAnsi="Times New Roman" w:eastAsiaTheme="majorEastAsia"/>
          <w:kern w:val="0"/>
          <w:sz w:val="24"/>
          <w:szCs w:val="24"/>
        </w:rPr>
        <w:t>本次增资前的注册资本</w:t>
      </w:r>
    </w:p>
    <w:p>
      <w:pPr>
        <w:spacing w:afterLines="100"/>
        <w:ind w:firstLine="480" w:firstLineChars="200"/>
        <w:rPr>
          <w:rFonts w:ascii="Times New Roman" w:hAnsi="Times New Roman" w:eastAsiaTheme="majorEastAsia"/>
          <w:kern w:val="0"/>
          <w:sz w:val="24"/>
          <w:szCs w:val="24"/>
        </w:rPr>
      </w:pPr>
      <w:r>
        <w:rPr>
          <w:rFonts w:ascii="Times New Roman" w:hAnsi="Times New Roman" w:eastAsiaTheme="majorEastAsia"/>
          <w:kern w:val="0"/>
          <w:sz w:val="24"/>
          <w:szCs w:val="24"/>
        </w:rPr>
        <w:t>注册资本为：（人民币）50,000万元</w:t>
      </w:r>
    </w:p>
    <w:p>
      <w:pPr>
        <w:spacing w:afterLines="100"/>
        <w:ind w:firstLine="482" w:firstLineChars="200"/>
        <w:rPr>
          <w:rFonts w:ascii="Times New Roman" w:hAnsi="Times New Roman" w:eastAsiaTheme="majorEastAsia"/>
          <w:kern w:val="0"/>
          <w:sz w:val="24"/>
          <w:szCs w:val="24"/>
        </w:rPr>
      </w:pPr>
      <w:r>
        <w:rPr>
          <w:rFonts w:ascii="Times New Roman" w:hAnsi="Times New Roman" w:eastAsiaTheme="majorEastAsia"/>
          <w:b/>
          <w:kern w:val="0"/>
          <w:sz w:val="24"/>
          <w:szCs w:val="24"/>
        </w:rPr>
        <w:t xml:space="preserve">第三条 </w:t>
      </w:r>
      <w:r>
        <w:rPr>
          <w:rFonts w:hint="eastAsia" w:ascii="Times New Roman" w:hAnsi="Times New Roman" w:eastAsiaTheme="majorEastAsia"/>
          <w:kern w:val="0"/>
          <w:sz w:val="24"/>
          <w:szCs w:val="24"/>
        </w:rPr>
        <w:t>甲方</w:t>
      </w:r>
      <w:r>
        <w:rPr>
          <w:rFonts w:ascii="Times New Roman" w:hAnsi="Times New Roman" w:eastAsiaTheme="majorEastAsia"/>
          <w:kern w:val="0"/>
          <w:sz w:val="24"/>
          <w:szCs w:val="24"/>
        </w:rPr>
        <w:t>增资前的股东结构</w:t>
      </w:r>
    </w:p>
    <w:tbl>
      <w:tblPr>
        <w:tblStyle w:val="18"/>
        <w:tblW w:w="793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3210"/>
        <w:gridCol w:w="2234"/>
        <w:gridCol w:w="16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3" w:hRule="atLeast"/>
          <w:jc w:val="center"/>
        </w:trPr>
        <w:tc>
          <w:tcPr>
            <w:tcW w:w="800" w:type="dxa"/>
            <w:shd w:val="clear" w:color="auto" w:fill="D8D8D8" w:themeFill="background1" w:themeFillShade="D9"/>
            <w:vAlign w:val="center"/>
          </w:tcPr>
          <w:p>
            <w:pPr>
              <w:rPr>
                <w:rFonts w:ascii="Times New Roman" w:hAnsi="Times New Roman" w:eastAsiaTheme="majorEastAsia"/>
                <w:sz w:val="24"/>
                <w:szCs w:val="24"/>
              </w:rPr>
            </w:pPr>
            <w:r>
              <w:rPr>
                <w:rFonts w:ascii="Times New Roman" w:hAnsi="Times New Roman" w:eastAsiaTheme="majorEastAsia"/>
                <w:sz w:val="24"/>
                <w:szCs w:val="24"/>
              </w:rPr>
              <w:t>序号</w:t>
            </w:r>
          </w:p>
        </w:tc>
        <w:tc>
          <w:tcPr>
            <w:tcW w:w="3210" w:type="dxa"/>
            <w:shd w:val="clear" w:color="auto" w:fill="D8D8D8" w:themeFill="background1" w:themeFillShade="D9"/>
            <w:vAlign w:val="center"/>
          </w:tcPr>
          <w:p>
            <w:pPr>
              <w:jc w:val="center"/>
              <w:rPr>
                <w:rFonts w:ascii="Times New Roman" w:hAnsi="Times New Roman" w:eastAsiaTheme="majorEastAsia"/>
                <w:sz w:val="24"/>
                <w:szCs w:val="24"/>
              </w:rPr>
            </w:pPr>
            <w:r>
              <w:rPr>
                <w:rFonts w:ascii="Times New Roman" w:hAnsi="Times New Roman" w:eastAsiaTheme="majorEastAsia"/>
                <w:sz w:val="24"/>
                <w:szCs w:val="24"/>
              </w:rPr>
              <w:t>股东名称</w:t>
            </w:r>
          </w:p>
        </w:tc>
        <w:tc>
          <w:tcPr>
            <w:tcW w:w="2234" w:type="dxa"/>
            <w:shd w:val="clear" w:color="auto" w:fill="D8D8D8" w:themeFill="background1" w:themeFillShade="D9"/>
            <w:vAlign w:val="center"/>
          </w:tcPr>
          <w:p>
            <w:pPr>
              <w:jc w:val="center"/>
              <w:rPr>
                <w:rFonts w:ascii="Times New Roman" w:hAnsi="Times New Roman" w:eastAsiaTheme="majorEastAsia"/>
                <w:sz w:val="24"/>
                <w:szCs w:val="24"/>
              </w:rPr>
            </w:pPr>
            <w:r>
              <w:rPr>
                <w:rFonts w:ascii="Times New Roman" w:hAnsi="Times New Roman" w:eastAsiaTheme="majorEastAsia"/>
                <w:sz w:val="24"/>
                <w:szCs w:val="24"/>
              </w:rPr>
              <w:t>认缴出资（万元）</w:t>
            </w:r>
          </w:p>
        </w:tc>
        <w:tc>
          <w:tcPr>
            <w:tcW w:w="1689" w:type="dxa"/>
            <w:shd w:val="clear" w:color="auto" w:fill="D8D8D8" w:themeFill="background1" w:themeFillShade="D9"/>
            <w:vAlign w:val="center"/>
          </w:tcPr>
          <w:p>
            <w:pPr>
              <w:jc w:val="center"/>
              <w:rPr>
                <w:rFonts w:ascii="Times New Roman" w:hAnsi="Times New Roman" w:eastAsiaTheme="majorEastAsia"/>
                <w:sz w:val="24"/>
                <w:szCs w:val="24"/>
              </w:rPr>
            </w:pPr>
            <w:r>
              <w:rPr>
                <w:rFonts w:ascii="Times New Roman" w:hAnsi="Times New Roman" w:eastAsiaTheme="majorEastAsia"/>
                <w:sz w:val="24"/>
                <w:szCs w:val="24"/>
              </w:rPr>
              <w:t>持股比例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800" w:type="dxa"/>
            <w:vAlign w:val="center"/>
          </w:tcPr>
          <w:p>
            <w:pPr>
              <w:jc w:val="center"/>
              <w:rPr>
                <w:rFonts w:ascii="Times New Roman" w:hAnsi="Times New Roman" w:eastAsiaTheme="majorEastAsia"/>
                <w:sz w:val="24"/>
                <w:szCs w:val="24"/>
              </w:rPr>
            </w:pPr>
            <w:r>
              <w:rPr>
                <w:rFonts w:ascii="Times New Roman" w:hAnsi="Times New Roman" w:eastAsiaTheme="majorEastAsia"/>
                <w:sz w:val="24"/>
                <w:szCs w:val="24"/>
              </w:rPr>
              <w:t>1</w:t>
            </w:r>
          </w:p>
        </w:tc>
        <w:tc>
          <w:tcPr>
            <w:tcW w:w="3210" w:type="dxa"/>
            <w:vAlign w:val="center"/>
          </w:tcPr>
          <w:p>
            <w:pPr>
              <w:jc w:val="left"/>
              <w:rPr>
                <w:rFonts w:ascii="Times New Roman" w:hAnsi="Times New Roman" w:eastAsiaTheme="majorEastAsia"/>
                <w:sz w:val="24"/>
                <w:szCs w:val="24"/>
              </w:rPr>
            </w:pPr>
            <w:r>
              <w:rPr>
                <w:rFonts w:ascii="Times New Roman" w:hAnsi="Times New Roman" w:eastAsiaTheme="majorEastAsia"/>
                <w:sz w:val="24"/>
                <w:szCs w:val="24"/>
              </w:rPr>
              <w:t>浙江海正药业股份有限公司</w:t>
            </w:r>
          </w:p>
        </w:tc>
        <w:tc>
          <w:tcPr>
            <w:tcW w:w="2234" w:type="dxa"/>
            <w:vAlign w:val="center"/>
          </w:tcPr>
          <w:p>
            <w:pPr>
              <w:jc w:val="center"/>
              <w:rPr>
                <w:rFonts w:ascii="Times New Roman" w:hAnsi="Times New Roman" w:eastAsiaTheme="majorEastAsia"/>
                <w:sz w:val="24"/>
                <w:szCs w:val="24"/>
              </w:rPr>
            </w:pPr>
            <w:r>
              <w:rPr>
                <w:rFonts w:ascii="Times New Roman" w:hAnsi="Times New Roman" w:eastAsiaTheme="majorEastAsia"/>
                <w:sz w:val="24"/>
                <w:szCs w:val="24"/>
              </w:rPr>
              <w:t>29,829.50</w:t>
            </w:r>
          </w:p>
        </w:tc>
        <w:tc>
          <w:tcPr>
            <w:tcW w:w="1689" w:type="dxa"/>
            <w:vAlign w:val="center"/>
          </w:tcPr>
          <w:p>
            <w:pPr>
              <w:jc w:val="center"/>
              <w:rPr>
                <w:rFonts w:ascii="Times New Roman" w:hAnsi="Times New Roman" w:eastAsiaTheme="majorEastAsia"/>
                <w:sz w:val="24"/>
                <w:szCs w:val="24"/>
              </w:rPr>
            </w:pPr>
            <w:r>
              <w:rPr>
                <w:rFonts w:ascii="Times New Roman" w:hAnsi="Times New Roman" w:eastAsiaTheme="majorEastAsia"/>
                <w:sz w:val="24"/>
                <w:szCs w:val="24"/>
              </w:rPr>
              <w:t>59.6590%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jc w:val="center"/>
        </w:trPr>
        <w:tc>
          <w:tcPr>
            <w:tcW w:w="800" w:type="dxa"/>
            <w:vAlign w:val="center"/>
          </w:tcPr>
          <w:p>
            <w:pPr>
              <w:jc w:val="center"/>
              <w:rPr>
                <w:rFonts w:ascii="Times New Roman" w:hAnsi="Times New Roman" w:eastAsiaTheme="majorEastAsia"/>
                <w:sz w:val="24"/>
                <w:szCs w:val="24"/>
              </w:rPr>
            </w:pPr>
            <w:r>
              <w:rPr>
                <w:rFonts w:ascii="Times New Roman" w:hAnsi="Times New Roman" w:eastAsiaTheme="majorEastAsia"/>
                <w:sz w:val="24"/>
                <w:szCs w:val="24"/>
              </w:rPr>
              <w:t>2</w:t>
            </w:r>
          </w:p>
        </w:tc>
        <w:tc>
          <w:tcPr>
            <w:tcW w:w="3210" w:type="dxa"/>
            <w:vAlign w:val="center"/>
          </w:tcPr>
          <w:p>
            <w:pPr>
              <w:jc w:val="left"/>
              <w:rPr>
                <w:rFonts w:ascii="Times New Roman" w:hAnsi="Times New Roman" w:eastAsiaTheme="majorEastAsia"/>
                <w:sz w:val="24"/>
                <w:szCs w:val="24"/>
              </w:rPr>
            </w:pPr>
            <w:r>
              <w:rPr>
                <w:rFonts w:ascii="Times New Roman" w:hAnsi="Times New Roman" w:eastAsiaTheme="majorEastAsia"/>
                <w:sz w:val="24"/>
                <w:szCs w:val="24"/>
              </w:rPr>
              <w:t>海正药业（杭州）有限公司</w:t>
            </w:r>
          </w:p>
        </w:tc>
        <w:tc>
          <w:tcPr>
            <w:tcW w:w="2234" w:type="dxa"/>
            <w:vAlign w:val="center"/>
          </w:tcPr>
          <w:p>
            <w:pPr>
              <w:jc w:val="center"/>
              <w:rPr>
                <w:rFonts w:ascii="Times New Roman" w:hAnsi="Times New Roman" w:eastAsiaTheme="majorEastAsia"/>
                <w:sz w:val="24"/>
                <w:szCs w:val="24"/>
              </w:rPr>
            </w:pPr>
            <w:r>
              <w:rPr>
                <w:rFonts w:ascii="Times New Roman" w:hAnsi="Times New Roman" w:eastAsiaTheme="majorEastAsia"/>
                <w:sz w:val="24"/>
                <w:szCs w:val="24"/>
              </w:rPr>
              <w:t>20,170.50</w:t>
            </w:r>
          </w:p>
        </w:tc>
        <w:tc>
          <w:tcPr>
            <w:tcW w:w="1689" w:type="dxa"/>
            <w:vAlign w:val="center"/>
          </w:tcPr>
          <w:p>
            <w:pPr>
              <w:jc w:val="center"/>
              <w:rPr>
                <w:rFonts w:ascii="Times New Roman" w:hAnsi="Times New Roman" w:eastAsiaTheme="majorEastAsia"/>
                <w:sz w:val="24"/>
                <w:szCs w:val="24"/>
              </w:rPr>
            </w:pPr>
            <w:r>
              <w:rPr>
                <w:rFonts w:ascii="Times New Roman" w:hAnsi="Times New Roman" w:eastAsiaTheme="majorEastAsia"/>
                <w:sz w:val="24"/>
                <w:szCs w:val="24"/>
              </w:rPr>
              <w:t>40.3410%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8" w:hRule="atLeast"/>
          <w:jc w:val="center"/>
        </w:trPr>
        <w:tc>
          <w:tcPr>
            <w:tcW w:w="4010" w:type="dxa"/>
            <w:gridSpan w:val="2"/>
            <w:vAlign w:val="center"/>
          </w:tcPr>
          <w:p>
            <w:pPr>
              <w:ind w:firstLine="480"/>
              <w:jc w:val="center"/>
              <w:rPr>
                <w:rFonts w:ascii="Times New Roman" w:hAnsi="Times New Roman" w:eastAsiaTheme="majorEastAsia"/>
                <w:sz w:val="24"/>
                <w:szCs w:val="24"/>
              </w:rPr>
            </w:pPr>
            <w:r>
              <w:rPr>
                <w:rFonts w:ascii="Times New Roman" w:hAnsi="Times New Roman" w:eastAsiaTheme="majorEastAsia"/>
                <w:sz w:val="24"/>
                <w:szCs w:val="24"/>
              </w:rPr>
              <w:t>合计</w:t>
            </w:r>
          </w:p>
        </w:tc>
        <w:tc>
          <w:tcPr>
            <w:tcW w:w="2234" w:type="dxa"/>
            <w:vAlign w:val="center"/>
          </w:tcPr>
          <w:p>
            <w:pPr>
              <w:jc w:val="center"/>
              <w:rPr>
                <w:rFonts w:ascii="Times New Roman" w:hAnsi="Times New Roman" w:eastAsiaTheme="majorEastAsia"/>
                <w:sz w:val="24"/>
                <w:szCs w:val="24"/>
              </w:rPr>
            </w:pPr>
            <w:r>
              <w:rPr>
                <w:rFonts w:ascii="Times New Roman" w:hAnsi="Times New Roman" w:eastAsiaTheme="majorEastAsia"/>
                <w:sz w:val="24"/>
                <w:szCs w:val="24"/>
              </w:rPr>
              <w:t>50,000.00</w:t>
            </w:r>
          </w:p>
        </w:tc>
        <w:tc>
          <w:tcPr>
            <w:tcW w:w="1689" w:type="dxa"/>
          </w:tcPr>
          <w:p>
            <w:pPr>
              <w:jc w:val="center"/>
              <w:rPr>
                <w:rFonts w:ascii="Times New Roman" w:hAnsi="Times New Roman" w:eastAsiaTheme="majorEastAsia"/>
                <w:sz w:val="24"/>
                <w:szCs w:val="24"/>
              </w:rPr>
            </w:pPr>
            <w:r>
              <w:rPr>
                <w:rFonts w:ascii="Times New Roman" w:hAnsi="Times New Roman" w:eastAsiaTheme="majorEastAsia"/>
                <w:sz w:val="24"/>
                <w:szCs w:val="24"/>
              </w:rPr>
              <w:t>100.00%</w:t>
            </w:r>
          </w:p>
        </w:tc>
      </w:tr>
    </w:tbl>
    <w:p>
      <w:pPr>
        <w:spacing w:beforeLines="100" w:afterLines="100"/>
        <w:ind w:firstLine="482" w:firstLineChars="200"/>
        <w:rPr>
          <w:rFonts w:ascii="Times New Roman" w:hAnsi="Times New Roman" w:eastAsiaTheme="majorEastAsia"/>
          <w:kern w:val="0"/>
          <w:sz w:val="24"/>
          <w:szCs w:val="24"/>
        </w:rPr>
      </w:pPr>
      <w:r>
        <w:rPr>
          <w:rFonts w:ascii="Times New Roman" w:hAnsi="Times New Roman" w:eastAsiaTheme="majorEastAsia"/>
          <w:b/>
          <w:kern w:val="0"/>
          <w:sz w:val="24"/>
          <w:szCs w:val="24"/>
        </w:rPr>
        <w:t xml:space="preserve">第四条 </w:t>
      </w:r>
      <w:r>
        <w:rPr>
          <w:rFonts w:ascii="Times New Roman" w:hAnsi="Times New Roman" w:eastAsiaTheme="majorEastAsia"/>
          <w:kern w:val="0"/>
          <w:sz w:val="24"/>
          <w:szCs w:val="24"/>
        </w:rPr>
        <w:t>增资方案</w:t>
      </w:r>
    </w:p>
    <w:p>
      <w:pPr>
        <w:spacing w:afterLines="100"/>
        <w:ind w:firstLine="480" w:firstLineChars="200"/>
        <w:rPr>
          <w:rFonts w:ascii="Times New Roman" w:hAnsi="Times New Roman" w:eastAsiaTheme="majorEastAsia"/>
          <w:kern w:val="0"/>
          <w:sz w:val="24"/>
          <w:szCs w:val="24"/>
        </w:rPr>
      </w:pPr>
      <w:r>
        <w:rPr>
          <w:rFonts w:ascii="Times New Roman" w:hAnsi="Times New Roman" w:eastAsiaTheme="majorEastAsia"/>
          <w:kern w:val="0"/>
          <w:sz w:val="24"/>
          <w:szCs w:val="24"/>
        </w:rPr>
        <w:t>乙方以现金方式投资人民币</w:t>
      </w:r>
      <w:r>
        <w:rPr>
          <w:rFonts w:ascii="Times New Roman" w:hAnsi="Times New Roman" w:eastAsiaTheme="majorEastAsia"/>
          <w:kern w:val="0"/>
          <w:sz w:val="24"/>
          <w:szCs w:val="24"/>
          <w:u w:val="single"/>
        </w:rPr>
        <w:t xml:space="preserve">             </w:t>
      </w:r>
      <w:r>
        <w:rPr>
          <w:rFonts w:ascii="Times New Roman" w:hAnsi="Times New Roman" w:eastAsiaTheme="majorEastAsia"/>
          <w:kern w:val="0"/>
          <w:sz w:val="24"/>
          <w:szCs w:val="24"/>
        </w:rPr>
        <w:t>元</w:t>
      </w:r>
      <w:r>
        <w:rPr>
          <w:rFonts w:ascii="Times New Roman" w:hAnsi="Times New Roman" w:eastAsiaTheme="majorEastAsia"/>
          <w:sz w:val="24"/>
          <w:szCs w:val="24"/>
        </w:rPr>
        <w:t>（下称“投资款”</w:t>
      </w:r>
      <w:r>
        <w:rPr>
          <w:rFonts w:hint="eastAsia" w:ascii="Times New Roman" w:hAnsi="Times New Roman" w:eastAsiaTheme="majorEastAsia"/>
          <w:sz w:val="24"/>
          <w:szCs w:val="24"/>
        </w:rPr>
        <w:t>或“增资款”</w:t>
      </w:r>
      <w:r>
        <w:rPr>
          <w:rFonts w:ascii="Times New Roman" w:hAnsi="Times New Roman" w:eastAsiaTheme="majorEastAsia"/>
          <w:sz w:val="24"/>
          <w:szCs w:val="24"/>
        </w:rPr>
        <w:t>）</w:t>
      </w:r>
      <w:r>
        <w:rPr>
          <w:rFonts w:ascii="Times New Roman" w:hAnsi="Times New Roman" w:eastAsiaTheme="majorEastAsia"/>
          <w:kern w:val="0"/>
          <w:sz w:val="24"/>
          <w:szCs w:val="24"/>
        </w:rPr>
        <w:t>，其中人民币8,928.5714万元作为注册资本，其余计入资本公积金。</w:t>
      </w:r>
    </w:p>
    <w:p>
      <w:pPr>
        <w:spacing w:afterLines="100"/>
        <w:ind w:firstLine="480" w:firstLineChars="200"/>
        <w:rPr>
          <w:rFonts w:ascii="Times New Roman" w:hAnsi="Times New Roman" w:eastAsiaTheme="majorEastAsia"/>
          <w:kern w:val="0"/>
          <w:sz w:val="24"/>
          <w:szCs w:val="24"/>
        </w:rPr>
      </w:pPr>
      <w:r>
        <w:rPr>
          <w:rFonts w:ascii="Times New Roman" w:hAnsi="Times New Roman" w:eastAsiaTheme="majorEastAsia"/>
          <w:kern w:val="0"/>
          <w:sz w:val="24"/>
          <w:szCs w:val="24"/>
        </w:rPr>
        <w:t>本次增资及于本次增资挂牌日同时</w:t>
      </w:r>
      <w:r>
        <w:rPr>
          <w:rFonts w:ascii="Times New Roman" w:hAnsi="Times New Roman" w:eastAsiaTheme="majorEastAsia"/>
          <w:sz w:val="24"/>
          <w:szCs w:val="24"/>
        </w:rPr>
        <w:t>挂牌的浙江海正药业股份有限公司及海正药业（杭州）有限公司分别转让其持有的</w:t>
      </w:r>
      <w:r>
        <w:rPr>
          <w:rFonts w:hint="eastAsia" w:ascii="Times New Roman" w:hAnsi="Times New Roman" w:eastAsiaTheme="majorEastAsia"/>
          <w:sz w:val="24"/>
          <w:szCs w:val="24"/>
        </w:rPr>
        <w:t>甲方部分</w:t>
      </w:r>
      <w:r>
        <w:rPr>
          <w:rFonts w:ascii="Times New Roman" w:hAnsi="Times New Roman" w:eastAsiaTheme="majorEastAsia"/>
          <w:sz w:val="24"/>
          <w:szCs w:val="24"/>
        </w:rPr>
        <w:t>股权的两个股权转让项目（合称</w:t>
      </w:r>
      <w:r>
        <w:rPr>
          <w:rFonts w:ascii="Times New Roman" w:hAnsi="Times New Roman" w:eastAsiaTheme="majorEastAsia"/>
          <w:kern w:val="0"/>
          <w:sz w:val="24"/>
          <w:szCs w:val="24"/>
        </w:rPr>
        <w:t>“本次股权转让”）应同步完成并同时交割。</w:t>
      </w:r>
    </w:p>
    <w:p>
      <w:pPr>
        <w:spacing w:afterLines="100"/>
        <w:ind w:firstLine="482" w:firstLineChars="200"/>
        <w:rPr>
          <w:rFonts w:ascii="Times New Roman" w:hAnsi="Times New Roman" w:eastAsiaTheme="majorEastAsia"/>
          <w:kern w:val="0"/>
          <w:sz w:val="24"/>
          <w:szCs w:val="24"/>
        </w:rPr>
      </w:pPr>
      <w:r>
        <w:rPr>
          <w:rFonts w:ascii="Times New Roman" w:hAnsi="Times New Roman" w:eastAsiaTheme="majorEastAsia"/>
          <w:b/>
          <w:kern w:val="0"/>
          <w:sz w:val="24"/>
          <w:szCs w:val="24"/>
        </w:rPr>
        <w:t xml:space="preserve">第五条 </w:t>
      </w:r>
      <w:r>
        <w:rPr>
          <w:rFonts w:hint="eastAsia" w:ascii="Times New Roman" w:hAnsi="Times New Roman" w:eastAsiaTheme="majorEastAsia"/>
          <w:kern w:val="0"/>
          <w:sz w:val="24"/>
          <w:szCs w:val="24"/>
        </w:rPr>
        <w:t>甲方</w:t>
      </w:r>
      <w:r>
        <w:rPr>
          <w:rFonts w:ascii="Times New Roman" w:hAnsi="Times New Roman" w:eastAsiaTheme="majorEastAsia"/>
          <w:kern w:val="0"/>
          <w:sz w:val="24"/>
          <w:szCs w:val="24"/>
        </w:rPr>
        <w:t>在本次增资及本次股权转让完成后的注册资本及股东结构</w:t>
      </w:r>
      <w:r>
        <w:rPr>
          <w:rFonts w:hint="eastAsia" w:ascii="Times New Roman" w:hAnsi="Times New Roman" w:eastAsiaTheme="majorEastAsia"/>
          <w:kern w:val="0"/>
          <w:sz w:val="24"/>
          <w:szCs w:val="24"/>
        </w:rPr>
        <w:t>如下</w:t>
      </w:r>
      <w:r>
        <w:rPr>
          <w:rFonts w:ascii="Times New Roman" w:hAnsi="Times New Roman" w:eastAsiaTheme="majorEastAsia"/>
          <w:kern w:val="0"/>
          <w:sz w:val="24"/>
          <w:szCs w:val="24"/>
        </w:rPr>
        <w:t>：</w:t>
      </w:r>
    </w:p>
    <w:p>
      <w:pPr>
        <w:spacing w:afterLines="100"/>
        <w:ind w:firstLine="480" w:firstLineChars="200"/>
        <w:jc w:val="left"/>
        <w:rPr>
          <w:rFonts w:ascii="Times New Roman" w:hAnsi="Times New Roman" w:eastAsiaTheme="majorEastAsia"/>
          <w:kern w:val="0"/>
          <w:sz w:val="24"/>
          <w:szCs w:val="24"/>
        </w:rPr>
      </w:pPr>
      <w:r>
        <w:rPr>
          <w:rFonts w:ascii="Times New Roman" w:hAnsi="Times New Roman" w:eastAsiaTheme="majorEastAsia"/>
          <w:kern w:val="0"/>
          <w:sz w:val="24"/>
          <w:szCs w:val="24"/>
        </w:rPr>
        <w:t>注册资本为：人民币58,928.5714万元。</w:t>
      </w:r>
    </w:p>
    <w:p>
      <w:pPr>
        <w:spacing w:afterLines="100"/>
        <w:ind w:firstLine="480"/>
        <w:jc w:val="right"/>
        <w:rPr>
          <w:rFonts w:ascii="Times New Roman" w:hAnsi="Times New Roman" w:eastAsiaTheme="majorEastAsia"/>
          <w:sz w:val="24"/>
          <w:szCs w:val="24"/>
        </w:rPr>
      </w:pPr>
      <w:r>
        <w:rPr>
          <w:rFonts w:ascii="Times New Roman" w:hAnsi="Times New Roman" w:eastAsiaTheme="majorEastAsia"/>
          <w:sz w:val="24"/>
          <w:szCs w:val="24"/>
        </w:rPr>
        <w:t>单位：人民币万元</w:t>
      </w:r>
    </w:p>
    <w:tbl>
      <w:tblPr>
        <w:tblStyle w:val="18"/>
        <w:tblW w:w="822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8"/>
        <w:gridCol w:w="3118"/>
        <w:gridCol w:w="2268"/>
        <w:gridCol w:w="18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jc w:val="center"/>
        </w:trPr>
        <w:tc>
          <w:tcPr>
            <w:tcW w:w="988" w:type="dxa"/>
            <w:shd w:val="clear" w:color="auto" w:fill="D9D9D9"/>
            <w:vAlign w:val="center"/>
          </w:tcPr>
          <w:p>
            <w:pPr>
              <w:widowControl/>
              <w:jc w:val="center"/>
              <w:rPr>
                <w:rFonts w:ascii="Times New Roman" w:hAnsi="Times New Roman" w:eastAsiaTheme="majorEastAsia"/>
                <w:bCs/>
                <w:kern w:val="0"/>
                <w:sz w:val="24"/>
                <w:szCs w:val="24"/>
              </w:rPr>
            </w:pPr>
            <w:r>
              <w:rPr>
                <w:rFonts w:ascii="Times New Roman" w:hAnsi="Times New Roman" w:eastAsiaTheme="majorEastAsia"/>
                <w:bCs/>
                <w:kern w:val="0"/>
                <w:sz w:val="24"/>
                <w:szCs w:val="24"/>
              </w:rPr>
              <w:t>序号</w:t>
            </w:r>
          </w:p>
        </w:tc>
        <w:tc>
          <w:tcPr>
            <w:tcW w:w="3118" w:type="dxa"/>
            <w:shd w:val="clear" w:color="auto" w:fill="D9D9D9"/>
            <w:vAlign w:val="center"/>
          </w:tcPr>
          <w:p>
            <w:pPr>
              <w:widowControl/>
              <w:rPr>
                <w:rFonts w:ascii="Times New Roman" w:hAnsi="Times New Roman" w:eastAsiaTheme="majorEastAsia"/>
                <w:bCs/>
                <w:kern w:val="0"/>
                <w:sz w:val="24"/>
                <w:szCs w:val="24"/>
              </w:rPr>
            </w:pPr>
            <w:r>
              <w:rPr>
                <w:rFonts w:ascii="Times New Roman" w:hAnsi="Times New Roman" w:eastAsiaTheme="majorEastAsia"/>
                <w:bCs/>
                <w:kern w:val="0"/>
                <w:sz w:val="24"/>
                <w:szCs w:val="24"/>
              </w:rPr>
              <w:t>股东名称或姓名</w:t>
            </w:r>
          </w:p>
        </w:tc>
        <w:tc>
          <w:tcPr>
            <w:tcW w:w="2268" w:type="dxa"/>
            <w:shd w:val="clear" w:color="auto" w:fill="D9D9D9"/>
            <w:vAlign w:val="center"/>
          </w:tcPr>
          <w:p>
            <w:pPr>
              <w:widowControl/>
              <w:jc w:val="center"/>
              <w:rPr>
                <w:rFonts w:ascii="Times New Roman" w:hAnsi="Times New Roman" w:eastAsiaTheme="majorEastAsia"/>
                <w:bCs/>
                <w:kern w:val="0"/>
                <w:sz w:val="24"/>
                <w:szCs w:val="24"/>
              </w:rPr>
            </w:pPr>
            <w:r>
              <w:rPr>
                <w:rFonts w:ascii="Times New Roman" w:hAnsi="Times New Roman" w:eastAsiaTheme="majorEastAsia"/>
                <w:bCs/>
                <w:kern w:val="0"/>
                <w:sz w:val="24"/>
                <w:szCs w:val="24"/>
              </w:rPr>
              <w:t>持有注册资本</w:t>
            </w:r>
          </w:p>
        </w:tc>
        <w:tc>
          <w:tcPr>
            <w:tcW w:w="1847" w:type="dxa"/>
            <w:shd w:val="clear" w:color="auto" w:fill="D9D9D9"/>
            <w:vAlign w:val="center"/>
          </w:tcPr>
          <w:p>
            <w:pPr>
              <w:widowControl/>
              <w:jc w:val="center"/>
              <w:rPr>
                <w:rFonts w:ascii="Times New Roman" w:hAnsi="Times New Roman" w:eastAsiaTheme="majorEastAsia"/>
                <w:bCs/>
                <w:kern w:val="0"/>
                <w:sz w:val="24"/>
                <w:szCs w:val="24"/>
              </w:rPr>
            </w:pPr>
            <w:r>
              <w:rPr>
                <w:rFonts w:ascii="Times New Roman" w:hAnsi="Times New Roman" w:eastAsiaTheme="majorEastAsia"/>
                <w:bCs/>
                <w:kern w:val="0"/>
                <w:sz w:val="24"/>
                <w:szCs w:val="24"/>
              </w:rPr>
              <w:t>持股比例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jc w:val="center"/>
        </w:trPr>
        <w:tc>
          <w:tcPr>
            <w:tcW w:w="988" w:type="dxa"/>
            <w:vAlign w:val="center"/>
          </w:tcPr>
          <w:p>
            <w:pPr>
              <w:widowControl/>
              <w:jc w:val="center"/>
              <w:rPr>
                <w:rFonts w:ascii="Times New Roman" w:hAnsi="Times New Roman" w:eastAsiaTheme="majorEastAsia"/>
                <w:bCs/>
                <w:kern w:val="0"/>
                <w:sz w:val="24"/>
                <w:szCs w:val="24"/>
              </w:rPr>
            </w:pPr>
            <w:r>
              <w:rPr>
                <w:rFonts w:ascii="Times New Roman" w:hAnsi="Times New Roman" w:eastAsiaTheme="majorEastAsia"/>
                <w:bCs/>
                <w:kern w:val="0"/>
                <w:sz w:val="24"/>
                <w:szCs w:val="24"/>
              </w:rPr>
              <w:t>1</w:t>
            </w:r>
          </w:p>
        </w:tc>
        <w:tc>
          <w:tcPr>
            <w:tcW w:w="3118" w:type="dxa"/>
            <w:vAlign w:val="center"/>
          </w:tcPr>
          <w:p>
            <w:pPr>
              <w:rPr>
                <w:rFonts w:ascii="Times New Roman" w:hAnsi="Times New Roman" w:eastAsiaTheme="majorEastAsia"/>
                <w:sz w:val="24"/>
                <w:szCs w:val="24"/>
              </w:rPr>
            </w:pPr>
            <w:r>
              <w:rPr>
                <w:rFonts w:ascii="Times New Roman" w:hAnsi="Times New Roman" w:eastAsiaTheme="majorEastAsia"/>
                <w:sz w:val="24"/>
                <w:szCs w:val="24"/>
              </w:rPr>
              <w:t>浙江海正药业股份有限公司</w:t>
            </w:r>
          </w:p>
        </w:tc>
        <w:tc>
          <w:tcPr>
            <w:tcW w:w="2268" w:type="dxa"/>
            <w:vAlign w:val="center"/>
          </w:tcPr>
          <w:p>
            <w:pPr>
              <w:widowControl/>
              <w:jc w:val="right"/>
              <w:rPr>
                <w:rFonts w:ascii="Times New Roman" w:hAnsi="Times New Roman" w:eastAsiaTheme="majorEastAsia"/>
                <w:kern w:val="0"/>
                <w:sz w:val="24"/>
                <w:szCs w:val="24"/>
              </w:rPr>
            </w:pPr>
            <w:r>
              <w:rPr>
                <w:rFonts w:ascii="Times New Roman" w:hAnsi="Times New Roman" w:eastAsiaTheme="majorEastAsia"/>
                <w:kern w:val="0"/>
                <w:sz w:val="24"/>
                <w:szCs w:val="24"/>
              </w:rPr>
              <w:t>24,750.0000</w:t>
            </w:r>
          </w:p>
        </w:tc>
        <w:tc>
          <w:tcPr>
            <w:tcW w:w="1847" w:type="dxa"/>
            <w:vAlign w:val="center"/>
          </w:tcPr>
          <w:p>
            <w:pPr>
              <w:widowControl/>
              <w:jc w:val="right"/>
              <w:rPr>
                <w:rFonts w:ascii="Times New Roman" w:hAnsi="Times New Roman" w:eastAsiaTheme="majorEastAsia"/>
                <w:kern w:val="0"/>
                <w:sz w:val="24"/>
                <w:szCs w:val="24"/>
              </w:rPr>
            </w:pPr>
            <w:r>
              <w:rPr>
                <w:rFonts w:ascii="Times New Roman" w:hAnsi="Times New Roman" w:eastAsiaTheme="majorEastAsia"/>
                <w:kern w:val="0"/>
                <w:sz w:val="24"/>
                <w:szCs w:val="24"/>
              </w:rPr>
              <w:t>42.00%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jc w:val="center"/>
        </w:trPr>
        <w:tc>
          <w:tcPr>
            <w:tcW w:w="988" w:type="dxa"/>
            <w:vAlign w:val="center"/>
          </w:tcPr>
          <w:p>
            <w:pPr>
              <w:widowControl/>
              <w:jc w:val="center"/>
              <w:rPr>
                <w:rFonts w:ascii="Times New Roman" w:hAnsi="Times New Roman" w:eastAsiaTheme="majorEastAsia"/>
                <w:bCs/>
                <w:kern w:val="0"/>
                <w:sz w:val="24"/>
                <w:szCs w:val="24"/>
              </w:rPr>
            </w:pPr>
            <w:r>
              <w:rPr>
                <w:rFonts w:ascii="Times New Roman" w:hAnsi="Times New Roman" w:eastAsiaTheme="majorEastAsia"/>
                <w:bCs/>
                <w:kern w:val="0"/>
                <w:sz w:val="24"/>
                <w:szCs w:val="24"/>
              </w:rPr>
              <w:t>2</w:t>
            </w:r>
          </w:p>
        </w:tc>
        <w:tc>
          <w:tcPr>
            <w:tcW w:w="3118" w:type="dxa"/>
            <w:vAlign w:val="center"/>
          </w:tcPr>
          <w:p>
            <w:pPr>
              <w:rPr>
                <w:rFonts w:ascii="Times New Roman" w:hAnsi="Times New Roman" w:eastAsiaTheme="majorEastAsia"/>
                <w:sz w:val="24"/>
                <w:szCs w:val="24"/>
              </w:rPr>
            </w:pPr>
            <w:r>
              <w:rPr>
                <w:rFonts w:ascii="Times New Roman" w:hAnsi="Times New Roman" w:eastAsiaTheme="majorEastAsia"/>
                <w:sz w:val="24"/>
                <w:szCs w:val="24"/>
              </w:rPr>
              <w:t>乙方</w:t>
            </w:r>
          </w:p>
        </w:tc>
        <w:tc>
          <w:tcPr>
            <w:tcW w:w="2268" w:type="dxa"/>
            <w:vAlign w:val="center"/>
          </w:tcPr>
          <w:p>
            <w:pPr>
              <w:widowControl/>
              <w:jc w:val="right"/>
              <w:rPr>
                <w:rFonts w:ascii="Times New Roman" w:hAnsi="Times New Roman" w:eastAsiaTheme="majorEastAsia"/>
                <w:kern w:val="0"/>
                <w:sz w:val="24"/>
                <w:szCs w:val="24"/>
              </w:rPr>
            </w:pPr>
            <w:r>
              <w:rPr>
                <w:rFonts w:ascii="Times New Roman" w:hAnsi="Times New Roman" w:eastAsiaTheme="majorEastAsia"/>
                <w:kern w:val="0"/>
                <w:sz w:val="24"/>
                <w:szCs w:val="24"/>
              </w:rPr>
              <w:t>34,178.5714</w:t>
            </w:r>
          </w:p>
        </w:tc>
        <w:tc>
          <w:tcPr>
            <w:tcW w:w="1847" w:type="dxa"/>
            <w:vAlign w:val="center"/>
          </w:tcPr>
          <w:p>
            <w:pPr>
              <w:widowControl/>
              <w:jc w:val="right"/>
              <w:rPr>
                <w:rFonts w:ascii="Times New Roman" w:hAnsi="Times New Roman" w:eastAsiaTheme="majorEastAsia"/>
                <w:kern w:val="0"/>
                <w:sz w:val="24"/>
                <w:szCs w:val="24"/>
              </w:rPr>
            </w:pPr>
            <w:r>
              <w:rPr>
                <w:rFonts w:ascii="Times New Roman" w:hAnsi="Times New Roman" w:eastAsiaTheme="majorEastAsia"/>
                <w:kern w:val="0"/>
                <w:sz w:val="24"/>
                <w:szCs w:val="24"/>
              </w:rPr>
              <w:t>58.00%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jc w:val="center"/>
        </w:trPr>
        <w:tc>
          <w:tcPr>
            <w:tcW w:w="6374" w:type="dxa"/>
            <w:gridSpan w:val="3"/>
            <w:vAlign w:val="center"/>
          </w:tcPr>
          <w:p>
            <w:pPr>
              <w:widowControl/>
              <w:jc w:val="right"/>
              <w:rPr>
                <w:rFonts w:ascii="Times New Roman" w:hAnsi="Times New Roman" w:eastAsiaTheme="majorEastAsia"/>
                <w:kern w:val="0"/>
                <w:sz w:val="24"/>
                <w:szCs w:val="24"/>
              </w:rPr>
            </w:pPr>
            <w:r>
              <w:rPr>
                <w:rFonts w:ascii="Times New Roman" w:hAnsi="Times New Roman" w:eastAsiaTheme="majorEastAsia"/>
                <w:kern w:val="0"/>
                <w:sz w:val="24"/>
                <w:szCs w:val="24"/>
              </w:rPr>
              <w:t>58,928.5714</w:t>
            </w:r>
          </w:p>
        </w:tc>
        <w:tc>
          <w:tcPr>
            <w:tcW w:w="1847" w:type="dxa"/>
            <w:vAlign w:val="center"/>
          </w:tcPr>
          <w:p>
            <w:pPr>
              <w:widowControl/>
              <w:jc w:val="right"/>
              <w:rPr>
                <w:rFonts w:ascii="Times New Roman" w:hAnsi="Times New Roman" w:eastAsiaTheme="majorEastAsia"/>
                <w:kern w:val="0"/>
                <w:sz w:val="24"/>
                <w:szCs w:val="24"/>
              </w:rPr>
            </w:pPr>
            <w:r>
              <w:rPr>
                <w:rFonts w:ascii="Times New Roman" w:hAnsi="Times New Roman" w:eastAsiaTheme="majorEastAsia"/>
                <w:kern w:val="0"/>
                <w:sz w:val="24"/>
                <w:szCs w:val="24"/>
              </w:rPr>
              <w:t>100%</w:t>
            </w:r>
          </w:p>
        </w:tc>
      </w:tr>
    </w:tbl>
    <w:p>
      <w:pPr>
        <w:spacing w:beforeLines="100" w:afterLines="100"/>
        <w:ind w:firstLine="482" w:firstLineChars="200"/>
        <w:rPr>
          <w:rFonts w:ascii="Times New Roman" w:hAnsi="Times New Roman" w:eastAsiaTheme="majorEastAsia"/>
          <w:kern w:val="0"/>
          <w:sz w:val="24"/>
          <w:szCs w:val="24"/>
        </w:rPr>
      </w:pPr>
      <w:r>
        <w:rPr>
          <w:rFonts w:ascii="Times New Roman" w:hAnsi="Times New Roman" w:eastAsiaTheme="majorEastAsia"/>
          <w:b/>
          <w:kern w:val="0"/>
          <w:sz w:val="24"/>
          <w:szCs w:val="24"/>
        </w:rPr>
        <w:t xml:space="preserve">第六条 </w:t>
      </w:r>
      <w:r>
        <w:rPr>
          <w:rFonts w:ascii="Times New Roman" w:hAnsi="Times New Roman" w:eastAsiaTheme="majorEastAsia"/>
          <w:kern w:val="0"/>
          <w:sz w:val="24"/>
          <w:szCs w:val="24"/>
        </w:rPr>
        <w:t>投资款的支付</w:t>
      </w:r>
    </w:p>
    <w:p>
      <w:pPr>
        <w:spacing w:afterLines="100"/>
        <w:ind w:firstLine="480"/>
        <w:rPr>
          <w:rFonts w:ascii="Times New Roman" w:hAnsi="Times New Roman" w:eastAsiaTheme="majorEastAsia"/>
          <w:sz w:val="24"/>
          <w:szCs w:val="24"/>
        </w:rPr>
      </w:pPr>
      <w:r>
        <w:rPr>
          <w:rFonts w:hint="eastAsia" w:ascii="Times New Roman" w:hAnsi="Times New Roman" w:eastAsiaTheme="majorEastAsia"/>
          <w:sz w:val="24"/>
          <w:szCs w:val="24"/>
        </w:rPr>
        <w:t>1、</w:t>
      </w:r>
      <w:r>
        <w:rPr>
          <w:rFonts w:ascii="Times New Roman" w:hAnsi="Times New Roman" w:eastAsiaTheme="majorEastAsia"/>
          <w:sz w:val="24"/>
          <w:szCs w:val="24"/>
        </w:rPr>
        <w:t>本协议签订</w:t>
      </w:r>
      <w:r>
        <w:rPr>
          <w:rFonts w:hint="eastAsia" w:ascii="Times New Roman" w:hAnsi="Times New Roman" w:eastAsiaTheme="majorEastAsia"/>
          <w:sz w:val="24"/>
          <w:szCs w:val="24"/>
        </w:rPr>
        <w:t>之日</w:t>
      </w:r>
      <w:r>
        <w:rPr>
          <w:rFonts w:hint="eastAsia" w:ascii="宋体" w:hAnsi="宋体"/>
          <w:sz w:val="24"/>
          <w:szCs w:val="24"/>
        </w:rPr>
        <w:t>(如需</w:t>
      </w:r>
      <w:r>
        <w:rPr>
          <w:rFonts w:ascii="宋体" w:hAnsi="宋体"/>
          <w:sz w:val="24"/>
          <w:szCs w:val="24"/>
        </w:rPr>
        <w:t>相关政府主管部门</w:t>
      </w:r>
      <w:r>
        <w:rPr>
          <w:rFonts w:hint="eastAsia" w:ascii="宋体" w:hAnsi="宋体"/>
          <w:sz w:val="24"/>
          <w:szCs w:val="24"/>
        </w:rPr>
        <w:t>批准</w:t>
      </w:r>
      <w:r>
        <w:rPr>
          <w:rFonts w:ascii="宋体" w:hAnsi="宋体"/>
          <w:sz w:val="24"/>
          <w:szCs w:val="24"/>
        </w:rPr>
        <w:t>、登记</w:t>
      </w:r>
      <w:r>
        <w:rPr>
          <w:rFonts w:hint="eastAsia" w:ascii="宋体" w:hAnsi="宋体"/>
          <w:sz w:val="24"/>
          <w:szCs w:val="24"/>
        </w:rPr>
        <w:t>及/</w:t>
      </w:r>
      <w:r>
        <w:rPr>
          <w:rFonts w:ascii="宋体" w:hAnsi="宋体"/>
          <w:sz w:val="24"/>
          <w:szCs w:val="24"/>
        </w:rPr>
        <w:t>或备案的，则在政府主管部门</w:t>
      </w:r>
      <w:r>
        <w:rPr>
          <w:rFonts w:hint="eastAsia" w:ascii="宋体" w:hAnsi="宋体"/>
          <w:sz w:val="24"/>
          <w:szCs w:val="24"/>
        </w:rPr>
        <w:t>批准</w:t>
      </w:r>
      <w:r>
        <w:rPr>
          <w:rFonts w:ascii="宋体" w:hAnsi="宋体"/>
          <w:sz w:val="24"/>
          <w:szCs w:val="24"/>
        </w:rPr>
        <w:t>、登记</w:t>
      </w:r>
      <w:r>
        <w:rPr>
          <w:rFonts w:hint="eastAsia" w:ascii="宋体" w:hAnsi="宋体"/>
          <w:sz w:val="24"/>
          <w:szCs w:val="24"/>
        </w:rPr>
        <w:t>及/</w:t>
      </w:r>
      <w:r>
        <w:rPr>
          <w:rFonts w:ascii="宋体" w:hAnsi="宋体"/>
          <w:sz w:val="24"/>
          <w:szCs w:val="24"/>
        </w:rPr>
        <w:t>或备案</w:t>
      </w:r>
      <w:r>
        <w:rPr>
          <w:rFonts w:hint="eastAsia" w:ascii="宋体" w:hAnsi="宋体"/>
          <w:sz w:val="24"/>
          <w:szCs w:val="24"/>
        </w:rPr>
        <w:t>完成之日)起五个</w:t>
      </w:r>
      <w:r>
        <w:rPr>
          <w:rFonts w:ascii="宋体" w:hAnsi="宋体"/>
          <w:sz w:val="24"/>
          <w:szCs w:val="24"/>
        </w:rPr>
        <w:t>工作日</w:t>
      </w:r>
      <w:r>
        <w:rPr>
          <w:rFonts w:hint="eastAsia" w:ascii="宋体" w:hAnsi="宋体"/>
          <w:sz w:val="24"/>
          <w:szCs w:val="24"/>
        </w:rPr>
        <w:t>内，</w:t>
      </w:r>
      <w:r>
        <w:rPr>
          <w:rFonts w:ascii="宋体" w:hAnsi="宋体"/>
          <w:sz w:val="24"/>
          <w:szCs w:val="24"/>
        </w:rPr>
        <w:t>乙方应</w:t>
      </w:r>
      <w:r>
        <w:rPr>
          <w:rFonts w:hint="eastAsia" w:ascii="宋体" w:hAnsi="宋体"/>
          <w:sz w:val="24"/>
        </w:rPr>
        <w:t>向甲方一次性支付全部投资款</w:t>
      </w:r>
      <w:r>
        <w:rPr>
          <w:rFonts w:ascii="Times New Roman" w:hAnsi="Times New Roman" w:eastAsiaTheme="majorEastAsia"/>
          <w:sz w:val="24"/>
          <w:szCs w:val="24"/>
        </w:rPr>
        <w:t>，乙方先期汇入台州市产权交易所</w:t>
      </w:r>
      <w:r>
        <w:rPr>
          <w:rFonts w:hint="eastAsia" w:ascii="Times New Roman" w:hAnsi="Times New Roman" w:eastAsiaTheme="majorEastAsia"/>
          <w:sz w:val="24"/>
          <w:szCs w:val="24"/>
        </w:rPr>
        <w:t>有限</w:t>
      </w:r>
      <w:r>
        <w:rPr>
          <w:rFonts w:ascii="Times New Roman" w:hAnsi="Times New Roman" w:eastAsiaTheme="majorEastAsia"/>
          <w:sz w:val="24"/>
          <w:szCs w:val="24"/>
        </w:rPr>
        <w:t>公司</w:t>
      </w:r>
      <w:r>
        <w:rPr>
          <w:rFonts w:hint="eastAsia" w:ascii="Times New Roman" w:hAnsi="Times New Roman" w:eastAsiaTheme="majorEastAsia"/>
          <w:sz w:val="24"/>
          <w:szCs w:val="24"/>
        </w:rPr>
        <w:t>以下</w:t>
      </w:r>
      <w:r>
        <w:rPr>
          <w:rFonts w:ascii="Times New Roman" w:hAnsi="Times New Roman" w:eastAsiaTheme="majorEastAsia"/>
          <w:sz w:val="24"/>
          <w:szCs w:val="24"/>
        </w:rPr>
        <w:t>指定账户的人民币30,000万元竞买保证金</w:t>
      </w:r>
      <w:r>
        <w:rPr>
          <w:rFonts w:hint="eastAsia" w:ascii="Times New Roman" w:hAnsi="Times New Roman" w:eastAsiaTheme="majorEastAsia"/>
          <w:sz w:val="24"/>
          <w:szCs w:val="24"/>
        </w:rPr>
        <w:t>应</w:t>
      </w:r>
      <w:r>
        <w:rPr>
          <w:rFonts w:ascii="Times New Roman" w:hAnsi="Times New Roman" w:eastAsiaTheme="majorEastAsia"/>
          <w:sz w:val="24"/>
          <w:szCs w:val="24"/>
        </w:rPr>
        <w:t>转作相应金额的</w:t>
      </w:r>
      <w:r>
        <w:rPr>
          <w:rFonts w:hint="eastAsia" w:ascii="Times New Roman" w:hAnsi="Times New Roman" w:eastAsiaTheme="majorEastAsia"/>
          <w:sz w:val="24"/>
          <w:szCs w:val="24"/>
        </w:rPr>
        <w:t>投资款，并</w:t>
      </w:r>
      <w:r>
        <w:rPr>
          <w:rFonts w:ascii="Times New Roman" w:hAnsi="Times New Roman" w:eastAsiaTheme="majorEastAsia"/>
          <w:sz w:val="24"/>
          <w:szCs w:val="24"/>
        </w:rPr>
        <w:t>由台州市产权交易所有限公司</w:t>
      </w:r>
      <w:r>
        <w:rPr>
          <w:rFonts w:hint="eastAsia" w:ascii="Times New Roman" w:hAnsi="Times New Roman" w:eastAsiaTheme="majorEastAsia"/>
          <w:sz w:val="24"/>
          <w:szCs w:val="24"/>
        </w:rPr>
        <w:t>在</w:t>
      </w:r>
      <w:r>
        <w:rPr>
          <w:rFonts w:ascii="Times New Roman" w:hAnsi="Times New Roman" w:eastAsiaTheme="majorEastAsia"/>
          <w:bCs/>
          <w:sz w:val="24"/>
          <w:szCs w:val="24"/>
        </w:rPr>
        <w:t>本次增资及本次股权转让的交割同时完成后</w:t>
      </w:r>
      <w:r>
        <w:rPr>
          <w:rFonts w:hint="eastAsia" w:ascii="Times New Roman" w:hAnsi="Times New Roman" w:eastAsiaTheme="majorEastAsia"/>
          <w:bCs/>
          <w:sz w:val="24"/>
          <w:szCs w:val="24"/>
        </w:rPr>
        <w:t>五</w:t>
      </w:r>
      <w:r>
        <w:rPr>
          <w:rFonts w:ascii="Times New Roman" w:hAnsi="Times New Roman" w:eastAsiaTheme="majorEastAsia"/>
          <w:bCs/>
          <w:sz w:val="24"/>
          <w:szCs w:val="24"/>
        </w:rPr>
        <w:t>个工作日内</w:t>
      </w:r>
      <w:r>
        <w:rPr>
          <w:rFonts w:hint="eastAsia" w:ascii="Times New Roman" w:hAnsi="Times New Roman" w:eastAsiaTheme="majorEastAsia"/>
          <w:sz w:val="24"/>
          <w:szCs w:val="24"/>
        </w:rPr>
        <w:t>支付</w:t>
      </w:r>
      <w:r>
        <w:rPr>
          <w:rFonts w:ascii="Times New Roman" w:hAnsi="Times New Roman" w:eastAsiaTheme="majorEastAsia"/>
          <w:sz w:val="24"/>
          <w:szCs w:val="24"/>
        </w:rPr>
        <w:t>给甲方。</w:t>
      </w:r>
    </w:p>
    <w:p>
      <w:pPr>
        <w:spacing w:afterLines="100"/>
        <w:ind w:firstLine="480"/>
        <w:rPr>
          <w:rFonts w:ascii="Times New Roman" w:hAnsi="Times New Roman" w:eastAsiaTheme="majorEastAsia"/>
          <w:sz w:val="24"/>
          <w:szCs w:val="24"/>
        </w:rPr>
      </w:pPr>
      <w:r>
        <w:rPr>
          <w:rFonts w:hint="eastAsia" w:ascii="Times New Roman" w:hAnsi="Times New Roman" w:eastAsiaTheme="majorEastAsia"/>
          <w:sz w:val="24"/>
          <w:szCs w:val="24"/>
        </w:rPr>
        <w:t>2、竞买</w:t>
      </w:r>
      <w:r>
        <w:rPr>
          <w:rFonts w:ascii="Times New Roman" w:hAnsi="Times New Roman" w:eastAsiaTheme="majorEastAsia"/>
          <w:sz w:val="24"/>
          <w:szCs w:val="24"/>
        </w:rPr>
        <w:t>保证金应汇入</w:t>
      </w:r>
      <w:r>
        <w:rPr>
          <w:rFonts w:ascii="Times New Roman" w:hAnsi="Times New Roman" w:eastAsiaTheme="majorEastAsia"/>
          <w:bCs/>
          <w:sz w:val="24"/>
          <w:szCs w:val="24"/>
        </w:rPr>
        <w:t>台州市产权交易所有限公司</w:t>
      </w:r>
      <w:r>
        <w:rPr>
          <w:rFonts w:hint="eastAsia" w:ascii="Times New Roman" w:hAnsi="Times New Roman" w:eastAsiaTheme="majorEastAsia"/>
          <w:bCs/>
          <w:sz w:val="24"/>
          <w:szCs w:val="24"/>
        </w:rPr>
        <w:t>以下</w:t>
      </w:r>
      <w:r>
        <w:rPr>
          <w:rFonts w:ascii="Times New Roman" w:hAnsi="Times New Roman" w:eastAsiaTheme="majorEastAsia"/>
          <w:bCs/>
          <w:sz w:val="24"/>
          <w:szCs w:val="24"/>
        </w:rPr>
        <w:t>账户</w:t>
      </w:r>
      <w:r>
        <w:rPr>
          <w:rFonts w:ascii="Times New Roman" w:hAnsi="Times New Roman" w:eastAsiaTheme="majorEastAsia"/>
          <w:sz w:val="24"/>
          <w:szCs w:val="24"/>
        </w:rPr>
        <w:t>：</w:t>
      </w:r>
    </w:p>
    <w:p>
      <w:pPr>
        <w:spacing w:afterLines="100"/>
        <w:ind w:firstLine="480"/>
        <w:rPr>
          <w:rFonts w:ascii="Times New Roman" w:hAnsi="Times New Roman" w:eastAsiaTheme="majorEastAsia"/>
          <w:sz w:val="24"/>
          <w:szCs w:val="24"/>
        </w:rPr>
      </w:pPr>
      <w:r>
        <w:rPr>
          <w:rFonts w:ascii="Times New Roman" w:hAnsi="Times New Roman" w:eastAsiaTheme="majorEastAsia"/>
          <w:sz w:val="24"/>
          <w:szCs w:val="24"/>
        </w:rPr>
        <w:t>(1) 投资</w:t>
      </w:r>
      <w:r>
        <w:rPr>
          <w:rFonts w:hint="eastAsia" w:ascii="Times New Roman" w:hAnsi="Times New Roman" w:eastAsiaTheme="majorEastAsia"/>
          <w:sz w:val="24"/>
          <w:szCs w:val="24"/>
        </w:rPr>
        <w:t>方</w:t>
      </w:r>
      <w:r>
        <w:rPr>
          <w:rFonts w:ascii="Times New Roman" w:hAnsi="Times New Roman" w:eastAsiaTheme="majorEastAsia"/>
          <w:sz w:val="24"/>
          <w:szCs w:val="24"/>
        </w:rPr>
        <w:t>为境内主体适用：单位名称：台州市产权交易所有限公司，开户行：浙江民泰商业银行台州椒江支行，帐号：5830162608000</w:t>
      </w:r>
      <w:r>
        <w:rPr>
          <w:rFonts w:hint="eastAsia" w:ascii="Times New Roman" w:hAnsi="Times New Roman" w:eastAsiaTheme="majorEastAsia"/>
          <w:sz w:val="24"/>
          <w:szCs w:val="24"/>
        </w:rPr>
        <w:t>15</w:t>
      </w:r>
      <w:r>
        <w:rPr>
          <w:rFonts w:ascii="Times New Roman" w:hAnsi="Times New Roman" w:eastAsiaTheme="majorEastAsia"/>
          <w:sz w:val="24"/>
          <w:szCs w:val="24"/>
        </w:rPr>
        <w:t>。</w:t>
      </w:r>
    </w:p>
    <w:p>
      <w:pPr>
        <w:spacing w:afterLines="100"/>
        <w:ind w:firstLine="480"/>
        <w:rPr>
          <w:rFonts w:ascii="Times New Roman" w:hAnsi="Times New Roman" w:eastAsiaTheme="majorEastAsia"/>
          <w:sz w:val="24"/>
          <w:szCs w:val="24"/>
        </w:rPr>
      </w:pPr>
      <w:r>
        <w:rPr>
          <w:rFonts w:ascii="Times New Roman" w:hAnsi="Times New Roman" w:eastAsiaTheme="majorEastAsia"/>
          <w:sz w:val="24"/>
          <w:szCs w:val="24"/>
        </w:rPr>
        <w:t>(2) 投资</w:t>
      </w:r>
      <w:r>
        <w:rPr>
          <w:rFonts w:hint="eastAsia" w:ascii="Times New Roman" w:hAnsi="Times New Roman" w:eastAsiaTheme="majorEastAsia"/>
          <w:sz w:val="24"/>
          <w:szCs w:val="24"/>
        </w:rPr>
        <w:t>方</w:t>
      </w:r>
      <w:r>
        <w:rPr>
          <w:rFonts w:ascii="Times New Roman" w:hAnsi="Times New Roman" w:eastAsiaTheme="majorEastAsia"/>
          <w:sz w:val="24"/>
          <w:szCs w:val="24"/>
        </w:rPr>
        <w:t>为境外主体适用：单位名称：台州市产权交易所有限公司，开户行：</w:t>
      </w:r>
      <w:r>
        <w:rPr>
          <w:rFonts w:hint="eastAsia" w:ascii="Times New Roman" w:hAnsi="Times New Roman" w:eastAsiaTheme="majorEastAsia"/>
          <w:sz w:val="24"/>
          <w:szCs w:val="24"/>
        </w:rPr>
        <w:t>中国农业银行台州市经济开发区支行</w:t>
      </w:r>
      <w:r>
        <w:rPr>
          <w:rFonts w:ascii="Times New Roman" w:hAnsi="Times New Roman" w:eastAsiaTheme="majorEastAsia"/>
          <w:sz w:val="24"/>
          <w:szCs w:val="24"/>
        </w:rPr>
        <w:t>，帐号：</w:t>
      </w:r>
      <w:r>
        <w:rPr>
          <w:rFonts w:hint="eastAsia" w:ascii="Times New Roman" w:hAnsi="Times New Roman" w:eastAsiaTheme="majorEastAsia"/>
          <w:sz w:val="24"/>
          <w:szCs w:val="24"/>
        </w:rPr>
        <w:t>19900101040022292</w:t>
      </w:r>
      <w:r>
        <w:rPr>
          <w:rFonts w:ascii="Times New Roman" w:hAnsi="Times New Roman" w:eastAsiaTheme="majorEastAsia"/>
          <w:sz w:val="24"/>
          <w:szCs w:val="24"/>
        </w:rPr>
        <w:t>。</w:t>
      </w:r>
    </w:p>
    <w:p>
      <w:pPr>
        <w:spacing w:afterLines="100"/>
        <w:ind w:firstLine="424" w:firstLineChars="176"/>
        <w:rPr>
          <w:rFonts w:ascii="Times New Roman" w:hAnsi="Times New Roman" w:eastAsiaTheme="majorEastAsia"/>
          <w:kern w:val="0"/>
          <w:sz w:val="24"/>
          <w:szCs w:val="24"/>
        </w:rPr>
      </w:pPr>
      <w:r>
        <w:rPr>
          <w:rFonts w:ascii="Times New Roman" w:hAnsi="Times New Roman" w:eastAsiaTheme="majorEastAsia"/>
          <w:b/>
          <w:kern w:val="0"/>
          <w:sz w:val="24"/>
          <w:szCs w:val="24"/>
        </w:rPr>
        <w:t xml:space="preserve">第七条 </w:t>
      </w:r>
      <w:r>
        <w:rPr>
          <w:rFonts w:ascii="Times New Roman" w:hAnsi="Times New Roman" w:eastAsiaTheme="majorEastAsia"/>
          <w:kern w:val="0"/>
          <w:sz w:val="24"/>
          <w:szCs w:val="24"/>
        </w:rPr>
        <w:t>投资</w:t>
      </w:r>
      <w:r>
        <w:rPr>
          <w:rFonts w:hint="eastAsia" w:ascii="Times New Roman" w:hAnsi="Times New Roman" w:eastAsiaTheme="majorEastAsia"/>
          <w:kern w:val="0"/>
          <w:sz w:val="24"/>
          <w:szCs w:val="24"/>
        </w:rPr>
        <w:t>方</w:t>
      </w:r>
      <w:r>
        <w:rPr>
          <w:rFonts w:ascii="Times New Roman" w:hAnsi="Times New Roman" w:eastAsiaTheme="majorEastAsia"/>
          <w:kern w:val="0"/>
          <w:sz w:val="24"/>
          <w:szCs w:val="24"/>
        </w:rPr>
        <w:t>作为新股东享有的基本权利</w:t>
      </w:r>
    </w:p>
    <w:p>
      <w:pPr>
        <w:spacing w:afterLines="100"/>
        <w:ind w:firstLine="480" w:firstLineChars="200"/>
        <w:rPr>
          <w:rFonts w:ascii="Times New Roman" w:hAnsi="Times New Roman" w:eastAsiaTheme="majorEastAsia"/>
          <w:sz w:val="24"/>
          <w:szCs w:val="24"/>
        </w:rPr>
      </w:pPr>
      <w:r>
        <w:rPr>
          <w:rFonts w:ascii="Times New Roman" w:hAnsi="Times New Roman" w:eastAsiaTheme="majorEastAsia"/>
          <w:sz w:val="24"/>
          <w:szCs w:val="24"/>
        </w:rPr>
        <w:t>享有认购新增注册资本项下的全部股东权利。</w:t>
      </w:r>
    </w:p>
    <w:p>
      <w:pPr>
        <w:spacing w:afterLines="100"/>
        <w:ind w:firstLine="482" w:firstLineChars="200"/>
        <w:rPr>
          <w:rFonts w:ascii="Times New Roman" w:hAnsi="Times New Roman" w:eastAsiaTheme="majorEastAsia"/>
          <w:kern w:val="0"/>
          <w:sz w:val="24"/>
          <w:szCs w:val="24"/>
        </w:rPr>
      </w:pPr>
      <w:r>
        <w:rPr>
          <w:rFonts w:ascii="Times New Roman" w:hAnsi="Times New Roman" w:eastAsiaTheme="majorEastAsia"/>
          <w:b/>
          <w:kern w:val="0"/>
          <w:sz w:val="24"/>
          <w:szCs w:val="24"/>
        </w:rPr>
        <w:t xml:space="preserve">第八条 </w:t>
      </w:r>
      <w:r>
        <w:rPr>
          <w:rFonts w:ascii="Times New Roman" w:hAnsi="Times New Roman" w:eastAsiaTheme="majorEastAsia"/>
          <w:kern w:val="0"/>
          <w:sz w:val="24"/>
          <w:szCs w:val="24"/>
        </w:rPr>
        <w:t>投资</w:t>
      </w:r>
      <w:r>
        <w:rPr>
          <w:rFonts w:hint="eastAsia" w:ascii="Times New Roman" w:hAnsi="Times New Roman" w:eastAsiaTheme="majorEastAsia"/>
          <w:kern w:val="0"/>
          <w:sz w:val="24"/>
          <w:szCs w:val="24"/>
        </w:rPr>
        <w:t>方</w:t>
      </w:r>
      <w:r>
        <w:rPr>
          <w:rFonts w:ascii="Times New Roman" w:hAnsi="Times New Roman" w:eastAsiaTheme="majorEastAsia"/>
          <w:kern w:val="0"/>
          <w:sz w:val="24"/>
          <w:szCs w:val="24"/>
        </w:rPr>
        <w:t>作为新股东的义务与责任</w:t>
      </w:r>
    </w:p>
    <w:p>
      <w:pPr>
        <w:spacing w:afterLines="100"/>
        <w:ind w:firstLine="480" w:firstLineChars="200"/>
        <w:rPr>
          <w:rFonts w:ascii="Times New Roman" w:hAnsi="Times New Roman" w:eastAsiaTheme="majorEastAsia"/>
          <w:kern w:val="0"/>
          <w:sz w:val="24"/>
          <w:szCs w:val="24"/>
        </w:rPr>
      </w:pPr>
      <w:r>
        <w:rPr>
          <w:rFonts w:ascii="Times New Roman" w:hAnsi="Times New Roman" w:eastAsiaTheme="majorEastAsia"/>
          <w:kern w:val="0"/>
          <w:sz w:val="24"/>
          <w:szCs w:val="24"/>
        </w:rPr>
        <w:t>1. 于本协议</w:t>
      </w:r>
      <w:r>
        <w:rPr>
          <w:rFonts w:hint="eastAsia" w:ascii="Times New Roman" w:hAnsi="Times New Roman" w:eastAsiaTheme="majorEastAsia"/>
          <w:kern w:val="0"/>
          <w:sz w:val="24"/>
          <w:szCs w:val="24"/>
        </w:rPr>
        <w:t>规定期限</w:t>
      </w:r>
      <w:r>
        <w:rPr>
          <w:rFonts w:ascii="Times New Roman" w:hAnsi="Times New Roman" w:eastAsiaTheme="majorEastAsia"/>
          <w:kern w:val="0"/>
          <w:sz w:val="24"/>
          <w:szCs w:val="24"/>
        </w:rPr>
        <w:t>内，按本协议足额交纳投资款；</w:t>
      </w:r>
    </w:p>
    <w:p>
      <w:pPr>
        <w:spacing w:afterLines="100"/>
        <w:ind w:firstLine="480" w:firstLineChars="200"/>
        <w:rPr>
          <w:rFonts w:ascii="Times New Roman" w:hAnsi="Times New Roman" w:eastAsiaTheme="majorEastAsia"/>
          <w:kern w:val="0"/>
          <w:sz w:val="24"/>
          <w:szCs w:val="24"/>
        </w:rPr>
      </w:pPr>
      <w:r>
        <w:rPr>
          <w:rFonts w:ascii="Times New Roman" w:hAnsi="Times New Roman" w:eastAsiaTheme="majorEastAsia"/>
          <w:kern w:val="0"/>
          <w:sz w:val="24"/>
          <w:szCs w:val="24"/>
        </w:rPr>
        <w:t>2. 承担</w:t>
      </w:r>
      <w:r>
        <w:rPr>
          <w:rFonts w:ascii="Times New Roman" w:hAnsi="Times New Roman" w:eastAsiaTheme="majorEastAsia"/>
          <w:sz w:val="24"/>
          <w:szCs w:val="24"/>
        </w:rPr>
        <w:t>认购新增注册资本项下的全部股东</w:t>
      </w:r>
      <w:r>
        <w:rPr>
          <w:rFonts w:ascii="Times New Roman" w:hAnsi="Times New Roman" w:eastAsiaTheme="majorEastAsia"/>
          <w:kern w:val="0"/>
          <w:sz w:val="24"/>
          <w:szCs w:val="24"/>
        </w:rPr>
        <w:t>义务。</w:t>
      </w:r>
    </w:p>
    <w:p>
      <w:pPr>
        <w:spacing w:afterLines="100"/>
        <w:ind w:firstLine="482" w:firstLineChars="200"/>
        <w:rPr>
          <w:rFonts w:ascii="Times New Roman" w:hAnsi="Times New Roman" w:eastAsiaTheme="majorEastAsia"/>
          <w:b/>
          <w:sz w:val="24"/>
          <w:szCs w:val="24"/>
        </w:rPr>
      </w:pPr>
      <w:r>
        <w:rPr>
          <w:rFonts w:ascii="Times New Roman" w:hAnsi="Times New Roman" w:eastAsiaTheme="majorEastAsia"/>
          <w:b/>
          <w:sz w:val="24"/>
          <w:szCs w:val="24"/>
        </w:rPr>
        <w:t xml:space="preserve">第九条 </w:t>
      </w:r>
      <w:r>
        <w:rPr>
          <w:rFonts w:ascii="Times New Roman" w:hAnsi="Times New Roman" w:eastAsiaTheme="majorEastAsia"/>
          <w:sz w:val="24"/>
          <w:szCs w:val="24"/>
        </w:rPr>
        <w:t>本次增资的税收和费用</w:t>
      </w:r>
    </w:p>
    <w:p>
      <w:pPr>
        <w:spacing w:afterLines="100"/>
        <w:ind w:firstLine="480" w:firstLineChars="200"/>
        <w:rPr>
          <w:rFonts w:ascii="Times New Roman" w:hAnsi="Times New Roman" w:eastAsiaTheme="majorEastAsia"/>
          <w:sz w:val="24"/>
          <w:szCs w:val="24"/>
        </w:rPr>
      </w:pPr>
      <w:r>
        <w:rPr>
          <w:rFonts w:hint="eastAsia" w:ascii="Times New Roman" w:hAnsi="Times New Roman" w:eastAsiaTheme="majorEastAsia"/>
          <w:sz w:val="24"/>
          <w:szCs w:val="24"/>
        </w:rPr>
        <w:t>本次</w:t>
      </w:r>
      <w:r>
        <w:rPr>
          <w:rFonts w:ascii="Times New Roman" w:hAnsi="Times New Roman" w:eastAsiaTheme="majorEastAsia"/>
          <w:sz w:val="24"/>
          <w:szCs w:val="24"/>
        </w:rPr>
        <w:t>增资中涉及的有关税收，按照国家有关法律规定甲乙双方自行缴纳。本次增资中涉及的交易</w:t>
      </w:r>
      <w:r>
        <w:rPr>
          <w:rFonts w:hint="eastAsia" w:ascii="Times New Roman" w:hAnsi="Times New Roman" w:eastAsiaTheme="majorEastAsia"/>
          <w:sz w:val="24"/>
          <w:szCs w:val="24"/>
        </w:rPr>
        <w:t>服务费</w:t>
      </w:r>
      <w:r>
        <w:rPr>
          <w:rFonts w:ascii="Times New Roman" w:hAnsi="Times New Roman" w:eastAsiaTheme="majorEastAsia"/>
          <w:sz w:val="24"/>
          <w:szCs w:val="24"/>
        </w:rPr>
        <w:t>由甲、乙双方各自承担。权证变更涉及的有关费用，由甲方承担。</w:t>
      </w:r>
    </w:p>
    <w:p>
      <w:pPr>
        <w:spacing w:afterLines="100"/>
        <w:ind w:firstLine="482" w:firstLineChars="200"/>
        <w:rPr>
          <w:rFonts w:ascii="Times New Roman" w:hAnsi="Times New Roman" w:eastAsiaTheme="majorEastAsia"/>
          <w:kern w:val="0"/>
          <w:sz w:val="24"/>
          <w:szCs w:val="24"/>
        </w:rPr>
      </w:pPr>
      <w:r>
        <w:rPr>
          <w:rFonts w:ascii="Times New Roman" w:hAnsi="Times New Roman" w:eastAsiaTheme="majorEastAsia"/>
          <w:b/>
          <w:kern w:val="0"/>
          <w:sz w:val="24"/>
          <w:szCs w:val="24"/>
        </w:rPr>
        <w:t xml:space="preserve">第十条 </w:t>
      </w:r>
      <w:r>
        <w:rPr>
          <w:rFonts w:ascii="Times New Roman" w:hAnsi="Times New Roman" w:eastAsiaTheme="majorEastAsia"/>
          <w:kern w:val="0"/>
          <w:sz w:val="24"/>
          <w:szCs w:val="24"/>
        </w:rPr>
        <w:t>期间损益</w:t>
      </w:r>
    </w:p>
    <w:p>
      <w:pPr>
        <w:spacing w:afterLines="100"/>
        <w:ind w:firstLine="480" w:firstLineChars="200"/>
        <w:rPr>
          <w:rFonts w:ascii="Times New Roman" w:hAnsi="Times New Roman" w:eastAsiaTheme="majorEastAsia"/>
          <w:kern w:val="0"/>
          <w:sz w:val="24"/>
          <w:szCs w:val="24"/>
        </w:rPr>
      </w:pPr>
      <w:r>
        <w:rPr>
          <w:rFonts w:ascii="Times New Roman" w:hAnsi="Times New Roman" w:eastAsiaTheme="majorEastAsia"/>
          <w:kern w:val="0"/>
          <w:sz w:val="24"/>
          <w:szCs w:val="24"/>
        </w:rPr>
        <w:t>本协议双方一致同意，</w:t>
      </w:r>
      <w:r>
        <w:rPr>
          <w:rFonts w:hint="eastAsia" w:ascii="Times New Roman" w:hAnsi="Times New Roman" w:eastAsiaTheme="majorEastAsia"/>
          <w:kern w:val="0"/>
          <w:sz w:val="24"/>
          <w:szCs w:val="24"/>
        </w:rPr>
        <w:t>自</w:t>
      </w:r>
      <w:r>
        <w:rPr>
          <w:rFonts w:ascii="Times New Roman" w:hAnsi="Times New Roman" w:eastAsiaTheme="majorEastAsia"/>
          <w:kern w:val="0"/>
          <w:sz w:val="24"/>
          <w:szCs w:val="24"/>
        </w:rPr>
        <w:t>资产评估基准日（2019年4月30日）到本次增资交割日</w:t>
      </w:r>
      <w:r>
        <w:rPr>
          <w:rFonts w:hint="eastAsia" w:ascii="Times New Roman" w:hAnsi="Times New Roman" w:eastAsiaTheme="majorEastAsia"/>
          <w:kern w:val="0"/>
          <w:sz w:val="24"/>
          <w:szCs w:val="24"/>
        </w:rPr>
        <w:t>（</w:t>
      </w:r>
      <w:r>
        <w:rPr>
          <w:rFonts w:ascii="Times New Roman" w:hAnsi="Times New Roman" w:eastAsiaTheme="majorEastAsia"/>
          <w:kern w:val="0"/>
          <w:sz w:val="24"/>
          <w:szCs w:val="24"/>
        </w:rPr>
        <w:t>定义见第十一条）期间的损益，</w:t>
      </w:r>
      <w:r>
        <w:rPr>
          <w:rFonts w:ascii="Times New Roman" w:hAnsi="Times New Roman" w:eastAsiaTheme="majorEastAsia"/>
          <w:bCs/>
          <w:kern w:val="0"/>
          <w:sz w:val="24"/>
          <w:szCs w:val="24"/>
        </w:rPr>
        <w:t>不再进行审计清算，</w:t>
      </w:r>
      <w:r>
        <w:rPr>
          <w:rFonts w:ascii="Times New Roman" w:hAnsi="Times New Roman" w:eastAsiaTheme="majorEastAsia"/>
          <w:kern w:val="0"/>
          <w:sz w:val="24"/>
          <w:szCs w:val="24"/>
        </w:rPr>
        <w:t>由新老股东按持股比例共享或承担。</w:t>
      </w:r>
    </w:p>
    <w:p>
      <w:pPr>
        <w:spacing w:afterLines="100"/>
        <w:ind w:firstLine="482" w:firstLineChars="200"/>
        <w:rPr>
          <w:rFonts w:ascii="Times New Roman" w:hAnsi="Times New Roman" w:eastAsiaTheme="majorEastAsia"/>
          <w:kern w:val="0"/>
          <w:sz w:val="24"/>
          <w:szCs w:val="24"/>
        </w:rPr>
      </w:pPr>
      <w:r>
        <w:rPr>
          <w:rFonts w:ascii="Times New Roman" w:hAnsi="Times New Roman" w:eastAsiaTheme="majorEastAsia"/>
          <w:b/>
          <w:kern w:val="0"/>
          <w:sz w:val="24"/>
          <w:szCs w:val="24"/>
        </w:rPr>
        <w:t xml:space="preserve">第十一条 </w:t>
      </w:r>
      <w:r>
        <w:rPr>
          <w:rFonts w:ascii="Times New Roman" w:hAnsi="Times New Roman" w:eastAsiaTheme="majorEastAsia"/>
          <w:kern w:val="0"/>
          <w:sz w:val="24"/>
          <w:szCs w:val="24"/>
        </w:rPr>
        <w:t>章程修改及工商变更程序</w:t>
      </w:r>
    </w:p>
    <w:p>
      <w:pPr>
        <w:spacing w:afterLines="100"/>
        <w:ind w:firstLine="480" w:firstLineChars="200"/>
        <w:rPr>
          <w:rFonts w:ascii="Times New Roman" w:hAnsi="Times New Roman" w:eastAsiaTheme="majorEastAsia"/>
          <w:kern w:val="0"/>
          <w:sz w:val="24"/>
          <w:szCs w:val="24"/>
        </w:rPr>
      </w:pPr>
      <w:r>
        <w:rPr>
          <w:rFonts w:ascii="Times New Roman" w:hAnsi="Times New Roman" w:eastAsiaTheme="majorEastAsia"/>
          <w:kern w:val="0"/>
          <w:sz w:val="24"/>
          <w:szCs w:val="24"/>
        </w:rPr>
        <w:t>本协议双方一致同意根据本协议内容对《公司章程》进行相应修改，并承诺由甲方在</w:t>
      </w:r>
      <w:r>
        <w:rPr>
          <w:rFonts w:hint="eastAsia" w:ascii="Times New Roman" w:hAnsi="Times New Roman" w:eastAsiaTheme="majorEastAsia"/>
          <w:kern w:val="0"/>
          <w:sz w:val="24"/>
          <w:szCs w:val="24"/>
        </w:rPr>
        <w:t>本</w:t>
      </w:r>
      <w:r>
        <w:rPr>
          <w:rFonts w:ascii="Times New Roman" w:hAnsi="Times New Roman" w:eastAsiaTheme="majorEastAsia"/>
          <w:kern w:val="0"/>
          <w:sz w:val="24"/>
          <w:szCs w:val="24"/>
        </w:rPr>
        <w:t>协议签订后完成向有关</w:t>
      </w:r>
      <w:r>
        <w:rPr>
          <w:rFonts w:hint="eastAsia" w:ascii="Times New Roman" w:hAnsi="Times New Roman" w:eastAsiaTheme="majorEastAsia"/>
          <w:kern w:val="0"/>
          <w:sz w:val="24"/>
          <w:szCs w:val="24"/>
        </w:rPr>
        <w:t>公司登记及</w:t>
      </w:r>
      <w:r>
        <w:rPr>
          <w:rFonts w:ascii="Times New Roman" w:hAnsi="Times New Roman" w:eastAsiaTheme="majorEastAsia"/>
          <w:kern w:val="0"/>
          <w:sz w:val="24"/>
          <w:szCs w:val="24"/>
        </w:rPr>
        <w:t>备案主管部门</w:t>
      </w:r>
      <w:r>
        <w:rPr>
          <w:rFonts w:hint="eastAsia" w:ascii="Times New Roman" w:hAnsi="Times New Roman" w:eastAsiaTheme="majorEastAsia"/>
          <w:kern w:val="0"/>
          <w:sz w:val="24"/>
          <w:szCs w:val="24"/>
        </w:rPr>
        <w:t>进行变更</w:t>
      </w:r>
      <w:r>
        <w:rPr>
          <w:rFonts w:ascii="Times New Roman" w:hAnsi="Times New Roman" w:eastAsiaTheme="majorEastAsia"/>
          <w:kern w:val="0"/>
          <w:sz w:val="24"/>
          <w:szCs w:val="24"/>
        </w:rPr>
        <w:t>登记</w:t>
      </w:r>
      <w:r>
        <w:rPr>
          <w:rFonts w:hint="eastAsia" w:ascii="Times New Roman" w:hAnsi="Times New Roman" w:eastAsiaTheme="majorEastAsia"/>
          <w:kern w:val="0"/>
          <w:sz w:val="24"/>
          <w:szCs w:val="24"/>
        </w:rPr>
        <w:t>和</w:t>
      </w:r>
      <w:r>
        <w:rPr>
          <w:rFonts w:ascii="Times New Roman" w:hAnsi="Times New Roman" w:eastAsiaTheme="majorEastAsia"/>
          <w:kern w:val="0"/>
          <w:sz w:val="24"/>
          <w:szCs w:val="24"/>
        </w:rPr>
        <w:t>备案的一切必备</w:t>
      </w:r>
      <w:r>
        <w:rPr>
          <w:rFonts w:hint="eastAsia" w:ascii="Times New Roman" w:hAnsi="Times New Roman" w:eastAsiaTheme="majorEastAsia"/>
          <w:kern w:val="0"/>
          <w:sz w:val="24"/>
          <w:szCs w:val="24"/>
        </w:rPr>
        <w:t>手续</w:t>
      </w:r>
      <w:r>
        <w:rPr>
          <w:rFonts w:ascii="Times New Roman" w:hAnsi="Times New Roman" w:eastAsiaTheme="majorEastAsia"/>
          <w:kern w:val="0"/>
          <w:sz w:val="24"/>
          <w:szCs w:val="24"/>
        </w:rPr>
        <w:t>。</w:t>
      </w:r>
    </w:p>
    <w:p>
      <w:pPr>
        <w:spacing w:afterLines="100"/>
        <w:ind w:firstLine="480" w:firstLineChars="200"/>
        <w:rPr>
          <w:rFonts w:ascii="Times New Roman" w:hAnsi="Times New Roman" w:eastAsiaTheme="majorEastAsia"/>
          <w:kern w:val="0"/>
          <w:sz w:val="24"/>
          <w:szCs w:val="24"/>
        </w:rPr>
      </w:pPr>
      <w:r>
        <w:rPr>
          <w:rFonts w:ascii="Times New Roman" w:hAnsi="Times New Roman" w:eastAsiaTheme="majorEastAsia"/>
          <w:kern w:val="0"/>
          <w:sz w:val="24"/>
          <w:szCs w:val="24"/>
        </w:rPr>
        <w:t>双方应当在台州市产权交易所有限公司出具本次股权转让及本次增资的《产权交易凭证》后五个工作日内，同时办理本次股权转让及本次增资的工商变更手续，并在获发反映本次股权转让及本次增资的新营业执照之日（“交割日”）后二个工作日内办理交割手续。</w:t>
      </w:r>
    </w:p>
    <w:p>
      <w:pPr>
        <w:spacing w:afterLines="100"/>
        <w:ind w:firstLine="482" w:firstLineChars="200"/>
        <w:rPr>
          <w:rFonts w:ascii="Times New Roman" w:hAnsi="Times New Roman" w:eastAsiaTheme="majorEastAsia"/>
          <w:kern w:val="0"/>
          <w:sz w:val="24"/>
          <w:szCs w:val="24"/>
        </w:rPr>
      </w:pPr>
      <w:r>
        <w:rPr>
          <w:rFonts w:ascii="Times New Roman" w:hAnsi="Times New Roman" w:eastAsiaTheme="majorEastAsia"/>
          <w:b/>
          <w:kern w:val="0"/>
          <w:sz w:val="24"/>
          <w:szCs w:val="24"/>
        </w:rPr>
        <w:t>第十二条</w:t>
      </w:r>
      <w:r>
        <w:rPr>
          <w:rFonts w:ascii="Times New Roman" w:hAnsi="Times New Roman" w:eastAsiaTheme="majorEastAsia"/>
          <w:kern w:val="0"/>
          <w:sz w:val="24"/>
          <w:szCs w:val="24"/>
        </w:rPr>
        <w:t xml:space="preserve"> 违约责任</w:t>
      </w:r>
    </w:p>
    <w:p>
      <w:pPr>
        <w:spacing w:afterLines="100"/>
        <w:ind w:firstLine="480" w:firstLineChars="200"/>
        <w:rPr>
          <w:rFonts w:ascii="Times New Roman" w:hAnsi="Times New Roman" w:eastAsiaTheme="majorEastAsia"/>
          <w:kern w:val="0"/>
          <w:sz w:val="24"/>
          <w:szCs w:val="24"/>
        </w:rPr>
      </w:pPr>
      <w:r>
        <w:rPr>
          <w:rFonts w:ascii="Times New Roman" w:hAnsi="Times New Roman" w:eastAsiaTheme="majorEastAsia"/>
          <w:kern w:val="0"/>
          <w:sz w:val="24"/>
          <w:szCs w:val="24"/>
        </w:rPr>
        <w:t>本协议各方当事人应当按照法律规定及本协议的约定严格履行各自的义务。当事人一方不履行协议义务或者履行协议义务不符合约定的，应当承担继续履行、采取补救措施或者赔偿损失等违约责任。</w:t>
      </w:r>
    </w:p>
    <w:p>
      <w:pPr>
        <w:spacing w:afterLines="100"/>
        <w:ind w:firstLine="480" w:firstLineChars="200"/>
        <w:rPr>
          <w:rFonts w:ascii="Times New Roman" w:hAnsi="Times New Roman" w:eastAsiaTheme="majorEastAsia"/>
          <w:kern w:val="0"/>
          <w:sz w:val="24"/>
          <w:szCs w:val="24"/>
        </w:rPr>
      </w:pPr>
      <w:r>
        <w:rPr>
          <w:rFonts w:ascii="Times New Roman" w:hAnsi="Times New Roman" w:eastAsiaTheme="majorEastAsia"/>
          <w:kern w:val="0"/>
          <w:sz w:val="24"/>
          <w:szCs w:val="24"/>
        </w:rPr>
        <w:t>1</w:t>
      </w:r>
      <w:r>
        <w:rPr>
          <w:rFonts w:hint="eastAsia" w:ascii="Times New Roman" w:hAnsi="Times New Roman" w:eastAsiaTheme="majorEastAsia"/>
          <w:kern w:val="0"/>
          <w:sz w:val="24"/>
          <w:szCs w:val="24"/>
        </w:rPr>
        <w:t>.</w:t>
      </w:r>
      <w:r>
        <w:rPr>
          <w:rFonts w:ascii="Times New Roman" w:hAnsi="Times New Roman" w:eastAsiaTheme="majorEastAsia"/>
          <w:kern w:val="0"/>
          <w:sz w:val="24"/>
          <w:szCs w:val="24"/>
        </w:rPr>
        <w:t xml:space="preserve"> 甲方应按协议约定履行交付转让标的义务，涉及权属变更登记的应当及时协助乙方办理。如因甲方原因导致逾期交付或迟延办理权属变更登记的，则应自逾期之日起至实际交付或办理之日止按</w:t>
      </w:r>
      <w:r>
        <w:rPr>
          <w:rFonts w:hint="eastAsia" w:ascii="Times New Roman" w:hAnsi="Times New Roman" w:eastAsiaTheme="majorEastAsia"/>
          <w:kern w:val="0"/>
          <w:sz w:val="24"/>
          <w:szCs w:val="24"/>
        </w:rPr>
        <w:t>增资</w:t>
      </w:r>
      <w:r>
        <w:rPr>
          <w:rFonts w:ascii="Times New Roman" w:hAnsi="Times New Roman" w:eastAsiaTheme="majorEastAsia"/>
          <w:kern w:val="0"/>
          <w:sz w:val="24"/>
          <w:szCs w:val="24"/>
        </w:rPr>
        <w:t>款的日0.03%向乙方支付违约金。</w:t>
      </w:r>
    </w:p>
    <w:p>
      <w:pPr>
        <w:spacing w:afterLines="100"/>
        <w:ind w:firstLine="480" w:firstLineChars="200"/>
        <w:rPr>
          <w:rFonts w:ascii="Times New Roman" w:hAnsi="Times New Roman" w:eastAsiaTheme="majorEastAsia"/>
          <w:kern w:val="0"/>
          <w:sz w:val="24"/>
          <w:szCs w:val="24"/>
        </w:rPr>
      </w:pPr>
      <w:r>
        <w:rPr>
          <w:rFonts w:ascii="Times New Roman" w:hAnsi="Times New Roman" w:eastAsiaTheme="majorEastAsia"/>
          <w:kern w:val="0"/>
          <w:sz w:val="24"/>
          <w:szCs w:val="24"/>
        </w:rPr>
        <w:t>2</w:t>
      </w:r>
      <w:r>
        <w:rPr>
          <w:rFonts w:hint="eastAsia" w:ascii="Times New Roman" w:hAnsi="Times New Roman" w:eastAsiaTheme="majorEastAsia"/>
          <w:kern w:val="0"/>
          <w:sz w:val="24"/>
          <w:szCs w:val="24"/>
        </w:rPr>
        <w:t>.</w:t>
      </w:r>
      <w:r>
        <w:rPr>
          <w:rFonts w:ascii="Times New Roman" w:hAnsi="Times New Roman" w:eastAsiaTheme="majorEastAsia"/>
          <w:kern w:val="0"/>
          <w:sz w:val="24"/>
          <w:szCs w:val="24"/>
        </w:rPr>
        <w:t xml:space="preserve"> 出现下列情形，视为根本性违约，守约方可解除本协议并要求违约方承担</w:t>
      </w:r>
      <w:r>
        <w:rPr>
          <w:rFonts w:hint="eastAsia" w:ascii="Times New Roman" w:hAnsi="Times New Roman" w:eastAsiaTheme="majorEastAsia"/>
          <w:kern w:val="0"/>
          <w:sz w:val="24"/>
          <w:szCs w:val="24"/>
        </w:rPr>
        <w:t>增资</w:t>
      </w:r>
      <w:r>
        <w:rPr>
          <w:rFonts w:ascii="Times New Roman" w:hAnsi="Times New Roman" w:eastAsiaTheme="majorEastAsia"/>
          <w:kern w:val="0"/>
          <w:sz w:val="24"/>
          <w:szCs w:val="24"/>
        </w:rPr>
        <w:t>款30%的违约金，对所造成的实际损失违约方应当另行承担赔偿责任：</w:t>
      </w:r>
    </w:p>
    <w:p>
      <w:pPr>
        <w:spacing w:afterLines="100"/>
        <w:ind w:firstLine="480" w:firstLineChars="200"/>
        <w:rPr>
          <w:rFonts w:ascii="Times New Roman" w:hAnsi="Times New Roman" w:eastAsiaTheme="majorEastAsia"/>
          <w:i/>
          <w:kern w:val="0"/>
          <w:sz w:val="24"/>
          <w:szCs w:val="24"/>
        </w:rPr>
      </w:pPr>
      <w:r>
        <w:rPr>
          <w:rFonts w:ascii="Times New Roman" w:hAnsi="Times New Roman" w:eastAsiaTheme="majorEastAsia"/>
          <w:kern w:val="0"/>
          <w:sz w:val="24"/>
          <w:szCs w:val="24"/>
        </w:rPr>
        <w:t>任何一方当事人违反法律或本协议约定导致本协议原先商业目的不能实现的。</w:t>
      </w:r>
    </w:p>
    <w:p>
      <w:pPr>
        <w:spacing w:afterLines="100"/>
        <w:ind w:firstLine="480" w:firstLineChars="200"/>
        <w:rPr>
          <w:rFonts w:ascii="Times New Roman" w:hAnsi="Times New Roman" w:eastAsiaTheme="majorEastAsia"/>
          <w:kern w:val="0"/>
          <w:sz w:val="24"/>
          <w:szCs w:val="24"/>
        </w:rPr>
      </w:pPr>
      <w:r>
        <w:rPr>
          <w:rFonts w:ascii="Times New Roman" w:hAnsi="Times New Roman" w:eastAsiaTheme="majorEastAsia"/>
          <w:kern w:val="0"/>
          <w:sz w:val="24"/>
          <w:szCs w:val="24"/>
        </w:rPr>
        <w:t>3</w:t>
      </w:r>
      <w:r>
        <w:rPr>
          <w:rFonts w:hint="eastAsia" w:ascii="Times New Roman" w:hAnsi="Times New Roman" w:eastAsiaTheme="majorEastAsia"/>
          <w:kern w:val="0"/>
          <w:sz w:val="24"/>
          <w:szCs w:val="24"/>
        </w:rPr>
        <w:t>.</w:t>
      </w:r>
      <w:r>
        <w:rPr>
          <w:rFonts w:ascii="Times New Roman" w:hAnsi="Times New Roman" w:eastAsiaTheme="majorEastAsia"/>
          <w:kern w:val="0"/>
          <w:sz w:val="24"/>
          <w:szCs w:val="24"/>
        </w:rPr>
        <w:t xml:space="preserve"> 由于一方的过错造成本协议被认定为无效时，由过错的一方承担违约责任，双方均有过错，则由双方按责任大小承担各自相应的责任。</w:t>
      </w:r>
    </w:p>
    <w:p>
      <w:pPr>
        <w:spacing w:afterLines="100"/>
        <w:ind w:firstLine="482" w:firstLineChars="200"/>
        <w:rPr>
          <w:rFonts w:ascii="Times New Roman" w:hAnsi="Times New Roman" w:eastAsiaTheme="majorEastAsia"/>
          <w:kern w:val="0"/>
          <w:sz w:val="24"/>
          <w:szCs w:val="24"/>
        </w:rPr>
      </w:pPr>
      <w:r>
        <w:rPr>
          <w:rFonts w:ascii="Times New Roman" w:hAnsi="Times New Roman" w:eastAsiaTheme="majorEastAsia"/>
          <w:b/>
          <w:kern w:val="0"/>
          <w:sz w:val="24"/>
          <w:szCs w:val="24"/>
        </w:rPr>
        <w:t>第十三条</w:t>
      </w:r>
      <w:bookmarkStart w:id="19" w:name="_Toc145404789"/>
      <w:r>
        <w:rPr>
          <w:rFonts w:ascii="Times New Roman" w:hAnsi="Times New Roman" w:eastAsiaTheme="majorEastAsia"/>
          <w:b/>
          <w:kern w:val="0"/>
          <w:sz w:val="24"/>
          <w:szCs w:val="24"/>
        </w:rPr>
        <w:t xml:space="preserve"> </w:t>
      </w:r>
      <w:r>
        <w:rPr>
          <w:rFonts w:ascii="Times New Roman" w:hAnsi="Times New Roman" w:eastAsiaTheme="majorEastAsia"/>
          <w:kern w:val="0"/>
          <w:sz w:val="24"/>
          <w:szCs w:val="24"/>
        </w:rPr>
        <w:t>适用法律、争议的解决</w:t>
      </w:r>
      <w:bookmarkEnd w:id="19"/>
      <w:r>
        <w:rPr>
          <w:rFonts w:ascii="Times New Roman" w:hAnsi="Times New Roman" w:eastAsiaTheme="majorEastAsia"/>
          <w:kern w:val="0"/>
          <w:sz w:val="24"/>
          <w:szCs w:val="24"/>
        </w:rPr>
        <w:t>及违约责任</w:t>
      </w:r>
    </w:p>
    <w:p>
      <w:pPr>
        <w:pStyle w:val="8"/>
        <w:spacing w:afterLines="100"/>
        <w:ind w:firstLine="480"/>
        <w:rPr>
          <w:rFonts w:ascii="Times New Roman" w:hAnsi="Times New Roman" w:eastAsiaTheme="majorEastAsia"/>
          <w:sz w:val="24"/>
        </w:rPr>
      </w:pPr>
      <w:r>
        <w:rPr>
          <w:rFonts w:ascii="Times New Roman" w:hAnsi="Times New Roman" w:eastAsiaTheme="majorEastAsia"/>
          <w:kern w:val="0"/>
          <w:sz w:val="24"/>
        </w:rPr>
        <w:t>1.</w:t>
      </w:r>
      <w:r>
        <w:rPr>
          <w:rFonts w:ascii="Times New Roman" w:hAnsi="Times New Roman" w:eastAsiaTheme="majorEastAsia"/>
          <w:sz w:val="24"/>
        </w:rPr>
        <w:t>适用法律：中国法律。</w:t>
      </w:r>
    </w:p>
    <w:p>
      <w:pPr>
        <w:pStyle w:val="8"/>
        <w:spacing w:afterLines="100"/>
        <w:ind w:firstLine="480"/>
        <w:rPr>
          <w:rFonts w:ascii="Times New Roman" w:hAnsi="Times New Roman" w:eastAsiaTheme="majorEastAsia"/>
          <w:sz w:val="24"/>
        </w:rPr>
      </w:pPr>
      <w:r>
        <w:rPr>
          <w:rFonts w:ascii="Times New Roman" w:hAnsi="Times New Roman" w:eastAsiaTheme="majorEastAsia"/>
          <w:kern w:val="0"/>
          <w:sz w:val="24"/>
        </w:rPr>
        <w:t>2.</w:t>
      </w:r>
      <w:r>
        <w:rPr>
          <w:rFonts w:hint="eastAsia" w:ascii="Times New Roman" w:hAnsi="Times New Roman" w:eastAsiaTheme="majorEastAsia"/>
          <w:sz w:val="24"/>
        </w:rPr>
        <w:t>甲乙双方同意，因本协议而产生的任何争议应首先通过友好协商自行解决，协商未果的，本协议任何一方均可将该争议通过仲裁或向甲方所在地有管辖权的人民法院提起诉讼而解决</w:t>
      </w:r>
      <w:r>
        <w:rPr>
          <w:rFonts w:ascii="Times New Roman" w:hAnsi="Times New Roman" w:eastAsiaTheme="majorEastAsia"/>
          <w:sz w:val="24"/>
        </w:rPr>
        <w:t>。</w:t>
      </w:r>
    </w:p>
    <w:p>
      <w:pPr>
        <w:spacing w:afterLines="100"/>
        <w:ind w:firstLine="482" w:firstLineChars="200"/>
        <w:rPr>
          <w:rFonts w:ascii="Times New Roman" w:hAnsi="Times New Roman" w:eastAsiaTheme="majorEastAsia"/>
          <w:kern w:val="0"/>
          <w:sz w:val="24"/>
          <w:szCs w:val="24"/>
        </w:rPr>
      </w:pPr>
      <w:r>
        <w:rPr>
          <w:rFonts w:ascii="Times New Roman" w:hAnsi="Times New Roman" w:eastAsiaTheme="majorEastAsia"/>
          <w:b/>
          <w:kern w:val="0"/>
          <w:sz w:val="24"/>
          <w:szCs w:val="24"/>
        </w:rPr>
        <w:t>第十四条</w:t>
      </w:r>
      <w:r>
        <w:rPr>
          <w:rFonts w:hint="eastAsia" w:ascii="Times New Roman" w:hAnsi="Times New Roman" w:eastAsiaTheme="majorEastAsia"/>
          <w:b/>
          <w:kern w:val="0"/>
          <w:sz w:val="24"/>
          <w:szCs w:val="24"/>
        </w:rPr>
        <w:t xml:space="preserve"> </w:t>
      </w:r>
      <w:r>
        <w:rPr>
          <w:rFonts w:ascii="Times New Roman" w:hAnsi="Times New Roman" w:eastAsiaTheme="majorEastAsia"/>
          <w:kern w:val="0"/>
          <w:sz w:val="24"/>
          <w:szCs w:val="24"/>
        </w:rPr>
        <w:t>未尽事宜</w:t>
      </w:r>
    </w:p>
    <w:p>
      <w:pPr>
        <w:spacing w:afterLines="100"/>
        <w:ind w:firstLine="480" w:firstLineChars="200"/>
        <w:rPr>
          <w:rFonts w:ascii="Times New Roman" w:hAnsi="Times New Roman" w:eastAsiaTheme="majorEastAsia"/>
          <w:kern w:val="0"/>
          <w:sz w:val="24"/>
          <w:szCs w:val="24"/>
        </w:rPr>
      </w:pPr>
      <w:r>
        <w:rPr>
          <w:rFonts w:ascii="Times New Roman" w:hAnsi="Times New Roman" w:eastAsiaTheme="majorEastAsia"/>
          <w:kern w:val="0"/>
          <w:sz w:val="24"/>
          <w:szCs w:val="24"/>
        </w:rPr>
        <w:t>本协议为双方就本次增资所确定的基本内容，其中涉及的各具体事项及未尽事宜，可由双方订立补充协议，补充协议与本协议具有同等的法律效力。</w:t>
      </w:r>
    </w:p>
    <w:p>
      <w:pPr>
        <w:spacing w:afterLines="100"/>
        <w:ind w:firstLine="482" w:firstLineChars="200"/>
        <w:rPr>
          <w:rFonts w:ascii="Times New Roman" w:hAnsi="Times New Roman" w:eastAsiaTheme="majorEastAsia"/>
          <w:kern w:val="0"/>
          <w:sz w:val="24"/>
          <w:szCs w:val="24"/>
        </w:rPr>
      </w:pPr>
      <w:r>
        <w:rPr>
          <w:rFonts w:ascii="Times New Roman" w:hAnsi="Times New Roman" w:eastAsiaTheme="majorEastAsia"/>
          <w:b/>
          <w:kern w:val="0"/>
          <w:sz w:val="24"/>
          <w:szCs w:val="24"/>
        </w:rPr>
        <w:t xml:space="preserve">第十四条 </w:t>
      </w:r>
      <w:r>
        <w:rPr>
          <w:rFonts w:ascii="Times New Roman" w:hAnsi="Times New Roman" w:eastAsiaTheme="majorEastAsia"/>
          <w:kern w:val="0"/>
          <w:sz w:val="24"/>
          <w:szCs w:val="24"/>
        </w:rPr>
        <w:t>合同的生效</w:t>
      </w:r>
    </w:p>
    <w:p>
      <w:pPr>
        <w:spacing w:afterLines="100"/>
        <w:ind w:firstLine="480" w:firstLineChars="200"/>
        <w:rPr>
          <w:rFonts w:ascii="Times New Roman" w:hAnsi="Times New Roman" w:eastAsiaTheme="majorEastAsia"/>
          <w:kern w:val="0"/>
          <w:sz w:val="24"/>
          <w:szCs w:val="24"/>
        </w:rPr>
      </w:pPr>
      <w:r>
        <w:rPr>
          <w:rFonts w:ascii="Times New Roman" w:hAnsi="Times New Roman" w:eastAsiaTheme="majorEastAsia"/>
          <w:kern w:val="0"/>
          <w:sz w:val="24"/>
          <w:szCs w:val="24"/>
        </w:rPr>
        <w:t>本协议于双方盖章</w:t>
      </w:r>
      <w:r>
        <w:rPr>
          <w:rFonts w:hint="eastAsia" w:ascii="Times New Roman" w:hAnsi="Times New Roman" w:eastAsiaTheme="majorEastAsia"/>
          <w:kern w:val="0"/>
          <w:sz w:val="24"/>
          <w:szCs w:val="24"/>
        </w:rPr>
        <w:t>或</w:t>
      </w:r>
      <w:r>
        <w:rPr>
          <w:rFonts w:ascii="Times New Roman" w:hAnsi="Times New Roman" w:eastAsiaTheme="majorEastAsia"/>
          <w:kern w:val="0"/>
          <w:sz w:val="24"/>
          <w:szCs w:val="24"/>
        </w:rPr>
        <w:t>法定代表人或授权代表签字后生效。非经双方一致通过，不得终止本协议。</w:t>
      </w:r>
    </w:p>
    <w:p>
      <w:pPr>
        <w:spacing w:afterLines="100"/>
        <w:ind w:firstLine="482" w:firstLineChars="200"/>
        <w:rPr>
          <w:rFonts w:ascii="Times New Roman" w:hAnsi="Times New Roman" w:eastAsiaTheme="majorEastAsia"/>
          <w:kern w:val="0"/>
          <w:sz w:val="24"/>
          <w:szCs w:val="24"/>
        </w:rPr>
      </w:pPr>
      <w:r>
        <w:rPr>
          <w:rFonts w:ascii="Times New Roman" w:hAnsi="Times New Roman" w:eastAsiaTheme="majorEastAsia"/>
          <w:b/>
          <w:kern w:val="0"/>
          <w:sz w:val="24"/>
          <w:szCs w:val="24"/>
        </w:rPr>
        <w:t xml:space="preserve">第十五条 </w:t>
      </w:r>
      <w:r>
        <w:rPr>
          <w:rFonts w:ascii="Times New Roman" w:hAnsi="Times New Roman" w:eastAsiaTheme="majorEastAsia"/>
          <w:kern w:val="0"/>
          <w:sz w:val="24"/>
          <w:szCs w:val="24"/>
        </w:rPr>
        <w:t>其他约定事项</w:t>
      </w:r>
    </w:p>
    <w:p>
      <w:pPr>
        <w:spacing w:afterLines="100"/>
        <w:ind w:firstLine="480" w:firstLineChars="200"/>
        <w:rPr>
          <w:rFonts w:ascii="Times New Roman" w:hAnsi="Times New Roman" w:eastAsiaTheme="majorEastAsia"/>
          <w:kern w:val="0"/>
          <w:sz w:val="24"/>
          <w:szCs w:val="24"/>
        </w:rPr>
      </w:pPr>
      <w:r>
        <w:rPr>
          <w:rFonts w:ascii="Times New Roman" w:hAnsi="Times New Roman" w:eastAsiaTheme="majorEastAsia"/>
          <w:kern w:val="0"/>
          <w:sz w:val="24"/>
          <w:szCs w:val="24"/>
        </w:rPr>
        <w:t>本协议一式6份，甲乙</w:t>
      </w:r>
      <w:r>
        <w:rPr>
          <w:rFonts w:hint="eastAsia" w:ascii="Times New Roman" w:hAnsi="Times New Roman" w:eastAsiaTheme="majorEastAsia"/>
          <w:kern w:val="0"/>
          <w:sz w:val="24"/>
          <w:szCs w:val="24"/>
        </w:rPr>
        <w:t>双方</w:t>
      </w:r>
      <w:r>
        <w:rPr>
          <w:rFonts w:ascii="Times New Roman" w:hAnsi="Times New Roman" w:eastAsiaTheme="majorEastAsia"/>
          <w:kern w:val="0"/>
          <w:sz w:val="24"/>
          <w:szCs w:val="24"/>
        </w:rPr>
        <w:t>及甲方原股东（2家）各执一份，台州市产权交易</w:t>
      </w:r>
      <w:r>
        <w:rPr>
          <w:rFonts w:hint="eastAsia" w:ascii="Times New Roman" w:hAnsi="Times New Roman" w:eastAsiaTheme="majorEastAsia"/>
          <w:kern w:val="0"/>
          <w:sz w:val="24"/>
          <w:szCs w:val="24"/>
        </w:rPr>
        <w:t>所有限</w:t>
      </w:r>
      <w:r>
        <w:rPr>
          <w:rFonts w:ascii="Times New Roman" w:hAnsi="Times New Roman" w:eastAsiaTheme="majorEastAsia"/>
          <w:kern w:val="0"/>
          <w:sz w:val="24"/>
          <w:szCs w:val="24"/>
        </w:rPr>
        <w:t>公司一份，备案一份，具有同等法律效力。</w:t>
      </w:r>
    </w:p>
    <w:p>
      <w:pPr>
        <w:spacing w:afterLines="100"/>
        <w:ind w:left="720" w:leftChars="343" w:firstLine="6385" w:firstLineChars="2650"/>
        <w:jc w:val="left"/>
        <w:rPr>
          <w:rFonts w:ascii="Times New Roman" w:hAnsi="Times New Roman" w:eastAsiaTheme="majorEastAsia"/>
          <w:b/>
          <w:sz w:val="24"/>
          <w:szCs w:val="24"/>
        </w:rPr>
      </w:pPr>
    </w:p>
    <w:p>
      <w:pPr>
        <w:spacing w:afterLines="100"/>
        <w:jc w:val="center"/>
        <w:rPr>
          <w:rFonts w:ascii="Times New Roman" w:hAnsi="Times New Roman" w:eastAsiaTheme="majorEastAsia"/>
          <w:sz w:val="24"/>
          <w:szCs w:val="24"/>
        </w:rPr>
        <w:sectPr>
          <w:headerReference r:id="rId3" w:type="default"/>
          <w:footerReference r:id="rId4" w:type="default"/>
          <w:footerReference r:id="rId5" w:type="even"/>
          <w:pgSz w:w="11906" w:h="16838"/>
          <w:pgMar w:top="1440" w:right="1800" w:bottom="1440" w:left="1800" w:header="851" w:footer="992" w:gutter="0"/>
          <w:cols w:space="425" w:num="1"/>
          <w:docGrid w:type="lines" w:linePitch="312" w:charSpace="0"/>
        </w:sectPr>
      </w:pPr>
    </w:p>
    <w:p>
      <w:pPr>
        <w:spacing w:afterLines="100"/>
        <w:jc w:val="center"/>
        <w:rPr>
          <w:rFonts w:ascii="Times New Roman" w:hAnsi="Times New Roman" w:eastAsiaTheme="majorEastAsia"/>
          <w:sz w:val="24"/>
          <w:szCs w:val="24"/>
        </w:rPr>
      </w:pPr>
      <w:r>
        <w:rPr>
          <w:rFonts w:ascii="Times New Roman" w:hAnsi="Times New Roman" w:eastAsiaTheme="majorEastAsia"/>
          <w:sz w:val="24"/>
          <w:szCs w:val="24"/>
        </w:rPr>
        <w:t>（此页为增资</w:t>
      </w:r>
      <w:r>
        <w:rPr>
          <w:rFonts w:hint="eastAsia" w:ascii="Times New Roman" w:hAnsi="Times New Roman" w:eastAsiaTheme="majorEastAsia"/>
          <w:sz w:val="24"/>
          <w:szCs w:val="24"/>
        </w:rPr>
        <w:t>扩股</w:t>
      </w:r>
      <w:r>
        <w:rPr>
          <w:rFonts w:ascii="Times New Roman" w:hAnsi="Times New Roman" w:eastAsiaTheme="majorEastAsia"/>
          <w:sz w:val="24"/>
          <w:szCs w:val="24"/>
        </w:rPr>
        <w:t>协议签署页，无正文）</w:t>
      </w:r>
    </w:p>
    <w:p>
      <w:pPr>
        <w:spacing w:afterLines="100"/>
        <w:rPr>
          <w:rFonts w:ascii="Times New Roman" w:hAnsi="Times New Roman" w:eastAsiaTheme="majorEastAsia"/>
          <w:b/>
          <w:sz w:val="24"/>
          <w:szCs w:val="24"/>
        </w:rPr>
      </w:pPr>
    </w:p>
    <w:p>
      <w:pPr>
        <w:spacing w:afterLines="100"/>
        <w:rPr>
          <w:rFonts w:ascii="Times New Roman" w:hAnsi="Times New Roman" w:eastAsiaTheme="majorEastAsia"/>
          <w:b/>
          <w:sz w:val="24"/>
          <w:szCs w:val="24"/>
        </w:rPr>
      </w:pPr>
      <w:r>
        <w:rPr>
          <w:rFonts w:ascii="Times New Roman" w:hAnsi="Times New Roman" w:eastAsiaTheme="majorEastAsia"/>
          <w:b/>
          <w:sz w:val="24"/>
          <w:szCs w:val="24"/>
        </w:rPr>
        <w:t>甲方：</w:t>
      </w:r>
      <w:r>
        <w:rPr>
          <w:rFonts w:ascii="Times New Roman" w:hAnsi="Times New Roman" w:eastAsiaTheme="majorEastAsia"/>
          <w:b/>
          <w:bCs/>
          <w:sz w:val="24"/>
          <w:szCs w:val="24"/>
        </w:rPr>
        <w:t>浙江海正博锐生物制药有限公司</w:t>
      </w:r>
    </w:p>
    <w:p>
      <w:pPr>
        <w:spacing w:afterLines="100"/>
        <w:rPr>
          <w:rFonts w:ascii="Times New Roman" w:hAnsi="Times New Roman" w:eastAsiaTheme="majorEastAsia"/>
          <w:b/>
          <w:sz w:val="24"/>
          <w:szCs w:val="24"/>
        </w:rPr>
      </w:pPr>
      <w:r>
        <w:rPr>
          <w:rFonts w:ascii="Times New Roman" w:hAnsi="Times New Roman" w:eastAsiaTheme="majorEastAsia"/>
          <w:b/>
          <w:sz w:val="24"/>
          <w:szCs w:val="24"/>
        </w:rPr>
        <w:t>法定代表/授权代表人（签字）：</w:t>
      </w:r>
    </w:p>
    <w:p>
      <w:pPr>
        <w:spacing w:afterLines="100"/>
        <w:rPr>
          <w:rFonts w:ascii="Times New Roman" w:hAnsi="Times New Roman" w:eastAsiaTheme="majorEastAsia"/>
          <w:b/>
          <w:sz w:val="24"/>
          <w:szCs w:val="24"/>
        </w:rPr>
      </w:pPr>
      <w:r>
        <w:rPr>
          <w:rFonts w:ascii="Times New Roman" w:hAnsi="Times New Roman" w:eastAsiaTheme="majorEastAsia"/>
          <w:b/>
          <w:sz w:val="24"/>
          <w:szCs w:val="24"/>
        </w:rPr>
        <w:t>签署日期：</w:t>
      </w:r>
    </w:p>
    <w:p>
      <w:pPr>
        <w:spacing w:afterLines="100"/>
        <w:rPr>
          <w:rFonts w:ascii="Times New Roman" w:hAnsi="Times New Roman" w:eastAsiaTheme="majorEastAsia"/>
          <w:b/>
          <w:sz w:val="24"/>
          <w:szCs w:val="24"/>
        </w:rPr>
      </w:pPr>
    </w:p>
    <w:p>
      <w:pPr>
        <w:spacing w:afterLines="100"/>
        <w:rPr>
          <w:rFonts w:ascii="Times New Roman" w:hAnsi="Times New Roman" w:eastAsiaTheme="majorEastAsia"/>
          <w:b/>
          <w:sz w:val="24"/>
          <w:szCs w:val="24"/>
        </w:rPr>
      </w:pPr>
      <w:r>
        <w:rPr>
          <w:rFonts w:ascii="Times New Roman" w:hAnsi="Times New Roman" w:eastAsiaTheme="majorEastAsia"/>
          <w:b/>
          <w:sz w:val="24"/>
          <w:szCs w:val="24"/>
        </w:rPr>
        <w:t>乙方：</w:t>
      </w:r>
    </w:p>
    <w:p>
      <w:pPr>
        <w:spacing w:afterLines="100"/>
        <w:rPr>
          <w:rFonts w:ascii="Times New Roman" w:hAnsi="Times New Roman" w:eastAsiaTheme="majorEastAsia"/>
          <w:b/>
          <w:sz w:val="24"/>
          <w:szCs w:val="24"/>
        </w:rPr>
      </w:pPr>
      <w:r>
        <w:rPr>
          <w:rFonts w:ascii="Times New Roman" w:hAnsi="Times New Roman" w:eastAsiaTheme="majorEastAsia"/>
          <w:b/>
          <w:sz w:val="24"/>
          <w:szCs w:val="24"/>
        </w:rPr>
        <w:t>法定代表/授权代表人（签字）：</w:t>
      </w:r>
    </w:p>
    <w:p>
      <w:pPr>
        <w:spacing w:afterLines="100"/>
        <w:rPr>
          <w:rFonts w:ascii="Times New Roman" w:hAnsi="Times New Roman" w:eastAsiaTheme="majorEastAsia"/>
          <w:b/>
          <w:sz w:val="24"/>
          <w:szCs w:val="24"/>
        </w:rPr>
      </w:pPr>
      <w:r>
        <w:rPr>
          <w:rFonts w:ascii="Times New Roman" w:hAnsi="Times New Roman" w:eastAsiaTheme="majorEastAsia"/>
          <w:b/>
          <w:sz w:val="24"/>
          <w:szCs w:val="24"/>
        </w:rPr>
        <w:t>签署日期：</w:t>
      </w:r>
    </w:p>
    <w:p>
      <w:pPr>
        <w:spacing w:afterLines="100"/>
        <w:rPr>
          <w:rFonts w:ascii="Times New Roman" w:hAnsi="Times New Roman" w:eastAsiaTheme="majorEastAsia"/>
          <w:b/>
          <w:sz w:val="24"/>
          <w:szCs w:val="24"/>
        </w:rPr>
      </w:pPr>
    </w:p>
    <w:p>
      <w:pPr>
        <w:spacing w:afterLines="100"/>
        <w:rPr>
          <w:rFonts w:ascii="Times New Roman" w:hAnsi="Times New Roman" w:eastAsiaTheme="majorEastAsia"/>
          <w:b/>
          <w:sz w:val="24"/>
          <w:szCs w:val="24"/>
        </w:rPr>
      </w:pPr>
      <w:r>
        <w:rPr>
          <w:rFonts w:ascii="Times New Roman" w:hAnsi="Times New Roman" w:eastAsiaTheme="majorEastAsia"/>
          <w:b/>
          <w:sz w:val="24"/>
          <w:szCs w:val="24"/>
        </w:rPr>
        <w:t>鉴证方：台州市产权交易所有限公司</w:t>
      </w:r>
    </w:p>
    <w:p>
      <w:pPr>
        <w:spacing w:afterLines="100"/>
        <w:rPr>
          <w:rFonts w:ascii="Times New Roman" w:hAnsi="Times New Roman" w:eastAsiaTheme="majorEastAsia"/>
          <w:b/>
          <w:sz w:val="24"/>
          <w:szCs w:val="24"/>
        </w:rPr>
      </w:pPr>
      <w:r>
        <w:rPr>
          <w:rFonts w:ascii="Times New Roman" w:hAnsi="Times New Roman" w:eastAsiaTheme="majorEastAsia"/>
          <w:b/>
          <w:sz w:val="24"/>
          <w:szCs w:val="24"/>
        </w:rPr>
        <w:t>法定代表/授权代表人（签字）：</w:t>
      </w:r>
    </w:p>
    <w:p>
      <w:pPr>
        <w:spacing w:afterLines="100"/>
        <w:rPr>
          <w:rFonts w:ascii="Times New Roman" w:hAnsi="Times New Roman" w:eastAsiaTheme="majorEastAsia"/>
          <w:b/>
          <w:sz w:val="24"/>
          <w:szCs w:val="24"/>
        </w:rPr>
      </w:pPr>
      <w:r>
        <w:rPr>
          <w:rFonts w:ascii="Times New Roman" w:hAnsi="Times New Roman" w:eastAsiaTheme="majorEastAsia"/>
          <w:b/>
          <w:sz w:val="24"/>
          <w:szCs w:val="24"/>
        </w:rPr>
        <w:t>鉴证日期：</w:t>
      </w:r>
    </w:p>
    <w:p>
      <w:pPr>
        <w:spacing w:afterLines="100"/>
        <w:rPr>
          <w:rFonts w:ascii="Times New Roman" w:hAnsi="Times New Roman" w:eastAsiaTheme="majorEastAsia"/>
          <w:b/>
          <w:sz w:val="24"/>
          <w:szCs w:val="24"/>
        </w:rPr>
      </w:pPr>
    </w:p>
    <w:p>
      <w:pPr>
        <w:spacing w:afterLines="100"/>
        <w:rPr>
          <w:rFonts w:ascii="Times New Roman" w:hAnsi="Times New Roman" w:eastAsiaTheme="majorEastAsia"/>
          <w:b/>
          <w:sz w:val="24"/>
          <w:szCs w:val="24"/>
        </w:rPr>
      </w:pPr>
      <w:r>
        <w:rPr>
          <w:rFonts w:ascii="Times New Roman" w:hAnsi="Times New Roman" w:eastAsiaTheme="majorEastAsia"/>
          <w:b/>
          <w:sz w:val="24"/>
          <w:szCs w:val="24"/>
        </w:rPr>
        <w:t>签署地：浙江台州</w:t>
      </w:r>
    </w:p>
    <w:p>
      <w:pPr>
        <w:widowControl/>
        <w:spacing w:line="360" w:lineRule="auto"/>
        <w:jc w:val="left"/>
        <w:rPr>
          <w:b/>
          <w:sz w:val="28"/>
          <w:szCs w:val="28"/>
        </w:rPr>
      </w:pPr>
    </w:p>
    <w:p>
      <w:pPr>
        <w:spacing w:line="360" w:lineRule="auto"/>
        <w:rPr>
          <w:b/>
          <w:sz w:val="28"/>
          <w:szCs w:val="28"/>
        </w:rPr>
      </w:pPr>
    </w:p>
    <w:p>
      <w:pPr>
        <w:spacing w:line="360" w:lineRule="auto"/>
        <w:rPr>
          <w:b/>
          <w:sz w:val="28"/>
          <w:szCs w:val="28"/>
        </w:rPr>
      </w:pPr>
    </w:p>
    <w:sectPr>
      <w:headerReference r:id="rId6" w:type="default"/>
      <w:footerReference r:id="rId7" w:type="even"/>
      <w:pgSz w:w="11906" w:h="16838"/>
      <w:pgMar w:top="1440" w:right="1418" w:bottom="1440"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方正姚体">
    <w:panose1 w:val="02010601030101010101"/>
    <w:charset w:val="86"/>
    <w:family w:val="auto"/>
    <w:pitch w:val="default"/>
    <w:sig w:usb0="00000003"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8C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61978843"/>
    </w:sdtPr>
    <w:sdtContent>
      <w:p>
        <w:pPr>
          <w:pStyle w:val="12"/>
          <w:jc w:val="center"/>
        </w:pPr>
        <w:r>
          <w:fldChar w:fldCharType="begin"/>
        </w:r>
        <w:r>
          <w:instrText xml:space="preserve">PAGE   \* MERGEFORMAT</w:instrText>
        </w:r>
        <w:r>
          <w:fldChar w:fldCharType="separate"/>
        </w:r>
        <w:r>
          <w:rPr>
            <w:lang w:val="zh-CN"/>
          </w:rPr>
          <w:t>3</w:t>
        </w:r>
        <w:r>
          <w:rPr>
            <w:lang w:val="zh-CN"/>
          </w:rPr>
          <w:fldChar w:fldCharType="end"/>
        </w:r>
      </w:p>
    </w:sdtContent>
  </w:sdt>
  <w:p>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center" w:y="1"/>
      <w:rPr>
        <w:rStyle w:val="21"/>
      </w:rPr>
    </w:pPr>
    <w:r>
      <w:rPr>
        <w:rStyle w:val="21"/>
      </w:rPr>
      <w:fldChar w:fldCharType="begin"/>
    </w:r>
    <w:r>
      <w:rPr>
        <w:rStyle w:val="21"/>
      </w:rPr>
      <w:instrText xml:space="preserve">PAGE  </w:instrText>
    </w:r>
    <w:r>
      <w:rPr>
        <w:rStyle w:val="21"/>
      </w:rPr>
      <w:fldChar w:fldCharType="end"/>
    </w:r>
  </w:p>
  <w:p>
    <w:pPr>
      <w:pStyle w:val="1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center" w:y="1"/>
      <w:rPr>
        <w:rStyle w:val="21"/>
      </w:rPr>
    </w:pPr>
    <w:r>
      <w:rPr>
        <w:rStyle w:val="21"/>
      </w:rPr>
      <w:fldChar w:fldCharType="begin"/>
    </w:r>
    <w:r>
      <w:rPr>
        <w:rStyle w:val="21"/>
      </w:rPr>
      <w:instrText xml:space="preserve">PAGE  </w:instrText>
    </w:r>
    <w:r>
      <w:rPr>
        <w:rStyle w:val="21"/>
      </w:rPr>
      <w:fldChar w:fldCharType="end"/>
    </w:r>
  </w:p>
  <w:p>
    <w:pPr>
      <w:pStyle w:val="1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33DE493"/>
    <w:multiLevelType w:val="singleLevel"/>
    <w:tmpl w:val="A33DE493"/>
    <w:lvl w:ilvl="0" w:tentative="0">
      <w:start w:val="1"/>
      <w:numFmt w:val="decimalEnclosedCircleChinese"/>
      <w:suff w:val="nothing"/>
      <w:lvlText w:val="%1　"/>
      <w:lvlJc w:val="left"/>
      <w:pPr>
        <w:ind w:left="0" w:firstLine="400"/>
      </w:pPr>
      <w:rPr>
        <w:rFonts w:hint="eastAsia"/>
      </w:rPr>
    </w:lvl>
  </w:abstractNum>
  <w:abstractNum w:abstractNumId="1">
    <w:nsid w:val="0EBA1922"/>
    <w:multiLevelType w:val="multilevel"/>
    <w:tmpl w:val="0EBA1922"/>
    <w:lvl w:ilvl="0" w:tentative="0">
      <w:start w:val="1"/>
      <w:numFmt w:val="decimal"/>
      <w:lvlText w:val="%1."/>
      <w:lvlJc w:val="left"/>
      <w:pPr>
        <w:tabs>
          <w:tab w:val="left" w:pos="780"/>
        </w:tabs>
        <w:ind w:left="780" w:hanging="360"/>
      </w:pPr>
      <w:rPr>
        <w:rFonts w:hint="default" w:cs="Times New Roman"/>
        <w:color w:val="000000"/>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2">
    <w:nsid w:val="15F04B3D"/>
    <w:multiLevelType w:val="multilevel"/>
    <w:tmpl w:val="15F04B3D"/>
    <w:lvl w:ilvl="0" w:tentative="0">
      <w:start w:val="1"/>
      <w:numFmt w:val="decimal"/>
      <w:lvlText w:val="%1."/>
      <w:lvlJc w:val="left"/>
      <w:pPr>
        <w:tabs>
          <w:tab w:val="left" w:pos="680"/>
        </w:tabs>
        <w:ind w:firstLine="397"/>
      </w:pPr>
      <w:rPr>
        <w:rFonts w:hint="default" w:cs="Times New Roman"/>
        <w:color w:val="000000"/>
      </w:rPr>
    </w:lvl>
    <w:lvl w:ilvl="1" w:tentative="0">
      <w:start w:val="1"/>
      <w:numFmt w:val="lowerLetter"/>
      <w:lvlText w:val="%2)"/>
      <w:lvlJc w:val="left"/>
      <w:pPr>
        <w:tabs>
          <w:tab w:val="left" w:pos="1260"/>
        </w:tabs>
        <w:ind w:left="1260" w:hanging="420"/>
      </w:pPr>
      <w:rPr>
        <w:rFonts w:cs="Times New Roman"/>
      </w:rPr>
    </w:lvl>
    <w:lvl w:ilvl="2" w:tentative="0">
      <w:start w:val="1"/>
      <w:numFmt w:val="lowerRoman"/>
      <w:lvlText w:val="%3."/>
      <w:lvlJc w:val="right"/>
      <w:pPr>
        <w:tabs>
          <w:tab w:val="left" w:pos="1680"/>
        </w:tabs>
        <w:ind w:left="1680" w:hanging="420"/>
      </w:pPr>
      <w:rPr>
        <w:rFonts w:cs="Times New Roman"/>
      </w:rPr>
    </w:lvl>
    <w:lvl w:ilvl="3" w:tentative="0">
      <w:start w:val="1"/>
      <w:numFmt w:val="decimal"/>
      <w:lvlText w:val="%4."/>
      <w:lvlJc w:val="left"/>
      <w:pPr>
        <w:tabs>
          <w:tab w:val="left" w:pos="2100"/>
        </w:tabs>
        <w:ind w:left="2100" w:hanging="420"/>
      </w:pPr>
      <w:rPr>
        <w:rFonts w:cs="Times New Roman"/>
      </w:rPr>
    </w:lvl>
    <w:lvl w:ilvl="4" w:tentative="0">
      <w:start w:val="1"/>
      <w:numFmt w:val="lowerLetter"/>
      <w:lvlText w:val="%5)"/>
      <w:lvlJc w:val="left"/>
      <w:pPr>
        <w:tabs>
          <w:tab w:val="left" w:pos="2520"/>
        </w:tabs>
        <w:ind w:left="2520" w:hanging="420"/>
      </w:pPr>
      <w:rPr>
        <w:rFonts w:cs="Times New Roman"/>
      </w:rPr>
    </w:lvl>
    <w:lvl w:ilvl="5" w:tentative="0">
      <w:start w:val="1"/>
      <w:numFmt w:val="lowerRoman"/>
      <w:lvlText w:val="%6."/>
      <w:lvlJc w:val="right"/>
      <w:pPr>
        <w:tabs>
          <w:tab w:val="left" w:pos="2940"/>
        </w:tabs>
        <w:ind w:left="2940" w:hanging="420"/>
      </w:pPr>
      <w:rPr>
        <w:rFonts w:cs="Times New Roman"/>
      </w:rPr>
    </w:lvl>
    <w:lvl w:ilvl="6" w:tentative="0">
      <w:start w:val="1"/>
      <w:numFmt w:val="decimal"/>
      <w:lvlText w:val="%7."/>
      <w:lvlJc w:val="left"/>
      <w:pPr>
        <w:tabs>
          <w:tab w:val="left" w:pos="3360"/>
        </w:tabs>
        <w:ind w:left="3360" w:hanging="420"/>
      </w:pPr>
      <w:rPr>
        <w:rFonts w:cs="Times New Roman"/>
      </w:rPr>
    </w:lvl>
    <w:lvl w:ilvl="7" w:tentative="0">
      <w:start w:val="1"/>
      <w:numFmt w:val="lowerLetter"/>
      <w:lvlText w:val="%8)"/>
      <w:lvlJc w:val="left"/>
      <w:pPr>
        <w:tabs>
          <w:tab w:val="left" w:pos="3780"/>
        </w:tabs>
        <w:ind w:left="3780" w:hanging="420"/>
      </w:pPr>
      <w:rPr>
        <w:rFonts w:cs="Times New Roman"/>
      </w:rPr>
    </w:lvl>
    <w:lvl w:ilvl="8" w:tentative="0">
      <w:start w:val="1"/>
      <w:numFmt w:val="lowerRoman"/>
      <w:lvlText w:val="%9."/>
      <w:lvlJc w:val="right"/>
      <w:pPr>
        <w:tabs>
          <w:tab w:val="left" w:pos="4200"/>
        </w:tabs>
        <w:ind w:left="4200" w:hanging="420"/>
      </w:pPr>
      <w:rPr>
        <w:rFonts w:cs="Times New Roman"/>
      </w:rPr>
    </w:lvl>
  </w:abstractNum>
  <w:abstractNum w:abstractNumId="3">
    <w:nsid w:val="35843FF4"/>
    <w:multiLevelType w:val="multilevel"/>
    <w:tmpl w:val="35843FF4"/>
    <w:lvl w:ilvl="0" w:tentative="0">
      <w:start w:val="1"/>
      <w:numFmt w:val="japaneseCounting"/>
      <w:lvlText w:val="%1、"/>
      <w:lvlJc w:val="left"/>
      <w:pPr>
        <w:tabs>
          <w:tab w:val="left" w:pos="720"/>
        </w:tabs>
        <w:ind w:left="720" w:hanging="720"/>
      </w:pPr>
      <w:rPr>
        <w:rFonts w:hint="default" w:hAnsi="宋体"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4">
    <w:nsid w:val="4E68286C"/>
    <w:multiLevelType w:val="multilevel"/>
    <w:tmpl w:val="4E68286C"/>
    <w:lvl w:ilvl="0" w:tentative="0">
      <w:start w:val="1"/>
      <w:numFmt w:val="chineseCountingThousand"/>
      <w:lvlText w:val="(%1)"/>
      <w:lvlJc w:val="left"/>
      <w:pPr>
        <w:tabs>
          <w:tab w:val="left" w:pos="1320"/>
        </w:tabs>
        <w:ind w:left="1320" w:hanging="420"/>
      </w:pPr>
      <w:rPr>
        <w:rFonts w:hint="default" w:cs="Times New Roman"/>
        <w:b w:val="0"/>
        <w:color w:val="000000"/>
        <w:sz w:val="21"/>
        <w:szCs w:val="21"/>
      </w:rPr>
    </w:lvl>
    <w:lvl w:ilvl="1" w:tentative="0">
      <w:start w:val="1"/>
      <w:numFmt w:val="decimal"/>
      <w:lvlText w:val="%2."/>
      <w:lvlJc w:val="left"/>
      <w:pPr>
        <w:tabs>
          <w:tab w:val="left" w:pos="1116"/>
        </w:tabs>
        <w:ind w:firstLine="454"/>
      </w:pPr>
      <w:rPr>
        <w:rFonts w:hint="default" w:cs="Times New Roman"/>
        <w:b w:val="0"/>
        <w:color w:val="000000"/>
        <w:sz w:val="24"/>
        <w:szCs w:val="24"/>
      </w:rPr>
    </w:lvl>
    <w:lvl w:ilvl="2" w:tentative="0">
      <w:start w:val="2"/>
      <w:numFmt w:val="japaneseCounting"/>
      <w:lvlText w:val="（%3）"/>
      <w:lvlJc w:val="left"/>
      <w:pPr>
        <w:tabs>
          <w:tab w:val="left" w:pos="1740"/>
        </w:tabs>
        <w:ind w:left="1740" w:hanging="720"/>
      </w:pPr>
      <w:rPr>
        <w:rFonts w:hint="default" w:cs="Times New Roman"/>
      </w:rPr>
    </w:lvl>
    <w:lvl w:ilvl="3" w:tentative="0">
      <w:start w:val="2009"/>
      <w:numFmt w:val="decimal"/>
      <w:lvlText w:val="%4年"/>
      <w:lvlJc w:val="left"/>
      <w:pPr>
        <w:tabs>
          <w:tab w:val="left" w:pos="7170"/>
        </w:tabs>
        <w:ind w:left="7170" w:hanging="690"/>
      </w:pPr>
      <w:rPr>
        <w:rFonts w:hint="default" w:cs="Times New Roman"/>
      </w:rPr>
    </w:lvl>
    <w:lvl w:ilvl="4" w:tentative="0">
      <w:start w:val="1"/>
      <w:numFmt w:val="decimal"/>
      <w:lvlText w:val="（%5）"/>
      <w:lvlJc w:val="left"/>
      <w:pPr>
        <w:tabs>
          <w:tab w:val="left" w:pos="2580"/>
        </w:tabs>
        <w:ind w:left="2580" w:hanging="720"/>
      </w:pPr>
      <w:rPr>
        <w:rFonts w:hint="default" w:hAnsi="宋体" w:cs="Times New Roman"/>
      </w:rPr>
    </w:lvl>
    <w:lvl w:ilvl="5" w:tentative="0">
      <w:start w:val="1"/>
      <w:numFmt w:val="lowerRoman"/>
      <w:lvlText w:val="%6."/>
      <w:lvlJc w:val="right"/>
      <w:pPr>
        <w:tabs>
          <w:tab w:val="left" w:pos="2700"/>
        </w:tabs>
        <w:ind w:left="2700" w:hanging="420"/>
      </w:pPr>
      <w:rPr>
        <w:rFonts w:cs="Times New Roman"/>
      </w:rPr>
    </w:lvl>
    <w:lvl w:ilvl="6" w:tentative="0">
      <w:start w:val="1"/>
      <w:numFmt w:val="decimal"/>
      <w:lvlText w:val="%7."/>
      <w:lvlJc w:val="left"/>
      <w:pPr>
        <w:tabs>
          <w:tab w:val="left" w:pos="3120"/>
        </w:tabs>
        <w:ind w:left="3120" w:hanging="420"/>
      </w:pPr>
      <w:rPr>
        <w:rFonts w:cs="Times New Roman"/>
      </w:rPr>
    </w:lvl>
    <w:lvl w:ilvl="7" w:tentative="0">
      <w:start w:val="1"/>
      <w:numFmt w:val="lowerLetter"/>
      <w:lvlText w:val="%8)"/>
      <w:lvlJc w:val="left"/>
      <w:pPr>
        <w:tabs>
          <w:tab w:val="left" w:pos="3540"/>
        </w:tabs>
        <w:ind w:left="3540" w:hanging="420"/>
      </w:pPr>
      <w:rPr>
        <w:rFonts w:cs="Times New Roman"/>
      </w:rPr>
    </w:lvl>
    <w:lvl w:ilvl="8" w:tentative="0">
      <w:start w:val="1"/>
      <w:numFmt w:val="lowerRoman"/>
      <w:lvlText w:val="%9."/>
      <w:lvlJc w:val="right"/>
      <w:pPr>
        <w:tabs>
          <w:tab w:val="left" w:pos="3960"/>
        </w:tabs>
        <w:ind w:left="3960" w:hanging="420"/>
      </w:pPr>
      <w:rPr>
        <w:rFonts w:cs="Times New Roman"/>
      </w:rPr>
    </w:lvl>
  </w:abstractNum>
  <w:abstractNum w:abstractNumId="5">
    <w:nsid w:val="5643E8BD"/>
    <w:multiLevelType w:val="multilevel"/>
    <w:tmpl w:val="5643E8BD"/>
    <w:lvl w:ilvl="0" w:tentative="0">
      <w:start w:val="1"/>
      <w:numFmt w:val="decimal"/>
      <w:lvlText w:val="%1、"/>
      <w:lvlJc w:val="left"/>
      <w:pPr>
        <w:ind w:left="247" w:hanging="247"/>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564BF049"/>
    <w:multiLevelType w:val="singleLevel"/>
    <w:tmpl w:val="564BF049"/>
    <w:lvl w:ilvl="0" w:tentative="0">
      <w:start w:val="7"/>
      <w:numFmt w:val="chineseCounting"/>
      <w:suff w:val="nothing"/>
      <w:lvlText w:val="%1、"/>
      <w:lvlJc w:val="left"/>
    </w:lvl>
  </w:abstractNum>
  <w:abstractNum w:abstractNumId="7">
    <w:nsid w:val="67706FDB"/>
    <w:multiLevelType w:val="multilevel"/>
    <w:tmpl w:val="67706FDB"/>
    <w:lvl w:ilvl="0" w:tentative="0">
      <w:start w:val="1"/>
      <w:numFmt w:val="japaneseCounting"/>
      <w:lvlText w:val="%1、"/>
      <w:lvlJc w:val="left"/>
      <w:pPr>
        <w:ind w:left="1655" w:hanging="1095"/>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8">
    <w:nsid w:val="6E3D5E52"/>
    <w:multiLevelType w:val="multilevel"/>
    <w:tmpl w:val="6E3D5E52"/>
    <w:lvl w:ilvl="0" w:tentative="0">
      <w:start w:val="3"/>
      <w:numFmt w:val="japaneseCounting"/>
      <w:lvlText w:val="%1、"/>
      <w:lvlJc w:val="left"/>
      <w:pPr>
        <w:ind w:left="1200" w:hanging="7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8"/>
  </w:num>
  <w:num w:numId="2">
    <w:abstractNumId w:val="3"/>
  </w:num>
  <w:num w:numId="3">
    <w:abstractNumId w:val="2"/>
  </w:num>
  <w:num w:numId="4">
    <w:abstractNumId w:val="1"/>
  </w:num>
  <w:num w:numId="5">
    <w:abstractNumId w:val="4"/>
  </w:num>
  <w:num w:numId="6">
    <w:abstractNumId w:val="0"/>
  </w:num>
  <w:num w:numId="7">
    <w:abstractNumId w:val="7"/>
  </w:num>
  <w:num w:numId="8">
    <w:abstractNumId w:val="6"/>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C062D"/>
    <w:rsid w:val="00011453"/>
    <w:rsid w:val="0001583B"/>
    <w:rsid w:val="000174AA"/>
    <w:rsid w:val="000178EF"/>
    <w:rsid w:val="00027FA4"/>
    <w:rsid w:val="000325C3"/>
    <w:rsid w:val="00044182"/>
    <w:rsid w:val="00044DD6"/>
    <w:rsid w:val="00045748"/>
    <w:rsid w:val="000472CF"/>
    <w:rsid w:val="00047F88"/>
    <w:rsid w:val="000543F1"/>
    <w:rsid w:val="00054D77"/>
    <w:rsid w:val="00055327"/>
    <w:rsid w:val="000628A1"/>
    <w:rsid w:val="00064643"/>
    <w:rsid w:val="00083140"/>
    <w:rsid w:val="0008335C"/>
    <w:rsid w:val="00093B5A"/>
    <w:rsid w:val="000960F1"/>
    <w:rsid w:val="0009716B"/>
    <w:rsid w:val="000977DE"/>
    <w:rsid w:val="000A0227"/>
    <w:rsid w:val="000A0A7A"/>
    <w:rsid w:val="000A5606"/>
    <w:rsid w:val="000B2835"/>
    <w:rsid w:val="000B5975"/>
    <w:rsid w:val="000B6621"/>
    <w:rsid w:val="000C3C26"/>
    <w:rsid w:val="000C3CBF"/>
    <w:rsid w:val="000D6530"/>
    <w:rsid w:val="000D68E6"/>
    <w:rsid w:val="000E19F1"/>
    <w:rsid w:val="000E5972"/>
    <w:rsid w:val="000E5BDB"/>
    <w:rsid w:val="000E65CB"/>
    <w:rsid w:val="000E70D4"/>
    <w:rsid w:val="000F3F55"/>
    <w:rsid w:val="000F407E"/>
    <w:rsid w:val="000F500A"/>
    <w:rsid w:val="00103AD3"/>
    <w:rsid w:val="00105E84"/>
    <w:rsid w:val="0010781E"/>
    <w:rsid w:val="00116170"/>
    <w:rsid w:val="001256FA"/>
    <w:rsid w:val="001274DB"/>
    <w:rsid w:val="001277A3"/>
    <w:rsid w:val="001302F7"/>
    <w:rsid w:val="00134152"/>
    <w:rsid w:val="00136C61"/>
    <w:rsid w:val="001418F5"/>
    <w:rsid w:val="0014364C"/>
    <w:rsid w:val="00153CDB"/>
    <w:rsid w:val="00154787"/>
    <w:rsid w:val="00156C1A"/>
    <w:rsid w:val="00162DAE"/>
    <w:rsid w:val="00163778"/>
    <w:rsid w:val="001669C5"/>
    <w:rsid w:val="00170533"/>
    <w:rsid w:val="00171018"/>
    <w:rsid w:val="0017110F"/>
    <w:rsid w:val="001732CD"/>
    <w:rsid w:val="001743B2"/>
    <w:rsid w:val="00180AB4"/>
    <w:rsid w:val="00182320"/>
    <w:rsid w:val="001836F0"/>
    <w:rsid w:val="00185B9B"/>
    <w:rsid w:val="00187A41"/>
    <w:rsid w:val="00187C70"/>
    <w:rsid w:val="00194865"/>
    <w:rsid w:val="00195F78"/>
    <w:rsid w:val="00196069"/>
    <w:rsid w:val="0019704E"/>
    <w:rsid w:val="001A057A"/>
    <w:rsid w:val="001A1FE1"/>
    <w:rsid w:val="001A4B68"/>
    <w:rsid w:val="001A4DEB"/>
    <w:rsid w:val="001B5832"/>
    <w:rsid w:val="001C136E"/>
    <w:rsid w:val="001C24FC"/>
    <w:rsid w:val="001C3A0D"/>
    <w:rsid w:val="001C42A3"/>
    <w:rsid w:val="001C449A"/>
    <w:rsid w:val="001D026A"/>
    <w:rsid w:val="001D0648"/>
    <w:rsid w:val="001E0181"/>
    <w:rsid w:val="001E1042"/>
    <w:rsid w:val="001E4BE4"/>
    <w:rsid w:val="001E5B3D"/>
    <w:rsid w:val="001F5B14"/>
    <w:rsid w:val="001F6319"/>
    <w:rsid w:val="0021131D"/>
    <w:rsid w:val="00213550"/>
    <w:rsid w:val="00215D11"/>
    <w:rsid w:val="00222BB3"/>
    <w:rsid w:val="00224863"/>
    <w:rsid w:val="00227403"/>
    <w:rsid w:val="00231324"/>
    <w:rsid w:val="002356DA"/>
    <w:rsid w:val="00235C38"/>
    <w:rsid w:val="00236C2B"/>
    <w:rsid w:val="00243E13"/>
    <w:rsid w:val="00252512"/>
    <w:rsid w:val="002531BC"/>
    <w:rsid w:val="00254BE6"/>
    <w:rsid w:val="00257968"/>
    <w:rsid w:val="00261B39"/>
    <w:rsid w:val="0026245B"/>
    <w:rsid w:val="0026360D"/>
    <w:rsid w:val="002670A8"/>
    <w:rsid w:val="00272B6B"/>
    <w:rsid w:val="002766D0"/>
    <w:rsid w:val="0027676C"/>
    <w:rsid w:val="00280AAA"/>
    <w:rsid w:val="00281077"/>
    <w:rsid w:val="00281FDC"/>
    <w:rsid w:val="002908F2"/>
    <w:rsid w:val="002909AA"/>
    <w:rsid w:val="002911C3"/>
    <w:rsid w:val="00291818"/>
    <w:rsid w:val="00296FF0"/>
    <w:rsid w:val="002A0963"/>
    <w:rsid w:val="002A36DD"/>
    <w:rsid w:val="002A6BCB"/>
    <w:rsid w:val="002B3192"/>
    <w:rsid w:val="002C3307"/>
    <w:rsid w:val="002C5E2B"/>
    <w:rsid w:val="002D0439"/>
    <w:rsid w:val="002D0523"/>
    <w:rsid w:val="002D2F5D"/>
    <w:rsid w:val="002D597E"/>
    <w:rsid w:val="002D64C9"/>
    <w:rsid w:val="002E3D69"/>
    <w:rsid w:val="002E4BC0"/>
    <w:rsid w:val="002F0261"/>
    <w:rsid w:val="002F2B0E"/>
    <w:rsid w:val="002F3C4B"/>
    <w:rsid w:val="0030024F"/>
    <w:rsid w:val="0030065E"/>
    <w:rsid w:val="00300FD4"/>
    <w:rsid w:val="003026B5"/>
    <w:rsid w:val="00305346"/>
    <w:rsid w:val="003077F0"/>
    <w:rsid w:val="00311AA7"/>
    <w:rsid w:val="003120DE"/>
    <w:rsid w:val="00313A42"/>
    <w:rsid w:val="003140B9"/>
    <w:rsid w:val="00314CB9"/>
    <w:rsid w:val="003345D4"/>
    <w:rsid w:val="0034231A"/>
    <w:rsid w:val="003449BB"/>
    <w:rsid w:val="00344A75"/>
    <w:rsid w:val="00347953"/>
    <w:rsid w:val="003538EB"/>
    <w:rsid w:val="00357AC9"/>
    <w:rsid w:val="00361257"/>
    <w:rsid w:val="00362872"/>
    <w:rsid w:val="00363A79"/>
    <w:rsid w:val="003704A7"/>
    <w:rsid w:val="00370946"/>
    <w:rsid w:val="00370A2D"/>
    <w:rsid w:val="003750A3"/>
    <w:rsid w:val="003760D4"/>
    <w:rsid w:val="003803AD"/>
    <w:rsid w:val="00380A62"/>
    <w:rsid w:val="0038532E"/>
    <w:rsid w:val="00390354"/>
    <w:rsid w:val="0039163E"/>
    <w:rsid w:val="00393AD5"/>
    <w:rsid w:val="00397AC3"/>
    <w:rsid w:val="003A5A9C"/>
    <w:rsid w:val="003A7003"/>
    <w:rsid w:val="003A74BC"/>
    <w:rsid w:val="003A7735"/>
    <w:rsid w:val="003B5FE4"/>
    <w:rsid w:val="003B6DB6"/>
    <w:rsid w:val="003B79C6"/>
    <w:rsid w:val="003C40D8"/>
    <w:rsid w:val="003D426E"/>
    <w:rsid w:val="003E1DEE"/>
    <w:rsid w:val="003E562D"/>
    <w:rsid w:val="003F2695"/>
    <w:rsid w:val="003F29E1"/>
    <w:rsid w:val="003F2DEA"/>
    <w:rsid w:val="003F2EED"/>
    <w:rsid w:val="003F7050"/>
    <w:rsid w:val="00400E67"/>
    <w:rsid w:val="0040498E"/>
    <w:rsid w:val="00405D4B"/>
    <w:rsid w:val="0041024D"/>
    <w:rsid w:val="00413AF3"/>
    <w:rsid w:val="00414257"/>
    <w:rsid w:val="00416A26"/>
    <w:rsid w:val="00417FBB"/>
    <w:rsid w:val="00420596"/>
    <w:rsid w:val="00421256"/>
    <w:rsid w:val="004238EA"/>
    <w:rsid w:val="004253F3"/>
    <w:rsid w:val="004261A8"/>
    <w:rsid w:val="004273CF"/>
    <w:rsid w:val="00437BEE"/>
    <w:rsid w:val="00440662"/>
    <w:rsid w:val="00441BDC"/>
    <w:rsid w:val="00441CDC"/>
    <w:rsid w:val="00444FD1"/>
    <w:rsid w:val="004509DE"/>
    <w:rsid w:val="00457074"/>
    <w:rsid w:val="00457D79"/>
    <w:rsid w:val="00466BE1"/>
    <w:rsid w:val="00467DE3"/>
    <w:rsid w:val="0047121E"/>
    <w:rsid w:val="00471294"/>
    <w:rsid w:val="00472FE6"/>
    <w:rsid w:val="00474C2C"/>
    <w:rsid w:val="00482D69"/>
    <w:rsid w:val="00484001"/>
    <w:rsid w:val="0048437B"/>
    <w:rsid w:val="004848A4"/>
    <w:rsid w:val="00490023"/>
    <w:rsid w:val="0049193B"/>
    <w:rsid w:val="00497733"/>
    <w:rsid w:val="004A4758"/>
    <w:rsid w:val="004B051C"/>
    <w:rsid w:val="004B4CE4"/>
    <w:rsid w:val="004C15C6"/>
    <w:rsid w:val="004C396B"/>
    <w:rsid w:val="004C49EC"/>
    <w:rsid w:val="004C4BBB"/>
    <w:rsid w:val="004C78E6"/>
    <w:rsid w:val="004D0865"/>
    <w:rsid w:val="004E0B87"/>
    <w:rsid w:val="004E4565"/>
    <w:rsid w:val="004E64EF"/>
    <w:rsid w:val="004E67BC"/>
    <w:rsid w:val="004E75E5"/>
    <w:rsid w:val="004F0115"/>
    <w:rsid w:val="004F0ACD"/>
    <w:rsid w:val="004F140A"/>
    <w:rsid w:val="004F2029"/>
    <w:rsid w:val="004F2D37"/>
    <w:rsid w:val="004F40B0"/>
    <w:rsid w:val="00500007"/>
    <w:rsid w:val="005012FA"/>
    <w:rsid w:val="00501BF8"/>
    <w:rsid w:val="00504186"/>
    <w:rsid w:val="00505F66"/>
    <w:rsid w:val="00507204"/>
    <w:rsid w:val="005122A1"/>
    <w:rsid w:val="005148BF"/>
    <w:rsid w:val="005158EE"/>
    <w:rsid w:val="0051632A"/>
    <w:rsid w:val="005179EC"/>
    <w:rsid w:val="00530825"/>
    <w:rsid w:val="0053189A"/>
    <w:rsid w:val="00532343"/>
    <w:rsid w:val="0053258B"/>
    <w:rsid w:val="00537210"/>
    <w:rsid w:val="00541706"/>
    <w:rsid w:val="00542C2E"/>
    <w:rsid w:val="00543B86"/>
    <w:rsid w:val="005538D5"/>
    <w:rsid w:val="00555590"/>
    <w:rsid w:val="00556FDF"/>
    <w:rsid w:val="0055701F"/>
    <w:rsid w:val="00557A9F"/>
    <w:rsid w:val="00563963"/>
    <w:rsid w:val="00564475"/>
    <w:rsid w:val="0057134C"/>
    <w:rsid w:val="00574BFD"/>
    <w:rsid w:val="00577FB1"/>
    <w:rsid w:val="00584839"/>
    <w:rsid w:val="0059254E"/>
    <w:rsid w:val="005A0B3B"/>
    <w:rsid w:val="005A0F2E"/>
    <w:rsid w:val="005A773B"/>
    <w:rsid w:val="005A7C0D"/>
    <w:rsid w:val="005B2F82"/>
    <w:rsid w:val="005B7DFB"/>
    <w:rsid w:val="005C02C4"/>
    <w:rsid w:val="005C0660"/>
    <w:rsid w:val="005C3460"/>
    <w:rsid w:val="005C44E6"/>
    <w:rsid w:val="005C4B8C"/>
    <w:rsid w:val="005C59E6"/>
    <w:rsid w:val="005C6365"/>
    <w:rsid w:val="005D0972"/>
    <w:rsid w:val="005D0D13"/>
    <w:rsid w:val="005E2574"/>
    <w:rsid w:val="005E2811"/>
    <w:rsid w:val="005E2F83"/>
    <w:rsid w:val="005E3D8F"/>
    <w:rsid w:val="005E3E10"/>
    <w:rsid w:val="005E4883"/>
    <w:rsid w:val="005F1302"/>
    <w:rsid w:val="005F46F7"/>
    <w:rsid w:val="005F7373"/>
    <w:rsid w:val="00600E8C"/>
    <w:rsid w:val="00603B09"/>
    <w:rsid w:val="00605BBB"/>
    <w:rsid w:val="00614806"/>
    <w:rsid w:val="0061644A"/>
    <w:rsid w:val="006179A5"/>
    <w:rsid w:val="00624276"/>
    <w:rsid w:val="0062584F"/>
    <w:rsid w:val="00625908"/>
    <w:rsid w:val="00626421"/>
    <w:rsid w:val="00626F21"/>
    <w:rsid w:val="00640616"/>
    <w:rsid w:val="00645FA9"/>
    <w:rsid w:val="00646200"/>
    <w:rsid w:val="006626BD"/>
    <w:rsid w:val="00665FA6"/>
    <w:rsid w:val="00680B37"/>
    <w:rsid w:val="00680DB1"/>
    <w:rsid w:val="00692B45"/>
    <w:rsid w:val="006930BE"/>
    <w:rsid w:val="00693114"/>
    <w:rsid w:val="00694992"/>
    <w:rsid w:val="00694AE9"/>
    <w:rsid w:val="006A355D"/>
    <w:rsid w:val="006A4C45"/>
    <w:rsid w:val="006B2744"/>
    <w:rsid w:val="006B3BCF"/>
    <w:rsid w:val="006B4860"/>
    <w:rsid w:val="006B4E68"/>
    <w:rsid w:val="006C6E0C"/>
    <w:rsid w:val="006D2684"/>
    <w:rsid w:val="006D3CB2"/>
    <w:rsid w:val="006D5780"/>
    <w:rsid w:val="006D61BE"/>
    <w:rsid w:val="006E0D9D"/>
    <w:rsid w:val="006E461A"/>
    <w:rsid w:val="006F01D4"/>
    <w:rsid w:val="006F0CA3"/>
    <w:rsid w:val="006F2713"/>
    <w:rsid w:val="006F64E5"/>
    <w:rsid w:val="006F7EEC"/>
    <w:rsid w:val="0070706B"/>
    <w:rsid w:val="007072D8"/>
    <w:rsid w:val="00710ECE"/>
    <w:rsid w:val="007120FB"/>
    <w:rsid w:val="0071314A"/>
    <w:rsid w:val="00720578"/>
    <w:rsid w:val="0073544E"/>
    <w:rsid w:val="00743588"/>
    <w:rsid w:val="0074557F"/>
    <w:rsid w:val="00745F4A"/>
    <w:rsid w:val="007475A2"/>
    <w:rsid w:val="00747ED1"/>
    <w:rsid w:val="007517EC"/>
    <w:rsid w:val="00752097"/>
    <w:rsid w:val="00752C5F"/>
    <w:rsid w:val="0075323A"/>
    <w:rsid w:val="00753483"/>
    <w:rsid w:val="007560BD"/>
    <w:rsid w:val="00760DB3"/>
    <w:rsid w:val="00760DD5"/>
    <w:rsid w:val="00761F47"/>
    <w:rsid w:val="007657E2"/>
    <w:rsid w:val="00767C54"/>
    <w:rsid w:val="00767CF1"/>
    <w:rsid w:val="00771B0D"/>
    <w:rsid w:val="0077711C"/>
    <w:rsid w:val="00787253"/>
    <w:rsid w:val="00790E80"/>
    <w:rsid w:val="007913BF"/>
    <w:rsid w:val="007953C8"/>
    <w:rsid w:val="007A175E"/>
    <w:rsid w:val="007A300A"/>
    <w:rsid w:val="007A40DD"/>
    <w:rsid w:val="007B29EA"/>
    <w:rsid w:val="007B41E8"/>
    <w:rsid w:val="007B70FF"/>
    <w:rsid w:val="007C330A"/>
    <w:rsid w:val="007C370D"/>
    <w:rsid w:val="007C3775"/>
    <w:rsid w:val="007C7B52"/>
    <w:rsid w:val="007D279C"/>
    <w:rsid w:val="007E4D02"/>
    <w:rsid w:val="007E6DCA"/>
    <w:rsid w:val="007E74B0"/>
    <w:rsid w:val="007E759B"/>
    <w:rsid w:val="007E75E5"/>
    <w:rsid w:val="007F5D5A"/>
    <w:rsid w:val="008006DE"/>
    <w:rsid w:val="008039C6"/>
    <w:rsid w:val="00803F03"/>
    <w:rsid w:val="0080402E"/>
    <w:rsid w:val="00804C75"/>
    <w:rsid w:val="00805532"/>
    <w:rsid w:val="008055D4"/>
    <w:rsid w:val="00805BDC"/>
    <w:rsid w:val="00812138"/>
    <w:rsid w:val="0081264B"/>
    <w:rsid w:val="00813D56"/>
    <w:rsid w:val="00813FD1"/>
    <w:rsid w:val="00814E8D"/>
    <w:rsid w:val="00815BE6"/>
    <w:rsid w:val="0081626B"/>
    <w:rsid w:val="0081649E"/>
    <w:rsid w:val="008177A4"/>
    <w:rsid w:val="00821FC1"/>
    <w:rsid w:val="0082638E"/>
    <w:rsid w:val="008269E3"/>
    <w:rsid w:val="00827B91"/>
    <w:rsid w:val="008314A2"/>
    <w:rsid w:val="008315ED"/>
    <w:rsid w:val="00833A2B"/>
    <w:rsid w:val="00842326"/>
    <w:rsid w:val="00843758"/>
    <w:rsid w:val="00847E73"/>
    <w:rsid w:val="008522D1"/>
    <w:rsid w:val="00853372"/>
    <w:rsid w:val="00853C75"/>
    <w:rsid w:val="00854030"/>
    <w:rsid w:val="008545B2"/>
    <w:rsid w:val="00863788"/>
    <w:rsid w:val="00867B9A"/>
    <w:rsid w:val="00871B04"/>
    <w:rsid w:val="00875A08"/>
    <w:rsid w:val="00884404"/>
    <w:rsid w:val="008911FF"/>
    <w:rsid w:val="00896270"/>
    <w:rsid w:val="00897357"/>
    <w:rsid w:val="008A1F2E"/>
    <w:rsid w:val="008A7FC9"/>
    <w:rsid w:val="008B2B50"/>
    <w:rsid w:val="008B41D7"/>
    <w:rsid w:val="008B48FF"/>
    <w:rsid w:val="008B50BA"/>
    <w:rsid w:val="008C0958"/>
    <w:rsid w:val="008C1AE7"/>
    <w:rsid w:val="008C6061"/>
    <w:rsid w:val="008D2AF6"/>
    <w:rsid w:val="008D5181"/>
    <w:rsid w:val="008E26C6"/>
    <w:rsid w:val="008E4553"/>
    <w:rsid w:val="008F07AC"/>
    <w:rsid w:val="008F0B6C"/>
    <w:rsid w:val="008F368F"/>
    <w:rsid w:val="0090227F"/>
    <w:rsid w:val="00910F40"/>
    <w:rsid w:val="00913A2E"/>
    <w:rsid w:val="00922D10"/>
    <w:rsid w:val="0092472D"/>
    <w:rsid w:val="00932E2F"/>
    <w:rsid w:val="009378BF"/>
    <w:rsid w:val="00942E63"/>
    <w:rsid w:val="00943B67"/>
    <w:rsid w:val="0094466E"/>
    <w:rsid w:val="009514B6"/>
    <w:rsid w:val="009549AD"/>
    <w:rsid w:val="00956BC8"/>
    <w:rsid w:val="00962B83"/>
    <w:rsid w:val="00972033"/>
    <w:rsid w:val="00976337"/>
    <w:rsid w:val="00976558"/>
    <w:rsid w:val="00980273"/>
    <w:rsid w:val="0098169A"/>
    <w:rsid w:val="009848B9"/>
    <w:rsid w:val="00991923"/>
    <w:rsid w:val="0099309D"/>
    <w:rsid w:val="0099339F"/>
    <w:rsid w:val="009947CF"/>
    <w:rsid w:val="009A128E"/>
    <w:rsid w:val="009A27C6"/>
    <w:rsid w:val="009B03A9"/>
    <w:rsid w:val="009D0837"/>
    <w:rsid w:val="009D2CEB"/>
    <w:rsid w:val="009D3E18"/>
    <w:rsid w:val="009D4D56"/>
    <w:rsid w:val="009D6A0E"/>
    <w:rsid w:val="009E4346"/>
    <w:rsid w:val="009F2F43"/>
    <w:rsid w:val="009F442A"/>
    <w:rsid w:val="009F5D50"/>
    <w:rsid w:val="009F64E0"/>
    <w:rsid w:val="009F6DD4"/>
    <w:rsid w:val="00A05912"/>
    <w:rsid w:val="00A06F7F"/>
    <w:rsid w:val="00A07063"/>
    <w:rsid w:val="00A07F64"/>
    <w:rsid w:val="00A101E5"/>
    <w:rsid w:val="00A10C06"/>
    <w:rsid w:val="00A11BCC"/>
    <w:rsid w:val="00A1555D"/>
    <w:rsid w:val="00A27117"/>
    <w:rsid w:val="00A30025"/>
    <w:rsid w:val="00A313AF"/>
    <w:rsid w:val="00A32632"/>
    <w:rsid w:val="00A32C0F"/>
    <w:rsid w:val="00A33721"/>
    <w:rsid w:val="00A36394"/>
    <w:rsid w:val="00A3778F"/>
    <w:rsid w:val="00A37ACE"/>
    <w:rsid w:val="00A40106"/>
    <w:rsid w:val="00A44D91"/>
    <w:rsid w:val="00A45033"/>
    <w:rsid w:val="00A45ADD"/>
    <w:rsid w:val="00A465EE"/>
    <w:rsid w:val="00A467BA"/>
    <w:rsid w:val="00A473B0"/>
    <w:rsid w:val="00A50A13"/>
    <w:rsid w:val="00A54943"/>
    <w:rsid w:val="00A573B8"/>
    <w:rsid w:val="00A57524"/>
    <w:rsid w:val="00A579A4"/>
    <w:rsid w:val="00A65237"/>
    <w:rsid w:val="00A72D1A"/>
    <w:rsid w:val="00A73808"/>
    <w:rsid w:val="00A7430C"/>
    <w:rsid w:val="00A75B31"/>
    <w:rsid w:val="00A772EC"/>
    <w:rsid w:val="00A80F26"/>
    <w:rsid w:val="00A83C94"/>
    <w:rsid w:val="00A90C74"/>
    <w:rsid w:val="00AA078E"/>
    <w:rsid w:val="00AA0D64"/>
    <w:rsid w:val="00AA224A"/>
    <w:rsid w:val="00AA2D92"/>
    <w:rsid w:val="00AA5228"/>
    <w:rsid w:val="00AA53C4"/>
    <w:rsid w:val="00AA54F9"/>
    <w:rsid w:val="00AA69D0"/>
    <w:rsid w:val="00AB0677"/>
    <w:rsid w:val="00AB1488"/>
    <w:rsid w:val="00AB35C6"/>
    <w:rsid w:val="00AB4838"/>
    <w:rsid w:val="00AB7341"/>
    <w:rsid w:val="00AC01D0"/>
    <w:rsid w:val="00AC02D5"/>
    <w:rsid w:val="00AC5204"/>
    <w:rsid w:val="00AD0EE9"/>
    <w:rsid w:val="00AE0116"/>
    <w:rsid w:val="00AE488C"/>
    <w:rsid w:val="00AE4FA7"/>
    <w:rsid w:val="00B11DB6"/>
    <w:rsid w:val="00B14BA8"/>
    <w:rsid w:val="00B167C6"/>
    <w:rsid w:val="00B201D9"/>
    <w:rsid w:val="00B2261B"/>
    <w:rsid w:val="00B22D3D"/>
    <w:rsid w:val="00B24FE2"/>
    <w:rsid w:val="00B25630"/>
    <w:rsid w:val="00B31E45"/>
    <w:rsid w:val="00B348DA"/>
    <w:rsid w:val="00B37C7E"/>
    <w:rsid w:val="00B40932"/>
    <w:rsid w:val="00B55295"/>
    <w:rsid w:val="00B5708F"/>
    <w:rsid w:val="00B641B7"/>
    <w:rsid w:val="00B6573B"/>
    <w:rsid w:val="00B75587"/>
    <w:rsid w:val="00B8697C"/>
    <w:rsid w:val="00B87E02"/>
    <w:rsid w:val="00BA09FF"/>
    <w:rsid w:val="00BA0D74"/>
    <w:rsid w:val="00BA37CF"/>
    <w:rsid w:val="00BA5A64"/>
    <w:rsid w:val="00BB25A1"/>
    <w:rsid w:val="00BB49CE"/>
    <w:rsid w:val="00BB6186"/>
    <w:rsid w:val="00BB6C4E"/>
    <w:rsid w:val="00BC707A"/>
    <w:rsid w:val="00BC76AC"/>
    <w:rsid w:val="00BC78EE"/>
    <w:rsid w:val="00BD2221"/>
    <w:rsid w:val="00BD2C1A"/>
    <w:rsid w:val="00BD3084"/>
    <w:rsid w:val="00BE132D"/>
    <w:rsid w:val="00BF2251"/>
    <w:rsid w:val="00C002F5"/>
    <w:rsid w:val="00C03FA0"/>
    <w:rsid w:val="00C04217"/>
    <w:rsid w:val="00C04FF6"/>
    <w:rsid w:val="00C1127C"/>
    <w:rsid w:val="00C12A59"/>
    <w:rsid w:val="00C15AF7"/>
    <w:rsid w:val="00C20C3D"/>
    <w:rsid w:val="00C20F22"/>
    <w:rsid w:val="00C249D7"/>
    <w:rsid w:val="00C26889"/>
    <w:rsid w:val="00C31DC2"/>
    <w:rsid w:val="00C41EA1"/>
    <w:rsid w:val="00C428AB"/>
    <w:rsid w:val="00C50C41"/>
    <w:rsid w:val="00C514B2"/>
    <w:rsid w:val="00C515E9"/>
    <w:rsid w:val="00C70960"/>
    <w:rsid w:val="00C71D93"/>
    <w:rsid w:val="00C75BC0"/>
    <w:rsid w:val="00C76D35"/>
    <w:rsid w:val="00C7701F"/>
    <w:rsid w:val="00C800D7"/>
    <w:rsid w:val="00C826E1"/>
    <w:rsid w:val="00C850B8"/>
    <w:rsid w:val="00C858BF"/>
    <w:rsid w:val="00C86473"/>
    <w:rsid w:val="00C9068C"/>
    <w:rsid w:val="00C956AB"/>
    <w:rsid w:val="00C96281"/>
    <w:rsid w:val="00C966AF"/>
    <w:rsid w:val="00CA5059"/>
    <w:rsid w:val="00CA7DAA"/>
    <w:rsid w:val="00CB1860"/>
    <w:rsid w:val="00CB4094"/>
    <w:rsid w:val="00CB412C"/>
    <w:rsid w:val="00CB6400"/>
    <w:rsid w:val="00CC0C0F"/>
    <w:rsid w:val="00CC28DC"/>
    <w:rsid w:val="00CC4235"/>
    <w:rsid w:val="00CC5AFB"/>
    <w:rsid w:val="00CC68BA"/>
    <w:rsid w:val="00CC6DCB"/>
    <w:rsid w:val="00CD0236"/>
    <w:rsid w:val="00CD1C55"/>
    <w:rsid w:val="00CD20CC"/>
    <w:rsid w:val="00CD6EB6"/>
    <w:rsid w:val="00CD7236"/>
    <w:rsid w:val="00CD7CA9"/>
    <w:rsid w:val="00CE0B13"/>
    <w:rsid w:val="00CE2F0C"/>
    <w:rsid w:val="00CF08FA"/>
    <w:rsid w:val="00CF138F"/>
    <w:rsid w:val="00CF3941"/>
    <w:rsid w:val="00CF49D4"/>
    <w:rsid w:val="00CF5BE1"/>
    <w:rsid w:val="00D01402"/>
    <w:rsid w:val="00D049E3"/>
    <w:rsid w:val="00D061CC"/>
    <w:rsid w:val="00D14DA9"/>
    <w:rsid w:val="00D20B3B"/>
    <w:rsid w:val="00D212E4"/>
    <w:rsid w:val="00D241F4"/>
    <w:rsid w:val="00D251F3"/>
    <w:rsid w:val="00D264FD"/>
    <w:rsid w:val="00D32E08"/>
    <w:rsid w:val="00D33095"/>
    <w:rsid w:val="00D34051"/>
    <w:rsid w:val="00D34692"/>
    <w:rsid w:val="00D34AEC"/>
    <w:rsid w:val="00D35DE7"/>
    <w:rsid w:val="00D363EF"/>
    <w:rsid w:val="00D4168B"/>
    <w:rsid w:val="00D43780"/>
    <w:rsid w:val="00D439BF"/>
    <w:rsid w:val="00D462E2"/>
    <w:rsid w:val="00D46C35"/>
    <w:rsid w:val="00D472A4"/>
    <w:rsid w:val="00D51B8B"/>
    <w:rsid w:val="00D52A79"/>
    <w:rsid w:val="00D55613"/>
    <w:rsid w:val="00D601B4"/>
    <w:rsid w:val="00D61712"/>
    <w:rsid w:val="00D6458F"/>
    <w:rsid w:val="00D71C0A"/>
    <w:rsid w:val="00D71CF9"/>
    <w:rsid w:val="00D74C26"/>
    <w:rsid w:val="00D76411"/>
    <w:rsid w:val="00D804B2"/>
    <w:rsid w:val="00D80A11"/>
    <w:rsid w:val="00D81286"/>
    <w:rsid w:val="00D823C1"/>
    <w:rsid w:val="00D84C84"/>
    <w:rsid w:val="00D8565E"/>
    <w:rsid w:val="00D868FA"/>
    <w:rsid w:val="00D8781D"/>
    <w:rsid w:val="00DA3B97"/>
    <w:rsid w:val="00DA41D3"/>
    <w:rsid w:val="00DB1630"/>
    <w:rsid w:val="00DB1B67"/>
    <w:rsid w:val="00DC5FEB"/>
    <w:rsid w:val="00DD3490"/>
    <w:rsid w:val="00DD6DFB"/>
    <w:rsid w:val="00DE46D4"/>
    <w:rsid w:val="00DE4753"/>
    <w:rsid w:val="00DE6AFC"/>
    <w:rsid w:val="00DF2152"/>
    <w:rsid w:val="00DF4FA5"/>
    <w:rsid w:val="00E01ABE"/>
    <w:rsid w:val="00E02CDC"/>
    <w:rsid w:val="00E14E38"/>
    <w:rsid w:val="00E326D5"/>
    <w:rsid w:val="00E32904"/>
    <w:rsid w:val="00E3456A"/>
    <w:rsid w:val="00E378EC"/>
    <w:rsid w:val="00E41A2C"/>
    <w:rsid w:val="00E42A77"/>
    <w:rsid w:val="00E43DFC"/>
    <w:rsid w:val="00E45183"/>
    <w:rsid w:val="00E4720D"/>
    <w:rsid w:val="00E51985"/>
    <w:rsid w:val="00E54FF7"/>
    <w:rsid w:val="00E55112"/>
    <w:rsid w:val="00E60C47"/>
    <w:rsid w:val="00E6100E"/>
    <w:rsid w:val="00E613C5"/>
    <w:rsid w:val="00E63305"/>
    <w:rsid w:val="00E71C88"/>
    <w:rsid w:val="00E759C0"/>
    <w:rsid w:val="00E80EA9"/>
    <w:rsid w:val="00E8115B"/>
    <w:rsid w:val="00E8715B"/>
    <w:rsid w:val="00E90A0D"/>
    <w:rsid w:val="00E96880"/>
    <w:rsid w:val="00EA58B6"/>
    <w:rsid w:val="00EA7C64"/>
    <w:rsid w:val="00EB7236"/>
    <w:rsid w:val="00EB7237"/>
    <w:rsid w:val="00EC056D"/>
    <w:rsid w:val="00EC062D"/>
    <w:rsid w:val="00EC4F19"/>
    <w:rsid w:val="00ED58F3"/>
    <w:rsid w:val="00EE1601"/>
    <w:rsid w:val="00EE5CAF"/>
    <w:rsid w:val="00EE5F7C"/>
    <w:rsid w:val="00EE677E"/>
    <w:rsid w:val="00EE7377"/>
    <w:rsid w:val="00EF03FF"/>
    <w:rsid w:val="00EF7080"/>
    <w:rsid w:val="00F04792"/>
    <w:rsid w:val="00F04D66"/>
    <w:rsid w:val="00F06F8A"/>
    <w:rsid w:val="00F0743A"/>
    <w:rsid w:val="00F12683"/>
    <w:rsid w:val="00F13D17"/>
    <w:rsid w:val="00F1417D"/>
    <w:rsid w:val="00F158C4"/>
    <w:rsid w:val="00F17A87"/>
    <w:rsid w:val="00F225F8"/>
    <w:rsid w:val="00F23FA0"/>
    <w:rsid w:val="00F265B5"/>
    <w:rsid w:val="00F4651C"/>
    <w:rsid w:val="00F520BC"/>
    <w:rsid w:val="00F5786E"/>
    <w:rsid w:val="00F57E2C"/>
    <w:rsid w:val="00F7228A"/>
    <w:rsid w:val="00F726A1"/>
    <w:rsid w:val="00F83587"/>
    <w:rsid w:val="00F83FDC"/>
    <w:rsid w:val="00F9332B"/>
    <w:rsid w:val="00F94FDE"/>
    <w:rsid w:val="00F95141"/>
    <w:rsid w:val="00F969AF"/>
    <w:rsid w:val="00F97D50"/>
    <w:rsid w:val="00FA3BF4"/>
    <w:rsid w:val="00FA645F"/>
    <w:rsid w:val="00FB0AA6"/>
    <w:rsid w:val="00FB2580"/>
    <w:rsid w:val="00FB2C07"/>
    <w:rsid w:val="00FB3F37"/>
    <w:rsid w:val="00FB52EC"/>
    <w:rsid w:val="00FB68BD"/>
    <w:rsid w:val="00FC211B"/>
    <w:rsid w:val="00FC2C10"/>
    <w:rsid w:val="00FC42EC"/>
    <w:rsid w:val="00FC4AEC"/>
    <w:rsid w:val="00FD1B0F"/>
    <w:rsid w:val="00FD5D04"/>
    <w:rsid w:val="00FE3F70"/>
    <w:rsid w:val="00FE4527"/>
    <w:rsid w:val="00FF084B"/>
    <w:rsid w:val="00FF1384"/>
    <w:rsid w:val="00FF15D3"/>
    <w:rsid w:val="00FF1E04"/>
    <w:rsid w:val="00FF2C59"/>
    <w:rsid w:val="00FF3917"/>
    <w:rsid w:val="03780F6C"/>
    <w:rsid w:val="037A4EFE"/>
    <w:rsid w:val="04232E9C"/>
    <w:rsid w:val="07204E1D"/>
    <w:rsid w:val="085C2DFA"/>
    <w:rsid w:val="08B7492F"/>
    <w:rsid w:val="095B0084"/>
    <w:rsid w:val="098A0181"/>
    <w:rsid w:val="09AB5D86"/>
    <w:rsid w:val="09E17B50"/>
    <w:rsid w:val="0A9F3134"/>
    <w:rsid w:val="0AC128F0"/>
    <w:rsid w:val="0CCE32D4"/>
    <w:rsid w:val="0D65246F"/>
    <w:rsid w:val="0D972C4B"/>
    <w:rsid w:val="0E3F47D7"/>
    <w:rsid w:val="0ED467C2"/>
    <w:rsid w:val="10450A76"/>
    <w:rsid w:val="12841EF5"/>
    <w:rsid w:val="12986D39"/>
    <w:rsid w:val="14C11273"/>
    <w:rsid w:val="14F548A4"/>
    <w:rsid w:val="14FE66F5"/>
    <w:rsid w:val="155D3A47"/>
    <w:rsid w:val="16841E2B"/>
    <w:rsid w:val="16CF0A1B"/>
    <w:rsid w:val="1874160D"/>
    <w:rsid w:val="1B452D22"/>
    <w:rsid w:val="1BBF1C93"/>
    <w:rsid w:val="1DBD1FBC"/>
    <w:rsid w:val="1F722F1F"/>
    <w:rsid w:val="1FC52E2B"/>
    <w:rsid w:val="1FEC64AB"/>
    <w:rsid w:val="20252312"/>
    <w:rsid w:val="203715E8"/>
    <w:rsid w:val="213458C4"/>
    <w:rsid w:val="23970A91"/>
    <w:rsid w:val="23B37539"/>
    <w:rsid w:val="23FB21FF"/>
    <w:rsid w:val="2480011C"/>
    <w:rsid w:val="250D6DE4"/>
    <w:rsid w:val="25312517"/>
    <w:rsid w:val="25765A93"/>
    <w:rsid w:val="27223C7F"/>
    <w:rsid w:val="27B117BB"/>
    <w:rsid w:val="285749E4"/>
    <w:rsid w:val="29214FB2"/>
    <w:rsid w:val="2A437E51"/>
    <w:rsid w:val="2C754CE8"/>
    <w:rsid w:val="2CF613E6"/>
    <w:rsid w:val="2CFF3FAF"/>
    <w:rsid w:val="2DF2034E"/>
    <w:rsid w:val="2DF33E0A"/>
    <w:rsid w:val="2F6B5F2C"/>
    <w:rsid w:val="2FEFD382"/>
    <w:rsid w:val="301E0A94"/>
    <w:rsid w:val="303A31BE"/>
    <w:rsid w:val="305C2A04"/>
    <w:rsid w:val="325C4313"/>
    <w:rsid w:val="32FD1CD8"/>
    <w:rsid w:val="35444092"/>
    <w:rsid w:val="35A00F66"/>
    <w:rsid w:val="364F5374"/>
    <w:rsid w:val="374F3031"/>
    <w:rsid w:val="386045A4"/>
    <w:rsid w:val="38A119A2"/>
    <w:rsid w:val="38E55F3A"/>
    <w:rsid w:val="39D65B9B"/>
    <w:rsid w:val="3B3E607B"/>
    <w:rsid w:val="3D766D10"/>
    <w:rsid w:val="3DC965C7"/>
    <w:rsid w:val="3F6B416C"/>
    <w:rsid w:val="412835B6"/>
    <w:rsid w:val="417501BE"/>
    <w:rsid w:val="427F3DC8"/>
    <w:rsid w:val="43825E8A"/>
    <w:rsid w:val="43BA1DDD"/>
    <w:rsid w:val="45212235"/>
    <w:rsid w:val="45C942BA"/>
    <w:rsid w:val="47AB465B"/>
    <w:rsid w:val="47CE7324"/>
    <w:rsid w:val="4880585B"/>
    <w:rsid w:val="48A4765C"/>
    <w:rsid w:val="49033183"/>
    <w:rsid w:val="49E102CF"/>
    <w:rsid w:val="49F26C6C"/>
    <w:rsid w:val="4D122708"/>
    <w:rsid w:val="4DDF1DA3"/>
    <w:rsid w:val="4F220FEE"/>
    <w:rsid w:val="4F700BC5"/>
    <w:rsid w:val="4F935C25"/>
    <w:rsid w:val="503D7A18"/>
    <w:rsid w:val="517102E3"/>
    <w:rsid w:val="51EA37A6"/>
    <w:rsid w:val="51EE2E25"/>
    <w:rsid w:val="54196BD7"/>
    <w:rsid w:val="54636F09"/>
    <w:rsid w:val="59717C8E"/>
    <w:rsid w:val="599D7523"/>
    <w:rsid w:val="5E323B31"/>
    <w:rsid w:val="5F867E1D"/>
    <w:rsid w:val="610105DB"/>
    <w:rsid w:val="614D4522"/>
    <w:rsid w:val="61C542AA"/>
    <w:rsid w:val="62E810C9"/>
    <w:rsid w:val="63217225"/>
    <w:rsid w:val="68E52B21"/>
    <w:rsid w:val="6B350B88"/>
    <w:rsid w:val="6BE366C4"/>
    <w:rsid w:val="6DD45695"/>
    <w:rsid w:val="705C23FF"/>
    <w:rsid w:val="707F2EBC"/>
    <w:rsid w:val="72D44D2A"/>
    <w:rsid w:val="74157D2E"/>
    <w:rsid w:val="74583597"/>
    <w:rsid w:val="75100CCD"/>
    <w:rsid w:val="758A31CA"/>
    <w:rsid w:val="76544DE8"/>
    <w:rsid w:val="766C5EAF"/>
    <w:rsid w:val="774B0FFA"/>
    <w:rsid w:val="77F72A6A"/>
    <w:rsid w:val="77FA03F8"/>
    <w:rsid w:val="79A46BED"/>
    <w:rsid w:val="7A225FA6"/>
    <w:rsid w:val="7B082B46"/>
    <w:rsid w:val="7BDF0C60"/>
    <w:rsid w:val="7C0055C0"/>
    <w:rsid w:val="7CA20C34"/>
    <w:rsid w:val="7F301C59"/>
    <w:rsid w:val="7F345E0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uiPriority="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25"/>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46"/>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5"/>
    <w:semiHidden/>
    <w:unhideWhenUsed/>
    <w:qFormat/>
    <w:uiPriority w:val="0"/>
    <w:pPr>
      <w:keepNext/>
      <w:keepLines/>
      <w:spacing w:before="260" w:after="260" w:line="416" w:lineRule="auto"/>
      <w:outlineLvl w:val="2"/>
    </w:pPr>
    <w:rPr>
      <w:b/>
      <w:bCs/>
      <w:sz w:val="32"/>
      <w:szCs w:val="32"/>
    </w:rPr>
  </w:style>
  <w:style w:type="character" w:default="1" w:styleId="19">
    <w:name w:val="Default Paragraph Font"/>
    <w:semiHidden/>
    <w:unhideWhenUsed/>
    <w:uiPriority w:val="1"/>
  </w:style>
  <w:style w:type="table" w:default="1" w:styleId="18">
    <w:name w:val="Normal Table"/>
    <w:semiHidden/>
    <w:unhideWhenUsed/>
    <w:qFormat/>
    <w:uiPriority w:val="99"/>
    <w:tblPr>
      <w:tblLayout w:type="fixed"/>
      <w:tblCellMar>
        <w:top w:w="0" w:type="dxa"/>
        <w:left w:w="108" w:type="dxa"/>
        <w:bottom w:w="0" w:type="dxa"/>
        <w:right w:w="108" w:type="dxa"/>
      </w:tblCellMar>
    </w:tblPr>
  </w:style>
  <w:style w:type="paragraph" w:styleId="5">
    <w:name w:val="Document Map"/>
    <w:basedOn w:val="1"/>
    <w:link w:val="48"/>
    <w:semiHidden/>
    <w:unhideWhenUsed/>
    <w:qFormat/>
    <w:uiPriority w:val="0"/>
    <w:rPr>
      <w:rFonts w:ascii="宋体"/>
      <w:sz w:val="18"/>
      <w:szCs w:val="18"/>
    </w:rPr>
  </w:style>
  <w:style w:type="paragraph" w:styleId="6">
    <w:name w:val="annotation text"/>
    <w:basedOn w:val="1"/>
    <w:link w:val="40"/>
    <w:qFormat/>
    <w:uiPriority w:val="0"/>
    <w:pPr>
      <w:jc w:val="left"/>
    </w:pPr>
    <w:rPr>
      <w:lang w:val="zh-CN"/>
    </w:rPr>
  </w:style>
  <w:style w:type="paragraph" w:styleId="7">
    <w:name w:val="Body Text"/>
    <w:basedOn w:val="1"/>
    <w:link w:val="47"/>
    <w:unhideWhenUsed/>
    <w:qFormat/>
    <w:uiPriority w:val="0"/>
    <w:pPr>
      <w:spacing w:after="120"/>
    </w:pPr>
  </w:style>
  <w:style w:type="paragraph" w:styleId="8">
    <w:name w:val="Body Text Indent"/>
    <w:basedOn w:val="1"/>
    <w:link w:val="26"/>
    <w:qFormat/>
    <w:uiPriority w:val="0"/>
    <w:pPr>
      <w:ind w:firstLine="640" w:firstLineChars="200"/>
    </w:pPr>
    <w:rPr>
      <w:rFonts w:eastAsia="仿宋_GB2312"/>
      <w:sz w:val="32"/>
      <w:szCs w:val="24"/>
    </w:rPr>
  </w:style>
  <w:style w:type="paragraph" w:styleId="9">
    <w:name w:val="Date"/>
    <w:basedOn w:val="1"/>
    <w:next w:val="1"/>
    <w:link w:val="42"/>
    <w:unhideWhenUsed/>
    <w:qFormat/>
    <w:uiPriority w:val="0"/>
    <w:pPr>
      <w:ind w:left="100" w:leftChars="2500"/>
    </w:pPr>
  </w:style>
  <w:style w:type="paragraph" w:styleId="10">
    <w:name w:val="Body Text Indent 2"/>
    <w:basedOn w:val="1"/>
    <w:link w:val="27"/>
    <w:qFormat/>
    <w:uiPriority w:val="0"/>
    <w:pPr>
      <w:spacing w:after="120" w:line="480" w:lineRule="auto"/>
      <w:ind w:left="420" w:leftChars="200"/>
    </w:pPr>
    <w:rPr>
      <w:szCs w:val="24"/>
    </w:rPr>
  </w:style>
  <w:style w:type="paragraph" w:styleId="11">
    <w:name w:val="Balloon Text"/>
    <w:basedOn w:val="1"/>
    <w:link w:val="28"/>
    <w:semiHidden/>
    <w:qFormat/>
    <w:uiPriority w:val="0"/>
    <w:rPr>
      <w:sz w:val="18"/>
      <w:szCs w:val="18"/>
    </w:rPr>
  </w:style>
  <w:style w:type="paragraph" w:styleId="12">
    <w:name w:val="footer"/>
    <w:basedOn w:val="1"/>
    <w:link w:val="29"/>
    <w:qFormat/>
    <w:uiPriority w:val="99"/>
    <w:pPr>
      <w:tabs>
        <w:tab w:val="center" w:pos="4153"/>
        <w:tab w:val="right" w:pos="8306"/>
      </w:tabs>
      <w:snapToGrid w:val="0"/>
      <w:jc w:val="left"/>
    </w:pPr>
    <w:rPr>
      <w:sz w:val="18"/>
      <w:szCs w:val="18"/>
    </w:rPr>
  </w:style>
  <w:style w:type="paragraph" w:styleId="13">
    <w:name w:val="header"/>
    <w:basedOn w:val="1"/>
    <w:link w:val="30"/>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39"/>
    <w:pPr>
      <w:tabs>
        <w:tab w:val="right" w:leader="dot" w:pos="8296"/>
      </w:tabs>
      <w:spacing w:line="480" w:lineRule="auto"/>
    </w:pPr>
    <w:rPr>
      <w:rFonts w:ascii="Times New Roman" w:hAnsi="Times New Roman"/>
      <w:szCs w:val="20"/>
    </w:rPr>
  </w:style>
  <w:style w:type="paragraph" w:styleId="15">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16">
    <w:name w:val="Title"/>
    <w:basedOn w:val="1"/>
    <w:next w:val="1"/>
    <w:link w:val="31"/>
    <w:qFormat/>
    <w:uiPriority w:val="0"/>
    <w:pPr>
      <w:spacing w:before="240" w:after="60"/>
      <w:jc w:val="center"/>
      <w:outlineLvl w:val="0"/>
    </w:pPr>
    <w:rPr>
      <w:rFonts w:ascii="Cambria" w:hAnsi="Cambria"/>
      <w:b/>
      <w:bCs/>
      <w:sz w:val="32"/>
      <w:szCs w:val="32"/>
    </w:rPr>
  </w:style>
  <w:style w:type="paragraph" w:styleId="17">
    <w:name w:val="annotation subject"/>
    <w:basedOn w:val="6"/>
    <w:next w:val="6"/>
    <w:link w:val="41"/>
    <w:qFormat/>
    <w:uiPriority w:val="0"/>
    <w:rPr>
      <w:b/>
      <w:bCs/>
    </w:rPr>
  </w:style>
  <w:style w:type="character" w:styleId="20">
    <w:name w:val="Strong"/>
    <w:qFormat/>
    <w:uiPriority w:val="0"/>
    <w:rPr>
      <w:rFonts w:cs="Times New Roman"/>
      <w:b/>
    </w:rPr>
  </w:style>
  <w:style w:type="character" w:styleId="21">
    <w:name w:val="page number"/>
    <w:qFormat/>
    <w:uiPriority w:val="0"/>
    <w:rPr>
      <w:rFonts w:cs="Times New Roman"/>
    </w:rPr>
  </w:style>
  <w:style w:type="character" w:styleId="22">
    <w:name w:val="FollowedHyperlink"/>
    <w:qFormat/>
    <w:uiPriority w:val="0"/>
    <w:rPr>
      <w:color w:val="800080"/>
      <w:u w:val="single"/>
    </w:rPr>
  </w:style>
  <w:style w:type="character" w:styleId="23">
    <w:name w:val="Hyperlink"/>
    <w:qFormat/>
    <w:uiPriority w:val="99"/>
    <w:rPr>
      <w:rFonts w:ascii="Verdana" w:hAnsi="Verdana" w:eastAsia="仿宋_GB2312" w:cs="Verdana"/>
      <w:color w:val="0000FF"/>
      <w:kern w:val="0"/>
      <w:sz w:val="24"/>
      <w:u w:val="single"/>
      <w:lang w:eastAsia="en-US"/>
    </w:rPr>
  </w:style>
  <w:style w:type="character" w:styleId="24">
    <w:name w:val="annotation reference"/>
    <w:qFormat/>
    <w:uiPriority w:val="0"/>
    <w:rPr>
      <w:sz w:val="21"/>
      <w:szCs w:val="21"/>
    </w:rPr>
  </w:style>
  <w:style w:type="character" w:customStyle="1" w:styleId="25">
    <w:name w:val="标题 1 Char"/>
    <w:link w:val="2"/>
    <w:qFormat/>
    <w:locked/>
    <w:uiPriority w:val="0"/>
    <w:rPr>
      <w:rFonts w:ascii="Calibri" w:hAnsi="Calibri" w:eastAsia="宋体"/>
      <w:b/>
      <w:bCs/>
      <w:kern w:val="44"/>
      <w:sz w:val="44"/>
      <w:szCs w:val="44"/>
      <w:lang w:val="en-US" w:eastAsia="zh-CN" w:bidi="ar-SA"/>
    </w:rPr>
  </w:style>
  <w:style w:type="character" w:customStyle="1" w:styleId="26">
    <w:name w:val="正文文本缩进 Char"/>
    <w:link w:val="8"/>
    <w:qFormat/>
    <w:locked/>
    <w:uiPriority w:val="0"/>
    <w:rPr>
      <w:rFonts w:eastAsia="仿宋_GB2312"/>
      <w:kern w:val="2"/>
      <w:sz w:val="32"/>
      <w:szCs w:val="24"/>
      <w:lang w:val="en-US" w:eastAsia="zh-CN" w:bidi="ar-SA"/>
    </w:rPr>
  </w:style>
  <w:style w:type="character" w:customStyle="1" w:styleId="27">
    <w:name w:val="正文文本缩进 2 Char"/>
    <w:link w:val="10"/>
    <w:semiHidden/>
    <w:qFormat/>
    <w:locked/>
    <w:uiPriority w:val="0"/>
    <w:rPr>
      <w:rFonts w:eastAsia="宋体"/>
      <w:kern w:val="2"/>
      <w:sz w:val="21"/>
      <w:szCs w:val="24"/>
      <w:lang w:val="en-US" w:eastAsia="zh-CN" w:bidi="ar-SA"/>
    </w:rPr>
  </w:style>
  <w:style w:type="character" w:customStyle="1" w:styleId="28">
    <w:name w:val="批注框文本 Char"/>
    <w:link w:val="11"/>
    <w:semiHidden/>
    <w:qFormat/>
    <w:locked/>
    <w:uiPriority w:val="0"/>
    <w:rPr>
      <w:rFonts w:ascii="Calibri" w:hAnsi="Calibri" w:eastAsia="宋体"/>
      <w:kern w:val="2"/>
      <w:sz w:val="18"/>
      <w:szCs w:val="18"/>
      <w:lang w:val="en-US" w:eastAsia="zh-CN" w:bidi="ar-SA"/>
    </w:rPr>
  </w:style>
  <w:style w:type="character" w:customStyle="1" w:styleId="29">
    <w:name w:val="页脚 Char"/>
    <w:link w:val="12"/>
    <w:qFormat/>
    <w:locked/>
    <w:uiPriority w:val="99"/>
    <w:rPr>
      <w:rFonts w:ascii="Calibri" w:hAnsi="Calibri" w:eastAsia="宋体"/>
      <w:kern w:val="2"/>
      <w:sz w:val="18"/>
      <w:szCs w:val="18"/>
      <w:lang w:val="en-US" w:eastAsia="zh-CN" w:bidi="ar-SA"/>
    </w:rPr>
  </w:style>
  <w:style w:type="character" w:customStyle="1" w:styleId="30">
    <w:name w:val="页眉 Char"/>
    <w:link w:val="13"/>
    <w:qFormat/>
    <w:locked/>
    <w:uiPriority w:val="99"/>
    <w:rPr>
      <w:rFonts w:ascii="Calibri" w:hAnsi="Calibri" w:eastAsia="宋体"/>
      <w:kern w:val="2"/>
      <w:sz w:val="18"/>
      <w:szCs w:val="18"/>
      <w:lang w:val="en-US" w:eastAsia="zh-CN" w:bidi="ar-SA"/>
    </w:rPr>
  </w:style>
  <w:style w:type="character" w:customStyle="1" w:styleId="31">
    <w:name w:val="标题 Char"/>
    <w:link w:val="16"/>
    <w:qFormat/>
    <w:locked/>
    <w:uiPriority w:val="0"/>
    <w:rPr>
      <w:rFonts w:ascii="Cambria" w:hAnsi="Cambria" w:eastAsia="宋体"/>
      <w:b/>
      <w:bCs/>
      <w:kern w:val="2"/>
      <w:sz w:val="32"/>
      <w:szCs w:val="32"/>
      <w:lang w:val="en-US" w:eastAsia="zh-CN" w:bidi="ar-SA"/>
    </w:rPr>
  </w:style>
  <w:style w:type="paragraph" w:customStyle="1" w:styleId="32">
    <w:name w:val="样式 首行缩进:  2 字符"/>
    <w:basedOn w:val="1"/>
    <w:qFormat/>
    <w:uiPriority w:val="0"/>
    <w:pPr>
      <w:spacing w:before="60" w:after="60"/>
      <w:ind w:firstLine="480" w:firstLineChars="200"/>
    </w:pPr>
    <w:rPr>
      <w:rFonts w:ascii="Times New Roman" w:hAnsi="Times New Roman"/>
      <w:sz w:val="24"/>
      <w:szCs w:val="20"/>
    </w:rPr>
  </w:style>
  <w:style w:type="paragraph" w:customStyle="1" w:styleId="33">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4">
    <w:name w:val="Char"/>
    <w:basedOn w:val="1"/>
    <w:qFormat/>
    <w:uiPriority w:val="0"/>
    <w:pPr>
      <w:widowControl/>
      <w:spacing w:after="160" w:line="240" w:lineRule="exact"/>
      <w:jc w:val="left"/>
    </w:pPr>
    <w:rPr>
      <w:rFonts w:ascii="Verdana" w:hAnsi="Verdana" w:eastAsia="仿宋_GB2312" w:cs="Verdana"/>
      <w:kern w:val="0"/>
      <w:sz w:val="24"/>
      <w:szCs w:val="20"/>
      <w:lang w:eastAsia="en-US"/>
    </w:rPr>
  </w:style>
  <w:style w:type="paragraph" w:customStyle="1" w:styleId="35">
    <w:name w:val="Char1 Char Char Char Char Char1 Char"/>
    <w:basedOn w:val="1"/>
    <w:qFormat/>
    <w:uiPriority w:val="0"/>
    <w:pPr>
      <w:widowControl/>
      <w:spacing w:after="160" w:line="240" w:lineRule="exact"/>
      <w:jc w:val="left"/>
    </w:pPr>
    <w:rPr>
      <w:rFonts w:ascii="Times New Roman" w:hAnsi="Times New Roman"/>
      <w:szCs w:val="24"/>
    </w:rPr>
  </w:style>
  <w:style w:type="paragraph" w:customStyle="1" w:styleId="36">
    <w:name w:val="Char1"/>
    <w:basedOn w:val="1"/>
    <w:qFormat/>
    <w:uiPriority w:val="0"/>
    <w:pPr>
      <w:widowControl/>
      <w:spacing w:after="160" w:line="240" w:lineRule="exact"/>
      <w:jc w:val="left"/>
    </w:pPr>
    <w:rPr>
      <w:rFonts w:ascii="Verdana" w:hAnsi="Verdana" w:eastAsia="仿宋_GB2312" w:cs="Verdana"/>
      <w:kern w:val="0"/>
      <w:sz w:val="24"/>
      <w:szCs w:val="20"/>
      <w:lang w:eastAsia="en-US"/>
    </w:rPr>
  </w:style>
  <w:style w:type="paragraph" w:customStyle="1" w:styleId="37">
    <w:name w:val="TOC 标题1"/>
    <w:basedOn w:val="2"/>
    <w:next w:val="1"/>
    <w:qFormat/>
    <w:uiPriority w:val="0"/>
    <w:pPr>
      <w:widowControl/>
      <w:spacing w:before="480" w:after="0" w:line="276" w:lineRule="auto"/>
      <w:jc w:val="left"/>
      <w:outlineLvl w:val="9"/>
    </w:pPr>
    <w:rPr>
      <w:rFonts w:ascii="Cambria" w:hAnsi="Cambria"/>
      <w:color w:val="365F91"/>
      <w:kern w:val="0"/>
      <w:sz w:val="28"/>
      <w:szCs w:val="28"/>
    </w:rPr>
  </w:style>
  <w:style w:type="paragraph" w:customStyle="1" w:styleId="38">
    <w:name w:val="列出段落1"/>
    <w:basedOn w:val="1"/>
    <w:qFormat/>
    <w:uiPriority w:val="0"/>
    <w:pPr>
      <w:ind w:firstLine="420" w:firstLineChars="200"/>
    </w:pPr>
  </w:style>
  <w:style w:type="character" w:customStyle="1" w:styleId="39">
    <w:name w:val="apple-converted-space"/>
    <w:qFormat/>
    <w:uiPriority w:val="0"/>
    <w:rPr>
      <w:rFonts w:cs="Times New Roman"/>
    </w:rPr>
  </w:style>
  <w:style w:type="character" w:customStyle="1" w:styleId="40">
    <w:name w:val="批注文字 Char"/>
    <w:link w:val="6"/>
    <w:qFormat/>
    <w:uiPriority w:val="0"/>
    <w:rPr>
      <w:rFonts w:ascii="Calibri" w:hAnsi="Calibri"/>
      <w:kern w:val="2"/>
      <w:sz w:val="21"/>
      <w:szCs w:val="22"/>
    </w:rPr>
  </w:style>
  <w:style w:type="character" w:customStyle="1" w:styleId="41">
    <w:name w:val="批注主题 Char"/>
    <w:link w:val="17"/>
    <w:qFormat/>
    <w:uiPriority w:val="0"/>
    <w:rPr>
      <w:rFonts w:ascii="Calibri" w:hAnsi="Calibri"/>
      <w:b/>
      <w:bCs/>
      <w:kern w:val="2"/>
      <w:sz w:val="21"/>
      <w:szCs w:val="22"/>
    </w:rPr>
  </w:style>
  <w:style w:type="character" w:customStyle="1" w:styleId="42">
    <w:name w:val="日期 Char"/>
    <w:basedOn w:val="19"/>
    <w:link w:val="9"/>
    <w:semiHidden/>
    <w:qFormat/>
    <w:uiPriority w:val="0"/>
    <w:rPr>
      <w:rFonts w:ascii="Calibri" w:hAnsi="Calibri"/>
      <w:kern w:val="2"/>
      <w:sz w:val="21"/>
      <w:szCs w:val="22"/>
    </w:rPr>
  </w:style>
  <w:style w:type="paragraph" w:customStyle="1" w:styleId="43">
    <w:name w:val="列出段落2"/>
    <w:basedOn w:val="1"/>
    <w:qFormat/>
    <w:uiPriority w:val="34"/>
    <w:pPr>
      <w:ind w:firstLine="420" w:firstLineChars="200"/>
    </w:pPr>
  </w:style>
  <w:style w:type="paragraph" w:styleId="44">
    <w:name w:val="List Paragraph"/>
    <w:basedOn w:val="1"/>
    <w:qFormat/>
    <w:uiPriority w:val="99"/>
    <w:pPr>
      <w:ind w:firstLine="420" w:firstLineChars="200"/>
    </w:pPr>
  </w:style>
  <w:style w:type="character" w:customStyle="1" w:styleId="45">
    <w:name w:val="标题 3 Char"/>
    <w:basedOn w:val="19"/>
    <w:link w:val="4"/>
    <w:semiHidden/>
    <w:qFormat/>
    <w:uiPriority w:val="0"/>
    <w:rPr>
      <w:rFonts w:ascii="Calibri" w:hAnsi="Calibri"/>
      <w:b/>
      <w:bCs/>
      <w:kern w:val="2"/>
      <w:sz w:val="32"/>
      <w:szCs w:val="32"/>
    </w:rPr>
  </w:style>
  <w:style w:type="character" w:customStyle="1" w:styleId="46">
    <w:name w:val="标题 2 Char"/>
    <w:basedOn w:val="19"/>
    <w:link w:val="3"/>
    <w:semiHidden/>
    <w:qFormat/>
    <w:uiPriority w:val="0"/>
    <w:rPr>
      <w:rFonts w:asciiTheme="majorHAnsi" w:hAnsiTheme="majorHAnsi" w:eastAsiaTheme="majorEastAsia" w:cstheme="majorBidi"/>
      <w:b/>
      <w:bCs/>
      <w:kern w:val="2"/>
      <w:sz w:val="32"/>
      <w:szCs w:val="32"/>
    </w:rPr>
  </w:style>
  <w:style w:type="character" w:customStyle="1" w:styleId="47">
    <w:name w:val="正文文本 Char"/>
    <w:basedOn w:val="19"/>
    <w:link w:val="7"/>
    <w:qFormat/>
    <w:uiPriority w:val="0"/>
    <w:rPr>
      <w:rFonts w:ascii="Calibri" w:hAnsi="Calibri"/>
      <w:kern w:val="2"/>
      <w:sz w:val="21"/>
      <w:szCs w:val="22"/>
    </w:rPr>
  </w:style>
  <w:style w:type="character" w:customStyle="1" w:styleId="48">
    <w:name w:val="文档结构图 Char"/>
    <w:basedOn w:val="19"/>
    <w:link w:val="5"/>
    <w:semiHidden/>
    <w:qFormat/>
    <w:uiPriority w:val="0"/>
    <w:rPr>
      <w:rFonts w:ascii="宋体" w:hAnsi="Calibri"/>
      <w:kern w:val="2"/>
      <w:sz w:val="18"/>
      <w:szCs w:val="18"/>
    </w:rPr>
  </w:style>
  <w:style w:type="table" w:customStyle="1" w:styleId="49">
    <w:name w:val="Table Normal"/>
    <w:semiHidden/>
    <w:unhideWhenUsed/>
    <w:qFormat/>
    <w:uiPriority w:val="2"/>
    <w:pPr>
      <w:widowControl w:val="0"/>
    </w:pPr>
    <w:rPr>
      <w:rFonts w:ascii="Calibri" w:hAnsi="Calibri"/>
      <w:sz w:val="22"/>
      <w:szCs w:val="22"/>
      <w:lang w:eastAsia="en-US"/>
    </w:rPr>
    <w:tblPr>
      <w:tblLayout w:type="fixed"/>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3.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2DF4253-776A-4854-9F0F-1FC0583EA0AA}">
  <ds:schemaRefs/>
</ds:datastoreItem>
</file>

<file path=customXml/itemProps3.xml><?xml version="1.0" encoding="utf-8"?>
<ds:datastoreItem xmlns:ds="http://schemas.openxmlformats.org/officeDocument/2006/customXml" ds:itemID="{2D4D8248-7E82-4154-B7AD-C7FF47D99CB7}">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33</Pages>
  <Words>2558</Words>
  <Characters>14583</Characters>
  <Lines>121</Lines>
  <Paragraphs>34</Paragraphs>
  <TotalTime>0</TotalTime>
  <ScaleCrop>false</ScaleCrop>
  <LinksUpToDate>false</LinksUpToDate>
  <CharactersWithSpaces>17107</CharactersWithSpaces>
  <Application>WPS Office_11.1.0.8808_F1E327BC-269C-435d-A152-05C5408002CA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2019-07-10T07:37:00Z</dcterms:created>
  <dc:creator>User</dc:creator>
  <cp:lastModifiedBy>多年以后</cp:lastModifiedBy>
  <cp:lastPrinted>2019-07-09T08:57:00Z</cp:lastPrinted>
  <dcterms:modified xsi:type="dcterms:W3CDTF">2019-07-10T08:15:33Z</dcterms:modified>
  <dc:title>浙江云开亚美医药科技股份有限公司增资扩股2046</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2052-11.1.0.8808</vt:lpwstr>
  </property>
</Properties>
</file>