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spacing w:line="360" w:lineRule="auto"/>
        <w:ind w:left="8138" w:leftChars="-95" w:right="-395" w:rightChars="-188" w:hanging="8337" w:hangingChars="1654"/>
        <w:jc w:val="center"/>
        <w:rPr>
          <w:rFonts w:ascii="黑体" w:hAnsi="宋体" w:eastAsia="黑体"/>
          <w:b/>
          <w:spacing w:val="-9"/>
          <w:sz w:val="52"/>
          <w:szCs w:val="48"/>
          <w:highlight w:val="none"/>
        </w:rPr>
      </w:pPr>
      <w:r>
        <w:rPr>
          <w:rFonts w:hint="eastAsia" w:ascii="黑体" w:hAnsi="宋体" w:eastAsia="黑体"/>
          <w:b/>
          <w:spacing w:val="-9"/>
          <w:sz w:val="52"/>
          <w:szCs w:val="48"/>
          <w:highlight w:val="none"/>
        </w:rPr>
        <w:t>浙江海正博锐生物制药有限公司</w:t>
      </w:r>
    </w:p>
    <w:p>
      <w:pPr>
        <w:spacing w:line="360" w:lineRule="auto"/>
        <w:ind w:left="8138" w:leftChars="-95" w:right="-395" w:rightChars="-188" w:hanging="8337" w:hangingChars="1654"/>
        <w:jc w:val="center"/>
        <w:rPr>
          <w:rFonts w:ascii="黑体" w:hAnsi="宋体" w:eastAsia="黑体"/>
          <w:b/>
          <w:spacing w:val="-9"/>
          <w:sz w:val="52"/>
          <w:szCs w:val="48"/>
          <w:highlight w:val="none"/>
        </w:rPr>
      </w:pPr>
      <w:r>
        <w:rPr>
          <w:rFonts w:hint="eastAsia" w:ascii="黑体" w:hAnsi="宋体" w:eastAsia="黑体"/>
          <w:b/>
          <w:spacing w:val="-9"/>
          <w:sz w:val="52"/>
          <w:szCs w:val="48"/>
          <w:highlight w:val="none"/>
          <w:lang w:eastAsia="zh-CN"/>
        </w:rPr>
        <w:t>20,170.50</w:t>
      </w:r>
      <w:r>
        <w:rPr>
          <w:rFonts w:hint="eastAsia" w:ascii="黑体" w:hAnsi="宋体" w:eastAsia="黑体"/>
          <w:b/>
          <w:spacing w:val="-9"/>
          <w:sz w:val="52"/>
          <w:szCs w:val="48"/>
          <w:highlight w:val="none"/>
        </w:rPr>
        <w:t>万元注册资本</w:t>
      </w:r>
    </w:p>
    <w:p>
      <w:pPr>
        <w:spacing w:line="360" w:lineRule="auto"/>
        <w:ind w:left="8138" w:leftChars="-95" w:right="-395" w:rightChars="-188" w:hanging="8337" w:hangingChars="1654"/>
        <w:jc w:val="center"/>
        <w:rPr>
          <w:rFonts w:ascii="黑体" w:hAnsi="宋体" w:eastAsia="黑体"/>
          <w:b/>
          <w:spacing w:val="-9"/>
          <w:sz w:val="52"/>
          <w:szCs w:val="48"/>
          <w:highlight w:val="none"/>
        </w:rPr>
      </w:pPr>
    </w:p>
    <w:p>
      <w:pPr>
        <w:spacing w:line="360" w:lineRule="auto"/>
        <w:ind w:left="8435" w:leftChars="-95" w:right="-395" w:rightChars="-188" w:hanging="8634" w:hangingChars="1654"/>
        <w:jc w:val="center"/>
        <w:rPr>
          <w:rFonts w:ascii="黑体" w:hAnsi="宋体" w:eastAsia="黑体"/>
          <w:b/>
          <w:sz w:val="52"/>
          <w:szCs w:val="48"/>
          <w:highlight w:val="none"/>
        </w:rPr>
      </w:pPr>
    </w:p>
    <w:p>
      <w:pPr>
        <w:spacing w:line="360" w:lineRule="auto"/>
        <w:ind w:firstLine="964"/>
        <w:jc w:val="center"/>
        <w:rPr>
          <w:rFonts w:ascii="黑体" w:hAnsi="宋体" w:eastAsia="黑体"/>
          <w:b/>
          <w:sz w:val="48"/>
          <w:szCs w:val="48"/>
          <w:highlight w:val="none"/>
        </w:rPr>
      </w:pPr>
    </w:p>
    <w:p>
      <w:pPr>
        <w:spacing w:line="360" w:lineRule="auto"/>
        <w:ind w:firstLine="0" w:firstLineChars="0"/>
        <w:jc w:val="center"/>
        <w:rPr>
          <w:rFonts w:ascii="黑体" w:hAnsi="宋体" w:eastAsia="黑体"/>
          <w:b/>
          <w:sz w:val="68"/>
          <w:szCs w:val="68"/>
          <w:highlight w:val="none"/>
        </w:rPr>
      </w:pPr>
      <w:r>
        <w:rPr>
          <w:rFonts w:hint="eastAsia" w:ascii="黑体" w:hAnsi="宋体" w:eastAsia="黑体"/>
          <w:b/>
          <w:sz w:val="68"/>
          <w:szCs w:val="68"/>
          <w:highlight w:val="none"/>
        </w:rPr>
        <w:t>转 让 文 件</w:t>
      </w:r>
    </w:p>
    <w:p>
      <w:pPr>
        <w:spacing w:line="360" w:lineRule="auto"/>
        <w:ind w:firstLine="643"/>
        <w:jc w:val="center"/>
        <w:rPr>
          <w:rFonts w:ascii="黑体" w:hAnsi="宋体" w:eastAsia="黑体"/>
          <w:b/>
          <w:sz w:val="32"/>
          <w:szCs w:val="32"/>
          <w:highlight w:val="none"/>
        </w:rPr>
      </w:pPr>
    </w:p>
    <w:p>
      <w:pPr>
        <w:spacing w:line="360" w:lineRule="auto"/>
        <w:ind w:firstLine="0" w:firstLineChars="0"/>
        <w:jc w:val="center"/>
        <w:rPr>
          <w:rFonts w:hint="eastAsia" w:ascii="黑体" w:hAnsi="宋体" w:eastAsia="黑体"/>
          <w:b/>
          <w:sz w:val="32"/>
          <w:szCs w:val="32"/>
          <w:highlight w:val="none"/>
        </w:rPr>
      </w:pPr>
      <w:r>
        <w:rPr>
          <w:rFonts w:hint="eastAsia" w:ascii="黑体" w:hAnsi="宋体" w:eastAsia="黑体"/>
          <w:b/>
          <w:sz w:val="32"/>
          <w:szCs w:val="32"/>
          <w:highlight w:val="none"/>
        </w:rPr>
        <w:t>台交所挂〔2019〕</w:t>
      </w:r>
      <w:r>
        <w:rPr>
          <w:rFonts w:hint="eastAsia" w:ascii="黑体" w:hAnsi="宋体" w:eastAsia="黑体"/>
          <w:b/>
          <w:sz w:val="32"/>
          <w:szCs w:val="32"/>
          <w:highlight w:val="none"/>
          <w:lang w:val="en-US" w:eastAsia="zh-CN"/>
        </w:rPr>
        <w:t>17</w:t>
      </w:r>
      <w:r>
        <w:rPr>
          <w:rFonts w:hint="eastAsia" w:ascii="黑体" w:hAnsi="宋体" w:eastAsia="黑体"/>
          <w:b/>
          <w:sz w:val="32"/>
          <w:szCs w:val="32"/>
          <w:highlight w:val="none"/>
        </w:rPr>
        <w:t>号</w:t>
      </w:r>
    </w:p>
    <w:p>
      <w:pPr>
        <w:spacing w:line="360" w:lineRule="auto"/>
        <w:ind w:firstLine="1365"/>
        <w:jc w:val="center"/>
        <w:rPr>
          <w:rFonts w:ascii="黑体" w:hAnsi="宋体" w:eastAsia="黑体"/>
          <w:b/>
          <w:sz w:val="68"/>
          <w:szCs w:val="68"/>
          <w:highlight w:val="none"/>
        </w:rPr>
      </w:pPr>
    </w:p>
    <w:p>
      <w:pPr>
        <w:spacing w:line="360" w:lineRule="auto"/>
        <w:ind w:firstLine="560"/>
        <w:rPr>
          <w:rFonts w:ascii="宋体" w:hAnsi="宋体"/>
          <w:sz w:val="28"/>
          <w:szCs w:val="28"/>
          <w:highlight w:val="none"/>
        </w:rPr>
      </w:pPr>
    </w:p>
    <w:p>
      <w:pPr>
        <w:ind w:firstLine="0" w:firstLineChars="0"/>
        <w:rPr>
          <w:rFonts w:ascii="宋体" w:hAnsi="宋体"/>
          <w:sz w:val="28"/>
          <w:szCs w:val="28"/>
          <w:highlight w:val="none"/>
        </w:rPr>
      </w:pPr>
    </w:p>
    <w:p>
      <w:pPr>
        <w:ind w:firstLine="560"/>
        <w:rPr>
          <w:rFonts w:ascii="宋体" w:hAnsi="宋体"/>
          <w:sz w:val="28"/>
          <w:szCs w:val="28"/>
          <w:highlight w:val="none"/>
        </w:rPr>
      </w:pPr>
    </w:p>
    <w:p>
      <w:pPr>
        <w:ind w:left="-540" w:leftChars="-257" w:right="-693" w:rightChars="-330" w:firstLine="560"/>
        <w:rPr>
          <w:rFonts w:ascii="宋体" w:hAnsi="宋体"/>
          <w:sz w:val="28"/>
          <w:szCs w:val="28"/>
          <w:highlight w:val="none"/>
        </w:rPr>
      </w:pPr>
    </w:p>
    <w:p>
      <w:pPr>
        <w:ind w:firstLine="0" w:firstLineChars="0"/>
        <w:rPr>
          <w:rFonts w:ascii="宋体" w:hAnsi="宋体"/>
          <w:b/>
          <w:sz w:val="18"/>
          <w:szCs w:val="18"/>
          <w:highlight w:val="none"/>
        </w:rPr>
      </w:pPr>
      <w:r>
        <w:rPr>
          <w:rFonts w:hint="eastAsia" w:ascii="宋体" w:hAnsi="宋体"/>
          <w:b/>
          <w:sz w:val="18"/>
          <w:szCs w:val="18"/>
          <w:highlight w:val="none"/>
        </w:rPr>
        <w:t>◎台州市产权交易所有限公司◎地址：台州市市府大道777号民泰银行5楼511室◎电话：88685177 88685180◎网址：www.tzpre.com</w:t>
      </w:r>
    </w:p>
    <w:p>
      <w:pPr>
        <w:spacing w:line="720" w:lineRule="auto"/>
        <w:ind w:firstLine="562"/>
        <w:jc w:val="center"/>
        <w:rPr>
          <w:rFonts w:ascii="宋体" w:hAnsi="宋体"/>
          <w:b/>
          <w:bCs/>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sz w:val="84"/>
          <w:highlight w:val="none"/>
        </w:rPr>
      </w:pPr>
      <w:r>
        <w:rPr>
          <w:rFonts w:hint="eastAsia" w:ascii="黑体" w:hAnsi="宋体" w:eastAsia="黑体"/>
          <w:b/>
          <w:bCs/>
          <w:sz w:val="84"/>
          <w:highlight w:val="none"/>
        </w:rPr>
        <w:t>目　</w:t>
      </w:r>
      <w:r>
        <w:rPr>
          <w:rFonts w:ascii="黑体" w:hAnsi="宋体" w:eastAsia="黑体"/>
          <w:b/>
          <w:bCs/>
          <w:sz w:val="84"/>
          <w:highlight w:val="none"/>
        </w:rPr>
        <w:t xml:space="preserve"> 录</w:t>
      </w:r>
    </w:p>
    <w:p>
      <w:pPr>
        <w:spacing w:line="60" w:lineRule="auto"/>
        <w:ind w:firstLine="0" w:firstLineChars="0"/>
        <w:jc w:val="center"/>
        <w:rPr>
          <w:rFonts w:ascii="宋体" w:hAnsi="宋体"/>
          <w:b/>
          <w:sz w:val="40"/>
          <w:szCs w:val="32"/>
          <w:highlight w:val="none"/>
        </w:rPr>
      </w:pPr>
      <w:r>
        <w:rPr>
          <w:rFonts w:hint="eastAsia" w:ascii="宋体" w:hAnsi="宋体"/>
          <w:b/>
          <w:sz w:val="40"/>
          <w:szCs w:val="32"/>
          <w:highlight w:val="none"/>
        </w:rPr>
        <w:t>浙江海正博锐生物制药有限公司股权</w:t>
      </w:r>
    </w:p>
    <w:p>
      <w:pPr>
        <w:spacing w:line="60" w:lineRule="auto"/>
        <w:ind w:firstLine="0" w:firstLineChars="0"/>
        <w:jc w:val="center"/>
        <w:rPr>
          <w:rFonts w:ascii="黑体" w:hAnsi="宋体" w:eastAsia="黑体"/>
          <w:b/>
          <w:bCs/>
          <w:spacing w:val="140"/>
          <w:sz w:val="44"/>
          <w:highlight w:val="none"/>
        </w:rPr>
      </w:pPr>
      <w:r>
        <w:rPr>
          <w:rFonts w:hint="eastAsia" w:ascii="黑体" w:hAnsi="宋体" w:eastAsia="黑体"/>
          <w:b/>
          <w:bCs/>
          <w:spacing w:val="140"/>
          <w:sz w:val="44"/>
          <w:highlight w:val="none"/>
        </w:rPr>
        <w:t>转让文件</w:t>
      </w:r>
    </w:p>
    <w:sdt>
      <w:sdtPr>
        <w:rPr>
          <w:rFonts w:ascii="Times New Roman" w:hAnsi="Times New Roman" w:eastAsia="宋体" w:cs="Times New Roman"/>
          <w:b w:val="0"/>
          <w:bCs w:val="0"/>
          <w:color w:val="auto"/>
          <w:kern w:val="2"/>
          <w:sz w:val="21"/>
          <w:szCs w:val="24"/>
          <w:highlight w:val="none"/>
          <w:lang w:val="zh-CN"/>
        </w:rPr>
        <w:id w:val="291027570"/>
        <w:docPartObj>
          <w:docPartGallery w:val="Table of Contents"/>
          <w:docPartUnique/>
        </w:docPartObj>
      </w:sdtPr>
      <w:sdtEndPr>
        <w:rPr>
          <w:rFonts w:ascii="Times New Roman" w:hAnsi="Times New Roman" w:eastAsia="宋体" w:cs="Times New Roman"/>
          <w:b w:val="0"/>
          <w:bCs w:val="0"/>
          <w:color w:val="auto"/>
          <w:kern w:val="2"/>
          <w:sz w:val="32"/>
          <w:szCs w:val="32"/>
          <w:highlight w:val="none"/>
          <w:lang w:val="zh-CN"/>
        </w:rPr>
      </w:sdtEndPr>
      <w:sdtContent>
        <w:p>
          <w:pPr>
            <w:pStyle w:val="35"/>
            <w:spacing w:line="360" w:lineRule="auto"/>
            <w:ind w:firstLine="420"/>
            <w:rPr>
              <w:sz w:val="28"/>
              <w:szCs w:val="28"/>
              <w:highlight w:val="none"/>
            </w:rPr>
          </w:pP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rPr>
            <w:fldChar w:fldCharType="begin"/>
          </w:r>
          <w:r>
            <w:rPr>
              <w:b/>
              <w:bCs/>
              <w:sz w:val="32"/>
              <w:szCs w:val="32"/>
              <w:highlight w:val="none"/>
            </w:rPr>
            <w:instrText xml:space="preserve"> TOC \o "1-3" \h \z \u </w:instrText>
          </w:r>
          <w:r>
            <w:rPr>
              <w:b/>
              <w:bCs/>
              <w:sz w:val="32"/>
              <w:szCs w:val="32"/>
              <w:highlight w:val="none"/>
            </w:rPr>
            <w:fldChar w:fldCharType="separate"/>
          </w:r>
          <w:r>
            <w:rPr>
              <w:b/>
              <w:bCs/>
              <w:sz w:val="32"/>
              <w:szCs w:val="32"/>
              <w:highlight w:val="none"/>
            </w:rPr>
            <w:fldChar w:fldCharType="begin"/>
          </w:r>
          <w:r>
            <w:rPr>
              <w:b/>
              <w:bCs/>
              <w:sz w:val="32"/>
              <w:szCs w:val="32"/>
              <w:highlight w:val="none"/>
            </w:rPr>
            <w:instrText xml:space="preserve"> HYPERLINK \l _Toc9713 </w:instrText>
          </w:r>
          <w:r>
            <w:rPr>
              <w:b/>
              <w:bCs/>
              <w:sz w:val="32"/>
              <w:szCs w:val="32"/>
              <w:highlight w:val="none"/>
            </w:rPr>
            <w:fldChar w:fldCharType="separate"/>
          </w:r>
          <w:r>
            <w:rPr>
              <w:rFonts w:hint="eastAsia"/>
              <w:b/>
              <w:bCs/>
              <w:sz w:val="32"/>
              <w:szCs w:val="32"/>
              <w:highlight w:val="none"/>
            </w:rPr>
            <w:t>股权转让公告</w:t>
          </w:r>
          <w:r>
            <w:rPr>
              <w:b/>
              <w:bCs/>
              <w:sz w:val="32"/>
              <w:szCs w:val="32"/>
              <w:highlight w:val="none"/>
            </w:rPr>
            <w:tab/>
          </w:r>
          <w:r>
            <w:rPr>
              <w:b/>
              <w:bCs/>
              <w:sz w:val="32"/>
              <w:szCs w:val="32"/>
              <w:highlight w:val="none"/>
            </w:rPr>
            <w:fldChar w:fldCharType="begin"/>
          </w:r>
          <w:r>
            <w:rPr>
              <w:b/>
              <w:bCs/>
              <w:sz w:val="32"/>
              <w:szCs w:val="32"/>
              <w:highlight w:val="none"/>
            </w:rPr>
            <w:instrText xml:space="preserve"> PAGEREF _Toc9713 </w:instrText>
          </w:r>
          <w:r>
            <w:rPr>
              <w:b/>
              <w:bCs/>
              <w:sz w:val="32"/>
              <w:szCs w:val="32"/>
              <w:highlight w:val="none"/>
            </w:rPr>
            <w:fldChar w:fldCharType="separate"/>
          </w:r>
          <w:r>
            <w:rPr>
              <w:b/>
              <w:bCs/>
              <w:sz w:val="32"/>
              <w:szCs w:val="32"/>
              <w:highlight w:val="none"/>
            </w:rPr>
            <w:t>1</w:t>
          </w:r>
          <w:r>
            <w:rPr>
              <w:b/>
              <w:bCs/>
              <w:sz w:val="32"/>
              <w:szCs w:val="32"/>
              <w:highlight w:val="none"/>
            </w:rPr>
            <w:fldChar w:fldCharType="end"/>
          </w:r>
          <w:r>
            <w:rPr>
              <w:b/>
              <w:bCs/>
              <w:sz w:val="32"/>
              <w:szCs w:val="32"/>
              <w:highlight w:val="none"/>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_Toc23846 </w:instrText>
          </w:r>
          <w:r>
            <w:rPr>
              <w:b/>
              <w:bCs/>
              <w:sz w:val="32"/>
              <w:szCs w:val="32"/>
              <w:highlight w:val="none"/>
              <w:lang w:val="zh-CN"/>
            </w:rPr>
            <w:fldChar w:fldCharType="separate"/>
          </w:r>
          <w:r>
            <w:rPr>
              <w:rFonts w:hint="eastAsia"/>
              <w:b/>
              <w:bCs/>
              <w:sz w:val="32"/>
              <w:szCs w:val="32"/>
              <w:highlight w:val="none"/>
            </w:rPr>
            <w:t>转让须知</w:t>
          </w:r>
          <w:r>
            <w:rPr>
              <w:b/>
              <w:bCs/>
              <w:sz w:val="32"/>
              <w:szCs w:val="32"/>
              <w:highlight w:val="none"/>
            </w:rPr>
            <w:tab/>
          </w:r>
          <w:r>
            <w:rPr>
              <w:b/>
              <w:bCs/>
              <w:sz w:val="32"/>
              <w:szCs w:val="32"/>
              <w:highlight w:val="none"/>
            </w:rPr>
            <w:fldChar w:fldCharType="begin"/>
          </w:r>
          <w:r>
            <w:rPr>
              <w:b/>
              <w:bCs/>
              <w:sz w:val="32"/>
              <w:szCs w:val="32"/>
              <w:highlight w:val="none"/>
            </w:rPr>
            <w:instrText xml:space="preserve"> PAGEREF _Toc23846 </w:instrText>
          </w:r>
          <w:r>
            <w:rPr>
              <w:b/>
              <w:bCs/>
              <w:sz w:val="32"/>
              <w:szCs w:val="32"/>
              <w:highlight w:val="none"/>
            </w:rPr>
            <w:fldChar w:fldCharType="separate"/>
          </w:r>
          <w:r>
            <w:rPr>
              <w:b/>
              <w:bCs/>
              <w:sz w:val="32"/>
              <w:szCs w:val="32"/>
              <w:highlight w:val="none"/>
            </w:rPr>
            <w:t>3</w:t>
          </w:r>
          <w:r>
            <w:rPr>
              <w:b/>
              <w:bCs/>
              <w:sz w:val="32"/>
              <w:szCs w:val="32"/>
              <w:highlight w:val="none"/>
            </w:rPr>
            <w:fldChar w:fldCharType="end"/>
          </w:r>
          <w:r>
            <w:rPr>
              <w:b/>
              <w:bCs/>
              <w:sz w:val="32"/>
              <w:szCs w:val="32"/>
              <w:highlight w:val="none"/>
              <w:lang w:val="zh-CN"/>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_Toc13275 </w:instrText>
          </w:r>
          <w:r>
            <w:rPr>
              <w:b/>
              <w:bCs/>
              <w:sz w:val="32"/>
              <w:szCs w:val="32"/>
              <w:highlight w:val="none"/>
              <w:lang w:val="zh-CN"/>
            </w:rPr>
            <w:fldChar w:fldCharType="separate"/>
          </w:r>
          <w:r>
            <w:rPr>
              <w:rFonts w:hint="eastAsia"/>
              <w:b/>
              <w:bCs/>
              <w:sz w:val="32"/>
              <w:szCs w:val="32"/>
              <w:highlight w:val="none"/>
            </w:rPr>
            <w:t>竞买申请书</w:t>
          </w:r>
          <w:r>
            <w:rPr>
              <w:b/>
              <w:bCs/>
              <w:sz w:val="32"/>
              <w:szCs w:val="32"/>
              <w:highlight w:val="none"/>
            </w:rPr>
            <w:tab/>
          </w:r>
          <w:r>
            <w:rPr>
              <w:b/>
              <w:bCs/>
              <w:sz w:val="32"/>
              <w:szCs w:val="32"/>
              <w:highlight w:val="none"/>
            </w:rPr>
            <w:fldChar w:fldCharType="begin"/>
          </w:r>
          <w:r>
            <w:rPr>
              <w:b/>
              <w:bCs/>
              <w:sz w:val="32"/>
              <w:szCs w:val="32"/>
              <w:highlight w:val="none"/>
            </w:rPr>
            <w:instrText xml:space="preserve"> PAGEREF _Toc13275 </w:instrText>
          </w:r>
          <w:r>
            <w:rPr>
              <w:b/>
              <w:bCs/>
              <w:sz w:val="32"/>
              <w:szCs w:val="32"/>
              <w:highlight w:val="none"/>
            </w:rPr>
            <w:fldChar w:fldCharType="separate"/>
          </w:r>
          <w:r>
            <w:rPr>
              <w:b/>
              <w:bCs/>
              <w:sz w:val="32"/>
              <w:szCs w:val="32"/>
              <w:highlight w:val="none"/>
            </w:rPr>
            <w:t>10</w:t>
          </w:r>
          <w:r>
            <w:rPr>
              <w:b/>
              <w:bCs/>
              <w:sz w:val="32"/>
              <w:szCs w:val="32"/>
              <w:highlight w:val="none"/>
            </w:rPr>
            <w:fldChar w:fldCharType="end"/>
          </w:r>
          <w:r>
            <w:rPr>
              <w:b/>
              <w:bCs/>
              <w:sz w:val="32"/>
              <w:szCs w:val="32"/>
              <w:highlight w:val="none"/>
              <w:lang w:val="zh-CN"/>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_Toc51 </w:instrText>
          </w:r>
          <w:r>
            <w:rPr>
              <w:b/>
              <w:bCs/>
              <w:sz w:val="32"/>
              <w:szCs w:val="32"/>
              <w:highlight w:val="none"/>
              <w:lang w:val="zh-CN"/>
            </w:rPr>
            <w:fldChar w:fldCharType="separate"/>
          </w:r>
          <w:r>
            <w:rPr>
              <w:rFonts w:hint="eastAsia"/>
              <w:b/>
              <w:bCs/>
              <w:sz w:val="32"/>
              <w:szCs w:val="32"/>
              <w:highlight w:val="none"/>
            </w:rPr>
            <w:t>竞买人承诺函</w:t>
          </w:r>
          <w:r>
            <w:rPr>
              <w:b/>
              <w:bCs/>
              <w:sz w:val="32"/>
              <w:szCs w:val="32"/>
              <w:highlight w:val="none"/>
            </w:rPr>
            <w:tab/>
          </w:r>
          <w:r>
            <w:rPr>
              <w:b/>
              <w:bCs/>
              <w:sz w:val="32"/>
              <w:szCs w:val="32"/>
              <w:highlight w:val="none"/>
            </w:rPr>
            <w:fldChar w:fldCharType="begin"/>
          </w:r>
          <w:r>
            <w:rPr>
              <w:b/>
              <w:bCs/>
              <w:sz w:val="32"/>
              <w:szCs w:val="32"/>
              <w:highlight w:val="none"/>
            </w:rPr>
            <w:instrText xml:space="preserve"> PAGEREF _Toc51 </w:instrText>
          </w:r>
          <w:r>
            <w:rPr>
              <w:b/>
              <w:bCs/>
              <w:sz w:val="32"/>
              <w:szCs w:val="32"/>
              <w:highlight w:val="none"/>
            </w:rPr>
            <w:fldChar w:fldCharType="separate"/>
          </w:r>
          <w:r>
            <w:rPr>
              <w:b/>
              <w:bCs/>
              <w:sz w:val="32"/>
              <w:szCs w:val="32"/>
              <w:highlight w:val="none"/>
            </w:rPr>
            <w:t>11</w:t>
          </w:r>
          <w:r>
            <w:rPr>
              <w:b/>
              <w:bCs/>
              <w:sz w:val="32"/>
              <w:szCs w:val="32"/>
              <w:highlight w:val="none"/>
            </w:rPr>
            <w:fldChar w:fldCharType="end"/>
          </w:r>
          <w:r>
            <w:rPr>
              <w:b/>
              <w:bCs/>
              <w:sz w:val="32"/>
              <w:szCs w:val="32"/>
              <w:highlight w:val="none"/>
              <w:lang w:val="zh-CN"/>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_Toc6515 </w:instrText>
          </w:r>
          <w:r>
            <w:rPr>
              <w:b/>
              <w:bCs/>
              <w:sz w:val="32"/>
              <w:szCs w:val="32"/>
              <w:highlight w:val="none"/>
              <w:lang w:val="zh-CN"/>
            </w:rPr>
            <w:fldChar w:fldCharType="separate"/>
          </w:r>
          <w:r>
            <w:rPr>
              <w:rFonts w:hint="eastAsia"/>
              <w:b/>
              <w:bCs/>
              <w:sz w:val="32"/>
              <w:szCs w:val="32"/>
              <w:highlight w:val="none"/>
            </w:rPr>
            <w:t>成交确认书</w:t>
          </w:r>
          <w:r>
            <w:rPr>
              <w:b/>
              <w:bCs/>
              <w:sz w:val="32"/>
              <w:szCs w:val="32"/>
              <w:highlight w:val="none"/>
            </w:rPr>
            <w:tab/>
          </w:r>
          <w:r>
            <w:rPr>
              <w:b/>
              <w:bCs/>
              <w:sz w:val="32"/>
              <w:szCs w:val="32"/>
              <w:highlight w:val="none"/>
            </w:rPr>
            <w:fldChar w:fldCharType="begin"/>
          </w:r>
          <w:r>
            <w:rPr>
              <w:b/>
              <w:bCs/>
              <w:sz w:val="32"/>
              <w:szCs w:val="32"/>
              <w:highlight w:val="none"/>
            </w:rPr>
            <w:instrText xml:space="preserve"> PAGEREF _Toc6515 </w:instrText>
          </w:r>
          <w:r>
            <w:rPr>
              <w:b/>
              <w:bCs/>
              <w:sz w:val="32"/>
              <w:szCs w:val="32"/>
              <w:highlight w:val="none"/>
            </w:rPr>
            <w:fldChar w:fldCharType="separate"/>
          </w:r>
          <w:r>
            <w:rPr>
              <w:b/>
              <w:bCs/>
              <w:sz w:val="32"/>
              <w:szCs w:val="32"/>
              <w:highlight w:val="none"/>
            </w:rPr>
            <w:t>13</w:t>
          </w:r>
          <w:r>
            <w:rPr>
              <w:b/>
              <w:bCs/>
              <w:sz w:val="32"/>
              <w:szCs w:val="32"/>
              <w:highlight w:val="none"/>
            </w:rPr>
            <w:fldChar w:fldCharType="end"/>
          </w:r>
          <w:r>
            <w:rPr>
              <w:b/>
              <w:bCs/>
              <w:sz w:val="32"/>
              <w:szCs w:val="32"/>
              <w:highlight w:val="none"/>
              <w:lang w:val="zh-CN"/>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_Toc17355 </w:instrText>
          </w:r>
          <w:r>
            <w:rPr>
              <w:b/>
              <w:bCs/>
              <w:sz w:val="32"/>
              <w:szCs w:val="32"/>
              <w:highlight w:val="none"/>
              <w:lang w:val="zh-CN"/>
            </w:rPr>
            <w:fldChar w:fldCharType="separate"/>
          </w:r>
          <w:r>
            <w:rPr>
              <w:rFonts w:hint="eastAsia"/>
              <w:b/>
              <w:bCs/>
              <w:sz w:val="32"/>
              <w:szCs w:val="32"/>
              <w:highlight w:val="none"/>
            </w:rPr>
            <w:t>转让合同</w:t>
          </w:r>
          <w:r>
            <w:rPr>
              <w:b/>
              <w:bCs/>
              <w:sz w:val="32"/>
              <w:szCs w:val="32"/>
              <w:highlight w:val="none"/>
            </w:rPr>
            <w:tab/>
          </w:r>
          <w:r>
            <w:rPr>
              <w:b/>
              <w:bCs/>
              <w:sz w:val="32"/>
              <w:szCs w:val="32"/>
              <w:highlight w:val="none"/>
            </w:rPr>
            <w:fldChar w:fldCharType="begin"/>
          </w:r>
          <w:r>
            <w:rPr>
              <w:b/>
              <w:bCs/>
              <w:sz w:val="32"/>
              <w:szCs w:val="32"/>
              <w:highlight w:val="none"/>
            </w:rPr>
            <w:instrText xml:space="preserve"> PAGEREF _Toc17355 </w:instrText>
          </w:r>
          <w:r>
            <w:rPr>
              <w:b/>
              <w:bCs/>
              <w:sz w:val="32"/>
              <w:szCs w:val="32"/>
              <w:highlight w:val="none"/>
            </w:rPr>
            <w:fldChar w:fldCharType="separate"/>
          </w:r>
          <w:r>
            <w:rPr>
              <w:b/>
              <w:bCs/>
              <w:sz w:val="32"/>
              <w:szCs w:val="32"/>
              <w:highlight w:val="none"/>
            </w:rPr>
            <w:t>15</w:t>
          </w:r>
          <w:r>
            <w:rPr>
              <w:b/>
              <w:bCs/>
              <w:sz w:val="32"/>
              <w:szCs w:val="32"/>
              <w:highlight w:val="none"/>
            </w:rPr>
            <w:fldChar w:fldCharType="end"/>
          </w:r>
          <w:r>
            <w:rPr>
              <w:b/>
              <w:bCs/>
              <w:sz w:val="32"/>
              <w:szCs w:val="32"/>
              <w:highlight w:val="none"/>
              <w:lang w:val="zh-CN"/>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_Toc20392 </w:instrText>
          </w:r>
          <w:r>
            <w:rPr>
              <w:b/>
              <w:bCs/>
              <w:sz w:val="32"/>
              <w:szCs w:val="32"/>
              <w:highlight w:val="none"/>
              <w:lang w:val="zh-CN"/>
            </w:rPr>
            <w:fldChar w:fldCharType="separate"/>
          </w:r>
          <w:r>
            <w:rPr>
              <w:rFonts w:hint="eastAsia"/>
              <w:b/>
              <w:bCs/>
              <w:sz w:val="32"/>
              <w:szCs w:val="32"/>
              <w:highlight w:val="none"/>
            </w:rPr>
            <w:t>转让股权相关信息</w:t>
          </w:r>
          <w:r>
            <w:rPr>
              <w:b/>
              <w:bCs/>
              <w:sz w:val="32"/>
              <w:szCs w:val="32"/>
              <w:highlight w:val="none"/>
            </w:rPr>
            <w:tab/>
          </w:r>
          <w:r>
            <w:rPr>
              <w:b/>
              <w:bCs/>
              <w:sz w:val="32"/>
              <w:szCs w:val="32"/>
              <w:highlight w:val="none"/>
            </w:rPr>
            <w:fldChar w:fldCharType="begin"/>
          </w:r>
          <w:r>
            <w:rPr>
              <w:b/>
              <w:bCs/>
              <w:sz w:val="32"/>
              <w:szCs w:val="32"/>
              <w:highlight w:val="none"/>
            </w:rPr>
            <w:instrText xml:space="preserve"> PAGEREF _Toc20392 </w:instrText>
          </w:r>
          <w:r>
            <w:rPr>
              <w:b/>
              <w:bCs/>
              <w:sz w:val="32"/>
              <w:szCs w:val="32"/>
              <w:highlight w:val="none"/>
            </w:rPr>
            <w:fldChar w:fldCharType="separate"/>
          </w:r>
          <w:r>
            <w:rPr>
              <w:b/>
              <w:bCs/>
              <w:sz w:val="32"/>
              <w:szCs w:val="32"/>
              <w:highlight w:val="none"/>
            </w:rPr>
            <w:t>24</w:t>
          </w:r>
          <w:r>
            <w:rPr>
              <w:b/>
              <w:bCs/>
              <w:sz w:val="32"/>
              <w:szCs w:val="32"/>
              <w:highlight w:val="none"/>
            </w:rPr>
            <w:fldChar w:fldCharType="end"/>
          </w:r>
          <w:r>
            <w:rPr>
              <w:b/>
              <w:bCs/>
              <w:sz w:val="32"/>
              <w:szCs w:val="32"/>
              <w:highlight w:val="none"/>
              <w:lang w:val="zh-CN"/>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313" w:beforeLines="100" w:beforeAutospacing="0" w:after="313" w:afterLines="100" w:afterAutospacing="0" w:line="480" w:lineRule="auto"/>
            <w:ind w:left="0" w:leftChars="0" w:firstLine="0" w:firstLineChars="0"/>
            <w:textAlignment w:val="auto"/>
            <w:rPr>
              <w:b/>
              <w:bCs/>
              <w:sz w:val="32"/>
              <w:szCs w:val="32"/>
              <w:highlight w:val="none"/>
            </w:rPr>
          </w:pPr>
          <w:r>
            <w:rPr>
              <w:b/>
              <w:bCs/>
              <w:sz w:val="32"/>
              <w:szCs w:val="32"/>
              <w:highlight w:val="none"/>
              <w:lang w:val="zh-CN"/>
            </w:rPr>
            <w:fldChar w:fldCharType="begin"/>
          </w:r>
          <w:r>
            <w:rPr>
              <w:b/>
              <w:bCs/>
              <w:sz w:val="32"/>
              <w:szCs w:val="32"/>
              <w:highlight w:val="none"/>
              <w:lang w:val="zh-CN"/>
            </w:rPr>
            <w:instrText xml:space="preserve"> HYPERLINK \l _Toc982 </w:instrText>
          </w:r>
          <w:r>
            <w:rPr>
              <w:b/>
              <w:bCs/>
              <w:sz w:val="32"/>
              <w:szCs w:val="32"/>
              <w:highlight w:val="none"/>
              <w:lang w:val="zh-CN"/>
            </w:rPr>
            <w:fldChar w:fldCharType="separate"/>
          </w:r>
          <w:r>
            <w:rPr>
              <w:rFonts w:hint="eastAsia"/>
              <w:b/>
              <w:bCs/>
              <w:sz w:val="32"/>
              <w:szCs w:val="32"/>
              <w:highlight w:val="none"/>
            </w:rPr>
            <w:t>台州市产权交易所有限公司简介</w:t>
          </w:r>
          <w:r>
            <w:rPr>
              <w:b/>
              <w:bCs/>
              <w:sz w:val="32"/>
              <w:szCs w:val="32"/>
              <w:highlight w:val="none"/>
            </w:rPr>
            <w:tab/>
          </w:r>
          <w:r>
            <w:rPr>
              <w:b/>
              <w:bCs/>
              <w:sz w:val="32"/>
              <w:szCs w:val="32"/>
              <w:highlight w:val="none"/>
            </w:rPr>
            <w:fldChar w:fldCharType="begin"/>
          </w:r>
          <w:r>
            <w:rPr>
              <w:b/>
              <w:bCs/>
              <w:sz w:val="32"/>
              <w:szCs w:val="32"/>
              <w:highlight w:val="none"/>
            </w:rPr>
            <w:instrText xml:space="preserve"> PAGEREF _Toc982 </w:instrText>
          </w:r>
          <w:r>
            <w:rPr>
              <w:b/>
              <w:bCs/>
              <w:sz w:val="32"/>
              <w:szCs w:val="32"/>
              <w:highlight w:val="none"/>
            </w:rPr>
            <w:fldChar w:fldCharType="separate"/>
          </w:r>
          <w:r>
            <w:rPr>
              <w:b/>
              <w:bCs/>
              <w:sz w:val="32"/>
              <w:szCs w:val="32"/>
              <w:highlight w:val="none"/>
            </w:rPr>
            <w:t>27</w:t>
          </w:r>
          <w:r>
            <w:rPr>
              <w:b/>
              <w:bCs/>
              <w:sz w:val="32"/>
              <w:szCs w:val="32"/>
              <w:highlight w:val="none"/>
            </w:rPr>
            <w:fldChar w:fldCharType="end"/>
          </w:r>
          <w:r>
            <w:rPr>
              <w:b/>
              <w:bCs/>
              <w:sz w:val="32"/>
              <w:szCs w:val="32"/>
              <w:highlight w:val="none"/>
              <w:lang w:val="zh-CN"/>
            </w:rPr>
            <w:fldChar w:fldCharType="end"/>
          </w:r>
        </w:p>
        <w:p>
          <w:pPr>
            <w:keepNext w:val="0"/>
            <w:keepLines w:val="0"/>
            <w:pageBreakBefore w:val="0"/>
            <w:widowControl w:val="0"/>
            <w:kinsoku/>
            <w:wordWrap/>
            <w:overflowPunct/>
            <w:topLinePunct w:val="0"/>
            <w:autoSpaceDE/>
            <w:autoSpaceDN/>
            <w:bidi w:val="0"/>
            <w:adjustRightInd/>
            <w:snapToGrid/>
            <w:spacing w:before="313" w:beforeLines="100" w:beforeAutospacing="0" w:after="313" w:afterLines="100" w:afterAutospacing="0" w:line="480" w:lineRule="auto"/>
            <w:textAlignment w:val="auto"/>
            <w:rPr>
              <w:sz w:val="32"/>
              <w:szCs w:val="32"/>
              <w:highlight w:val="none"/>
            </w:rPr>
          </w:pPr>
          <w:r>
            <w:rPr>
              <w:b/>
              <w:bCs/>
              <w:sz w:val="32"/>
              <w:szCs w:val="32"/>
              <w:highlight w:val="none"/>
              <w:lang w:val="zh-CN"/>
            </w:rPr>
            <w:fldChar w:fldCharType="end"/>
          </w:r>
        </w:p>
      </w:sdtContent>
    </w:sdt>
    <w:p>
      <w:pPr>
        <w:ind w:firstLine="562"/>
        <w:rPr>
          <w:rFonts w:ascii="宋体" w:hAnsi="宋体"/>
          <w:b/>
          <w:bCs/>
          <w:sz w:val="28"/>
          <w:szCs w:val="28"/>
          <w:highlight w:val="none"/>
        </w:rPr>
      </w:pPr>
    </w:p>
    <w:p>
      <w:pPr>
        <w:ind w:firstLine="562"/>
        <w:jc w:val="center"/>
        <w:rPr>
          <w:rFonts w:ascii="宋体" w:hAnsi="宋体"/>
          <w:b/>
          <w:sz w:val="28"/>
          <w:szCs w:val="28"/>
          <w:highlight w:val="none"/>
        </w:rPr>
        <w:sectPr>
          <w:footerReference r:id="rId9" w:type="default"/>
          <w:pgSz w:w="11906" w:h="16838"/>
          <w:pgMar w:top="1440" w:right="1531" w:bottom="1327" w:left="1531" w:header="851" w:footer="992" w:gutter="0"/>
          <w:cols w:space="720" w:num="1"/>
          <w:docGrid w:type="lines" w:linePitch="312" w:charSpace="0"/>
        </w:sectPr>
      </w:pPr>
    </w:p>
    <w:p>
      <w:pPr>
        <w:pStyle w:val="2"/>
        <w:spacing w:before="100" w:beforeAutospacing="1" w:after="100" w:afterAutospacing="1" w:line="360" w:lineRule="auto"/>
        <w:jc w:val="center"/>
        <w:rPr>
          <w:sz w:val="36"/>
          <w:highlight w:val="none"/>
        </w:rPr>
      </w:pPr>
      <w:bookmarkStart w:id="0" w:name="_Toc13047"/>
      <w:bookmarkStart w:id="1" w:name="_Toc9713"/>
      <w:bookmarkStart w:id="2" w:name="_Toc528773690"/>
      <w:r>
        <w:rPr>
          <w:rFonts w:hint="eastAsia"/>
          <w:sz w:val="36"/>
          <w:highlight w:val="none"/>
        </w:rPr>
        <w:t>股权转让公告</w:t>
      </w:r>
      <w:bookmarkEnd w:id="0"/>
      <w:bookmarkEnd w:id="1"/>
      <w:bookmarkEnd w:id="2"/>
    </w:p>
    <w:p>
      <w:pPr>
        <w:ind w:firstLine="0" w:firstLineChars="0"/>
        <w:jc w:val="center"/>
        <w:rPr>
          <w:rFonts w:hint="eastAsia" w:ascii="宋体" w:hAnsi="宋体"/>
          <w:bCs/>
          <w:sz w:val="28"/>
          <w:szCs w:val="28"/>
          <w:highlight w:val="none"/>
        </w:rPr>
      </w:pPr>
      <w:r>
        <w:rPr>
          <w:rFonts w:hint="eastAsia" w:ascii="宋体" w:hAnsi="宋体"/>
          <w:bCs/>
          <w:sz w:val="28"/>
          <w:szCs w:val="28"/>
          <w:highlight w:val="none"/>
        </w:rPr>
        <w:t>台交所挂〔2019〕</w:t>
      </w:r>
      <w:r>
        <w:rPr>
          <w:rFonts w:hint="eastAsia" w:ascii="宋体" w:hAnsi="宋体"/>
          <w:bCs/>
          <w:sz w:val="28"/>
          <w:szCs w:val="28"/>
          <w:highlight w:val="none"/>
          <w:lang w:val="en-US" w:eastAsia="zh-CN"/>
        </w:rPr>
        <w:t>17</w:t>
      </w:r>
      <w:r>
        <w:rPr>
          <w:rFonts w:hint="eastAsia" w:ascii="宋体" w:hAnsi="宋体"/>
          <w:bCs/>
          <w:sz w:val="28"/>
          <w:szCs w:val="28"/>
          <w:highlight w:val="none"/>
        </w:rPr>
        <w:t>号</w:t>
      </w:r>
    </w:p>
    <w:p>
      <w:pPr>
        <w:ind w:firstLine="560"/>
        <w:rPr>
          <w:rFonts w:ascii="宋体" w:hAnsi="宋体"/>
          <w:sz w:val="28"/>
          <w:szCs w:val="28"/>
          <w:highlight w:val="none"/>
        </w:rPr>
      </w:pPr>
      <w:r>
        <w:rPr>
          <w:rFonts w:hint="eastAsia" w:ascii="宋体" w:hAnsi="宋体"/>
          <w:sz w:val="28"/>
          <w:szCs w:val="28"/>
          <w:highlight w:val="none"/>
        </w:rPr>
        <w:t>受有关单位委托，台州市产权交易所有限公司（以下简称产交所）对</w:t>
      </w:r>
      <w:bookmarkStart w:id="3" w:name="_Hlk526956940"/>
      <w:bookmarkStart w:id="4" w:name="_Hlk527011094"/>
      <w:r>
        <w:rPr>
          <w:rFonts w:hint="eastAsia" w:ascii="宋体" w:hAnsi="宋体"/>
          <w:sz w:val="28"/>
          <w:szCs w:val="28"/>
          <w:highlight w:val="none"/>
        </w:rPr>
        <w:t>海正药业（杭州）有限公司持有的浙江海正博锐生物制药有限公司</w:t>
      </w:r>
      <w:bookmarkEnd w:id="3"/>
      <w:bookmarkEnd w:id="4"/>
      <w:r>
        <w:rPr>
          <w:rFonts w:hint="eastAsia" w:ascii="宋体" w:hAnsi="宋体"/>
          <w:sz w:val="28"/>
          <w:szCs w:val="28"/>
          <w:highlight w:val="none"/>
        </w:rPr>
        <w:t>20</w:t>
      </w:r>
      <w:r>
        <w:rPr>
          <w:rFonts w:hint="eastAsia" w:ascii="宋体" w:hAnsi="宋体"/>
          <w:sz w:val="28"/>
          <w:szCs w:val="28"/>
          <w:highlight w:val="none"/>
          <w:lang w:val="en-US" w:eastAsia="zh-CN"/>
        </w:rPr>
        <w:t>,</w:t>
      </w:r>
      <w:r>
        <w:rPr>
          <w:rFonts w:hint="eastAsia" w:ascii="宋体" w:hAnsi="宋体"/>
          <w:sz w:val="28"/>
          <w:szCs w:val="28"/>
          <w:highlight w:val="none"/>
        </w:rPr>
        <w:t>170.50万元注册资本进行公开转让，具体事宜公告如下：</w:t>
      </w:r>
    </w:p>
    <w:p>
      <w:pPr>
        <w:numPr>
          <w:ilvl w:val="0"/>
          <w:numId w:val="1"/>
        </w:numPr>
        <w:ind w:left="0" w:firstLine="562"/>
        <w:jc w:val="left"/>
        <w:rPr>
          <w:rFonts w:ascii="宋体" w:hAnsi="宋体"/>
          <w:b/>
          <w:sz w:val="28"/>
          <w:szCs w:val="28"/>
          <w:highlight w:val="none"/>
        </w:rPr>
      </w:pPr>
      <w:r>
        <w:rPr>
          <w:rFonts w:hint="eastAsia" w:ascii="宋体" w:hAnsi="宋体"/>
          <w:b/>
          <w:sz w:val="28"/>
          <w:szCs w:val="28"/>
          <w:highlight w:val="none"/>
        </w:rPr>
        <w:t>转让标的、底价及保证金</w:t>
      </w:r>
    </w:p>
    <w:p>
      <w:pPr>
        <w:ind w:firstLine="560"/>
        <w:jc w:val="left"/>
        <w:rPr>
          <w:rFonts w:hint="eastAsia" w:ascii="宋体" w:hAnsi="宋体"/>
          <w:sz w:val="28"/>
          <w:szCs w:val="28"/>
          <w:highlight w:val="none"/>
        </w:rPr>
      </w:pPr>
      <w:r>
        <w:rPr>
          <w:rFonts w:hint="eastAsia" w:ascii="宋体" w:hAnsi="宋体"/>
          <w:sz w:val="28"/>
          <w:szCs w:val="28"/>
          <w:highlight w:val="none"/>
        </w:rPr>
        <w:t>本次转让标的为</w:t>
      </w:r>
      <w:bookmarkStart w:id="5" w:name="_Hlk525637256"/>
      <w:r>
        <w:rPr>
          <w:rFonts w:hint="eastAsia" w:ascii="宋体" w:hAnsi="宋体"/>
          <w:sz w:val="28"/>
          <w:szCs w:val="28"/>
          <w:highlight w:val="none"/>
        </w:rPr>
        <w:t>海正药业（杭州）有限公司持有的浙江海正博锐生物制药有限公司</w:t>
      </w:r>
      <w:bookmarkEnd w:id="5"/>
      <w:r>
        <w:rPr>
          <w:rFonts w:hint="eastAsia" w:ascii="宋体" w:hAnsi="宋体"/>
          <w:sz w:val="28"/>
          <w:szCs w:val="28"/>
          <w:highlight w:val="none"/>
        </w:rPr>
        <w:t>20,170.50万元注册资本，转让底价225,909.60万元，竞买保证金67,772.88万元。</w:t>
      </w:r>
    </w:p>
    <w:p>
      <w:pPr>
        <w:numPr>
          <w:ilvl w:val="0"/>
          <w:numId w:val="1"/>
        </w:numPr>
        <w:ind w:left="0" w:firstLine="562"/>
        <w:jc w:val="left"/>
        <w:rPr>
          <w:rFonts w:ascii="宋体" w:hAnsi="宋体"/>
          <w:b/>
          <w:sz w:val="28"/>
          <w:szCs w:val="28"/>
          <w:highlight w:val="none"/>
        </w:rPr>
      </w:pPr>
      <w:r>
        <w:rPr>
          <w:rFonts w:hint="eastAsia" w:ascii="宋体" w:hAnsi="宋体"/>
          <w:b/>
          <w:sz w:val="28"/>
          <w:szCs w:val="28"/>
          <w:highlight w:val="none"/>
        </w:rPr>
        <w:t>转让方式、竞买人条件</w:t>
      </w:r>
    </w:p>
    <w:p>
      <w:pPr>
        <w:ind w:firstLine="560" w:firstLineChars="0"/>
        <w:jc w:val="left"/>
        <w:rPr>
          <w:rFonts w:hint="eastAsia" w:ascii="宋体" w:hAnsi="宋体"/>
          <w:sz w:val="28"/>
          <w:szCs w:val="28"/>
          <w:highlight w:val="none"/>
        </w:rPr>
      </w:pPr>
      <w:bookmarkStart w:id="6" w:name="待定01"/>
      <w:r>
        <w:rPr>
          <w:rFonts w:hint="eastAsia" w:ascii="宋体" w:hAnsi="宋体"/>
          <w:sz w:val="28"/>
          <w:szCs w:val="28"/>
          <w:highlight w:val="none"/>
        </w:rPr>
        <w:t>本次股权转让公告发布的同时，标的公司浙江海正博锐生物制药有限公司同步发布增资项目公告（台交所挂〔2019〕</w:t>
      </w:r>
      <w:r>
        <w:rPr>
          <w:rFonts w:hint="eastAsia" w:ascii="宋体" w:hAnsi="宋体"/>
          <w:sz w:val="28"/>
          <w:szCs w:val="28"/>
          <w:highlight w:val="none"/>
          <w:lang w:val="en-US" w:eastAsia="zh-CN"/>
        </w:rPr>
        <w:t>16</w:t>
      </w:r>
      <w:r>
        <w:rPr>
          <w:rFonts w:hint="eastAsia" w:ascii="宋体" w:hAnsi="宋体"/>
          <w:sz w:val="28"/>
          <w:szCs w:val="28"/>
          <w:highlight w:val="none"/>
        </w:rPr>
        <w:t>号）,竞买人资格条件、交易条件、与转让相关的其他条件以增资公告为准，本转让项目不单独接受竞买人办理受让意向登记手续，竞买人须满足“浙江海正博锐生物制药有限公司增资项目”的资格条件，并承诺接受所有增资条件，成为增资项目的意向投资方。</w:t>
      </w:r>
    </w:p>
    <w:p>
      <w:pPr>
        <w:numPr>
          <w:ilvl w:val="0"/>
          <w:numId w:val="1"/>
        </w:numPr>
        <w:ind w:left="0" w:firstLine="562"/>
        <w:jc w:val="left"/>
        <w:rPr>
          <w:rFonts w:ascii="宋体" w:hAnsi="宋体"/>
          <w:b/>
          <w:sz w:val="28"/>
          <w:szCs w:val="28"/>
          <w:highlight w:val="none"/>
        </w:rPr>
      </w:pPr>
      <w:r>
        <w:rPr>
          <w:rFonts w:hint="eastAsia" w:ascii="宋体" w:hAnsi="宋体"/>
          <w:b/>
          <w:sz w:val="28"/>
          <w:szCs w:val="28"/>
          <w:highlight w:val="none"/>
        </w:rPr>
        <w:t>付款方式</w:t>
      </w:r>
    </w:p>
    <w:p>
      <w:pPr>
        <w:keepNext w:val="0"/>
        <w:keepLines w:val="0"/>
        <w:pageBreakBefore w:val="0"/>
        <w:widowControl w:val="0"/>
        <w:numPr>
          <w:ilvl w:val="255"/>
          <w:numId w:val="0"/>
        </w:numPr>
        <w:tabs>
          <w:tab w:val="left" w:pos="6960"/>
        </w:tabs>
        <w:kinsoku/>
        <w:wordWrap/>
        <w:overflowPunct/>
        <w:topLinePunct w:val="0"/>
        <w:autoSpaceDE/>
        <w:autoSpaceDN/>
        <w:bidi w:val="0"/>
        <w:adjustRightInd/>
        <w:snapToGrid/>
        <w:ind w:firstLine="561"/>
        <w:jc w:val="both"/>
        <w:textAlignment w:val="auto"/>
        <w:rPr>
          <w:rFonts w:ascii="宋体" w:hAnsi="宋体"/>
          <w:sz w:val="28"/>
          <w:szCs w:val="28"/>
          <w:highlight w:val="none"/>
        </w:rPr>
      </w:pPr>
      <w:r>
        <w:rPr>
          <w:rFonts w:hint="eastAsia" w:ascii="宋体" w:hAnsi="宋体"/>
          <w:sz w:val="28"/>
          <w:szCs w:val="28"/>
          <w:highlight w:val="none"/>
        </w:rPr>
        <w:t>股权转让成交后，受让方在签署本《成交确认书》后两日内签署《股权转让合同》。《股权转让合同》生效后(如需</w:t>
      </w:r>
      <w:r>
        <w:rPr>
          <w:rFonts w:ascii="宋体" w:hAnsi="宋体"/>
          <w:sz w:val="28"/>
          <w:szCs w:val="28"/>
          <w:highlight w:val="none"/>
        </w:rPr>
        <w:t>相关政府主管部门</w:t>
      </w:r>
      <w:r>
        <w:rPr>
          <w:rFonts w:hint="eastAsia" w:ascii="宋体" w:hAnsi="宋体"/>
          <w:sz w:val="28"/>
          <w:szCs w:val="28"/>
          <w:highlight w:val="none"/>
        </w:rPr>
        <w:t>批准</w:t>
      </w:r>
      <w:r>
        <w:rPr>
          <w:rFonts w:ascii="宋体" w:hAnsi="宋体"/>
          <w:sz w:val="28"/>
          <w:szCs w:val="28"/>
          <w:highlight w:val="none"/>
        </w:rPr>
        <w:t>、登记</w:t>
      </w:r>
      <w:r>
        <w:rPr>
          <w:rFonts w:hint="eastAsia" w:ascii="宋体" w:hAnsi="宋体"/>
          <w:sz w:val="28"/>
          <w:szCs w:val="28"/>
          <w:highlight w:val="none"/>
        </w:rPr>
        <w:t>及/</w:t>
      </w:r>
      <w:r>
        <w:rPr>
          <w:rFonts w:ascii="宋体" w:hAnsi="宋体"/>
          <w:sz w:val="28"/>
          <w:szCs w:val="28"/>
          <w:highlight w:val="none"/>
        </w:rPr>
        <w:t>或备案的，则在政府主管部门</w:t>
      </w:r>
      <w:r>
        <w:rPr>
          <w:rFonts w:hint="eastAsia" w:ascii="宋体" w:hAnsi="宋体"/>
          <w:sz w:val="28"/>
          <w:szCs w:val="28"/>
          <w:highlight w:val="none"/>
        </w:rPr>
        <w:t>批准</w:t>
      </w:r>
      <w:r>
        <w:rPr>
          <w:rFonts w:ascii="宋体" w:hAnsi="宋体"/>
          <w:sz w:val="28"/>
          <w:szCs w:val="28"/>
          <w:highlight w:val="none"/>
        </w:rPr>
        <w:t>、登记</w:t>
      </w:r>
      <w:r>
        <w:rPr>
          <w:rFonts w:hint="eastAsia" w:ascii="宋体" w:hAnsi="宋体"/>
          <w:sz w:val="28"/>
          <w:szCs w:val="28"/>
          <w:highlight w:val="none"/>
        </w:rPr>
        <w:t>及/</w:t>
      </w:r>
      <w:r>
        <w:rPr>
          <w:rFonts w:ascii="宋体" w:hAnsi="宋体"/>
          <w:sz w:val="28"/>
          <w:szCs w:val="28"/>
          <w:highlight w:val="none"/>
        </w:rPr>
        <w:t>或备案</w:t>
      </w:r>
      <w:r>
        <w:rPr>
          <w:rFonts w:hint="eastAsia" w:ascii="宋体" w:hAnsi="宋体"/>
          <w:sz w:val="28"/>
          <w:szCs w:val="28"/>
          <w:highlight w:val="none"/>
        </w:rPr>
        <w:t>后)五个工作日内支付不低于成交额</w:t>
      </w:r>
      <w:r>
        <w:rPr>
          <w:rFonts w:ascii="宋体" w:hAnsi="宋体"/>
          <w:sz w:val="28"/>
          <w:szCs w:val="28"/>
          <w:highlight w:val="none"/>
        </w:rPr>
        <w:t>30</w:t>
      </w:r>
      <w:r>
        <w:rPr>
          <w:rFonts w:hint="eastAsia" w:ascii="宋体" w:hAnsi="宋体"/>
          <w:sz w:val="28"/>
          <w:szCs w:val="28"/>
          <w:highlight w:val="none"/>
        </w:rPr>
        <w:t>%的转让款（且</w:t>
      </w:r>
      <w:r>
        <w:rPr>
          <w:rFonts w:ascii="宋体" w:hAnsi="宋体"/>
          <w:sz w:val="28"/>
          <w:szCs w:val="28"/>
          <w:highlight w:val="none"/>
        </w:rPr>
        <w:t>无论如何不</w:t>
      </w:r>
      <w:r>
        <w:rPr>
          <w:rFonts w:hint="eastAsia" w:ascii="宋体" w:hAnsi="宋体"/>
          <w:sz w:val="28"/>
          <w:szCs w:val="28"/>
          <w:highlight w:val="none"/>
        </w:rPr>
        <w:t>得</w:t>
      </w:r>
      <w:r>
        <w:rPr>
          <w:rFonts w:ascii="宋体" w:hAnsi="宋体"/>
          <w:sz w:val="28"/>
          <w:szCs w:val="28"/>
          <w:highlight w:val="none"/>
        </w:rPr>
        <w:t>低于</w:t>
      </w:r>
      <w:r>
        <w:rPr>
          <w:rFonts w:hint="eastAsia" w:ascii="宋体" w:hAnsi="宋体"/>
          <w:sz w:val="28"/>
          <w:szCs w:val="28"/>
          <w:highlight w:val="none"/>
        </w:rPr>
        <w:t>人民币758,890,099元），剩余款项根据</w:t>
      </w:r>
      <w:r>
        <w:rPr>
          <w:rFonts w:ascii="宋体" w:hAnsi="宋体"/>
          <w:sz w:val="28"/>
          <w:szCs w:val="28"/>
          <w:highlight w:val="none"/>
        </w:rPr>
        <w:t>《股权转让合同》完成</w:t>
      </w:r>
      <w:r>
        <w:rPr>
          <w:rFonts w:hint="eastAsia" w:ascii="宋体" w:hAnsi="宋体"/>
          <w:sz w:val="28"/>
          <w:szCs w:val="28"/>
          <w:highlight w:val="none"/>
        </w:rPr>
        <w:t>支付，且提供银行保函或符合转让方要求的合法有效担保。</w:t>
      </w:r>
    </w:p>
    <w:bookmarkEnd w:id="6"/>
    <w:p>
      <w:pPr>
        <w:numPr>
          <w:ilvl w:val="0"/>
          <w:numId w:val="1"/>
        </w:numPr>
        <w:ind w:left="0" w:firstLine="562"/>
        <w:jc w:val="left"/>
        <w:rPr>
          <w:rFonts w:ascii="宋体" w:hAnsi="宋体"/>
          <w:b/>
          <w:sz w:val="28"/>
          <w:szCs w:val="28"/>
          <w:highlight w:val="none"/>
        </w:rPr>
      </w:pPr>
      <w:r>
        <w:rPr>
          <w:rFonts w:hint="eastAsia" w:ascii="宋体" w:hAnsi="宋体"/>
          <w:b/>
          <w:sz w:val="28"/>
          <w:szCs w:val="28"/>
          <w:highlight w:val="none"/>
        </w:rPr>
        <w:t>报名须知</w:t>
      </w:r>
    </w:p>
    <w:p>
      <w:pPr>
        <w:ind w:firstLine="560"/>
        <w:jc w:val="left"/>
        <w:rPr>
          <w:rFonts w:hint="eastAsia" w:ascii="宋体" w:hAnsi="宋体"/>
          <w:bCs/>
          <w:sz w:val="28"/>
          <w:szCs w:val="28"/>
          <w:highlight w:val="none"/>
          <w:lang w:val="en-US" w:eastAsia="zh-CN"/>
        </w:rPr>
      </w:pPr>
      <w:bookmarkStart w:id="7" w:name="待定02"/>
      <w:r>
        <w:rPr>
          <w:rFonts w:hint="eastAsia" w:ascii="宋体" w:hAnsi="宋体"/>
          <w:bCs/>
          <w:sz w:val="28"/>
          <w:szCs w:val="28"/>
          <w:highlight w:val="none"/>
        </w:rPr>
        <w:t>竞买人应在报名参加增资项目时，同时以银行汇款或转账方式缴纳股权转让项目的保证金人民币</w:t>
      </w:r>
      <w:r>
        <w:rPr>
          <w:rFonts w:hint="eastAsia" w:ascii="宋体" w:hAnsi="宋体"/>
          <w:sz w:val="28"/>
          <w:szCs w:val="28"/>
          <w:highlight w:val="none"/>
        </w:rPr>
        <w:t>67,77</w:t>
      </w:r>
      <w:r>
        <w:rPr>
          <w:rFonts w:hint="eastAsia" w:ascii="宋体" w:hAnsi="宋体"/>
          <w:bCs/>
          <w:sz w:val="28"/>
          <w:szCs w:val="28"/>
          <w:highlight w:val="none"/>
        </w:rPr>
        <w:t>2.88万元</w:t>
      </w:r>
      <w:r>
        <w:rPr>
          <w:rFonts w:hint="eastAsia" w:ascii="宋体" w:hAnsi="宋体"/>
          <w:bCs/>
          <w:sz w:val="28"/>
          <w:szCs w:val="28"/>
          <w:highlight w:val="none"/>
          <w:lang w:val="en-US" w:eastAsia="zh-CN"/>
        </w:rPr>
        <w:t>至以下账户：</w:t>
      </w:r>
    </w:p>
    <w:p>
      <w:pPr>
        <w:ind w:firstLine="560"/>
        <w:jc w:val="left"/>
        <w:rPr>
          <w:rFonts w:hint="eastAsia" w:ascii="宋体" w:hAnsi="宋体"/>
          <w:bCs/>
          <w:sz w:val="28"/>
          <w:szCs w:val="28"/>
          <w:highlight w:val="none"/>
        </w:rPr>
      </w:pPr>
      <w:r>
        <w:rPr>
          <w:rFonts w:hint="eastAsia" w:ascii="宋体" w:hAnsi="宋体"/>
          <w:bCs/>
          <w:sz w:val="28"/>
          <w:szCs w:val="28"/>
          <w:highlight w:val="none"/>
        </w:rPr>
        <w:t>(1) 投资方为境内主体适用：单位名称：台州市产权交易所有限公司，开户行：浙江民泰商业银行台州椒江支行，帐号：5830162608000</w:t>
      </w:r>
      <w:r>
        <w:rPr>
          <w:rFonts w:hint="eastAsia" w:ascii="宋体" w:hAnsi="宋体"/>
          <w:bCs/>
          <w:sz w:val="28"/>
          <w:szCs w:val="28"/>
          <w:highlight w:val="none"/>
          <w:lang w:val="en-US" w:eastAsia="zh-CN"/>
        </w:rPr>
        <w:t>15</w:t>
      </w:r>
      <w:r>
        <w:rPr>
          <w:rFonts w:hint="eastAsia" w:ascii="宋体" w:hAnsi="宋体"/>
          <w:bCs/>
          <w:sz w:val="28"/>
          <w:szCs w:val="28"/>
          <w:highlight w:val="none"/>
        </w:rPr>
        <w:t>。</w:t>
      </w:r>
    </w:p>
    <w:p>
      <w:pPr>
        <w:ind w:firstLine="560"/>
        <w:jc w:val="left"/>
        <w:rPr>
          <w:rFonts w:hint="eastAsia" w:ascii="宋体" w:hAnsi="宋体"/>
          <w:bCs/>
          <w:sz w:val="28"/>
          <w:szCs w:val="28"/>
          <w:highlight w:val="none"/>
        </w:rPr>
      </w:pPr>
      <w:r>
        <w:rPr>
          <w:rFonts w:hint="eastAsia" w:ascii="宋体" w:hAnsi="宋体"/>
          <w:bCs/>
          <w:sz w:val="28"/>
          <w:szCs w:val="28"/>
          <w:highlight w:val="none"/>
        </w:rPr>
        <w:t>(2) 投资方为境外主体适用：单位名称：台州市产权交易所有限公司，开户行：中国农业银行台州市经济开发区支行，帐号：19900101040022292。</w:t>
      </w:r>
    </w:p>
    <w:bookmarkEnd w:id="7"/>
    <w:p>
      <w:pPr>
        <w:widowControl/>
        <w:numPr>
          <w:ilvl w:val="0"/>
          <w:numId w:val="1"/>
        </w:numPr>
        <w:shd w:val="clear" w:color="auto" w:fill="FFFFFF"/>
        <w:tabs>
          <w:tab w:val="clear" w:pos="900"/>
        </w:tabs>
        <w:ind w:left="0" w:firstLine="562"/>
        <w:jc w:val="left"/>
        <w:rPr>
          <w:rFonts w:ascii="宋体" w:hAnsi="宋体"/>
          <w:bCs/>
          <w:sz w:val="28"/>
          <w:szCs w:val="28"/>
          <w:highlight w:val="none"/>
        </w:rPr>
      </w:pPr>
      <w:r>
        <w:rPr>
          <w:rFonts w:hint="eastAsia" w:ascii="宋体" w:hAnsi="宋体" w:cs="宋体"/>
          <w:b/>
          <w:kern w:val="0"/>
          <w:sz w:val="28"/>
          <w:szCs w:val="28"/>
          <w:highlight w:val="none"/>
        </w:rPr>
        <w:t>本次股权</w:t>
      </w:r>
      <w:r>
        <w:rPr>
          <w:rFonts w:hint="eastAsia" w:ascii="宋体" w:hAnsi="宋体"/>
          <w:bCs/>
          <w:sz w:val="28"/>
          <w:szCs w:val="28"/>
          <w:highlight w:val="none"/>
        </w:rPr>
        <w:t>不单独接受竞买人办理受让意向登记手续。</w:t>
      </w:r>
    </w:p>
    <w:p>
      <w:pPr>
        <w:ind w:firstLine="560"/>
        <w:jc w:val="left"/>
        <w:rPr>
          <w:rFonts w:ascii="宋体" w:hAnsi="宋体"/>
          <w:sz w:val="28"/>
          <w:szCs w:val="28"/>
          <w:highlight w:val="none"/>
        </w:rPr>
      </w:pPr>
      <w:r>
        <w:rPr>
          <w:rFonts w:hint="eastAsia" w:ascii="宋体" w:hAnsi="宋体"/>
          <w:sz w:val="28"/>
          <w:szCs w:val="28"/>
          <w:highlight w:val="none"/>
        </w:rPr>
        <w:t>六、 联系人：小潘    电话（传真）：0576-88685180</w:t>
      </w:r>
    </w:p>
    <w:p>
      <w:pPr>
        <w:ind w:firstLine="560"/>
        <w:jc w:val="left"/>
        <w:rPr>
          <w:rFonts w:ascii="宋体" w:hAnsi="宋体"/>
          <w:sz w:val="28"/>
          <w:szCs w:val="28"/>
          <w:highlight w:val="none"/>
        </w:rPr>
      </w:pPr>
      <w:r>
        <w:rPr>
          <w:rFonts w:hint="eastAsia" w:ascii="宋体" w:hAnsi="宋体"/>
          <w:sz w:val="28"/>
          <w:szCs w:val="28"/>
          <w:highlight w:val="none"/>
        </w:rPr>
        <w:t>七、具体情况详见转让须知。</w:t>
      </w:r>
    </w:p>
    <w:p>
      <w:pPr>
        <w:ind w:firstLine="560"/>
        <w:jc w:val="left"/>
        <w:rPr>
          <w:rFonts w:ascii="宋体" w:hAnsi="宋体"/>
          <w:sz w:val="28"/>
          <w:szCs w:val="28"/>
          <w:highlight w:val="none"/>
        </w:rPr>
      </w:pPr>
      <w:r>
        <w:rPr>
          <w:rFonts w:hint="eastAsia" w:ascii="宋体" w:hAnsi="宋体"/>
          <w:sz w:val="28"/>
          <w:szCs w:val="28"/>
          <w:highlight w:val="none"/>
        </w:rPr>
        <w:t xml:space="preserve">详情登陆 www.tzpre.com   </w:t>
      </w:r>
      <w:r>
        <w:rPr>
          <w:highlight w:val="none"/>
        </w:rPr>
        <w:fldChar w:fldCharType="begin"/>
      </w:r>
      <w:r>
        <w:rPr>
          <w:highlight w:val="none"/>
        </w:rPr>
        <w:instrText xml:space="preserve"> HYPERLINK "http://www.tzztb.com" </w:instrText>
      </w:r>
      <w:r>
        <w:rPr>
          <w:highlight w:val="none"/>
        </w:rPr>
        <w:fldChar w:fldCharType="separate"/>
      </w:r>
      <w:r>
        <w:rPr>
          <w:rStyle w:val="21"/>
          <w:rFonts w:hint="eastAsia" w:ascii="宋体" w:hAnsi="宋体"/>
          <w:color w:val="auto"/>
          <w:sz w:val="28"/>
          <w:szCs w:val="28"/>
          <w:highlight w:val="none"/>
        </w:rPr>
        <w:t>www.tzztb.com</w:t>
      </w:r>
      <w:r>
        <w:rPr>
          <w:rStyle w:val="21"/>
          <w:rFonts w:hint="eastAsia" w:ascii="宋体" w:hAnsi="宋体"/>
          <w:color w:val="auto"/>
          <w:sz w:val="28"/>
          <w:szCs w:val="28"/>
          <w:highlight w:val="none"/>
        </w:rPr>
        <w:fldChar w:fldCharType="end"/>
      </w:r>
      <w:r>
        <w:rPr>
          <w:rFonts w:hint="eastAsia" w:ascii="宋体" w:hAnsi="宋体"/>
          <w:sz w:val="28"/>
          <w:szCs w:val="28"/>
          <w:highlight w:val="none"/>
          <w:u w:val="single"/>
        </w:rPr>
        <w:t>/tzcm</w:t>
      </w:r>
    </w:p>
    <w:p>
      <w:pPr>
        <w:ind w:firstLine="0" w:firstLineChars="0"/>
        <w:rPr>
          <w:rFonts w:ascii="宋体" w:hAnsi="宋体"/>
          <w:sz w:val="28"/>
          <w:szCs w:val="28"/>
          <w:highlight w:val="none"/>
        </w:rPr>
      </w:pPr>
    </w:p>
    <w:p>
      <w:pPr>
        <w:ind w:firstLineChars="0"/>
        <w:jc w:val="right"/>
        <w:rPr>
          <w:rFonts w:ascii="宋体" w:hAnsi="宋体"/>
          <w:sz w:val="28"/>
          <w:szCs w:val="28"/>
          <w:highlight w:val="none"/>
        </w:rPr>
      </w:pPr>
      <w:r>
        <w:rPr>
          <w:rFonts w:hint="eastAsia" w:ascii="宋体" w:hAnsi="宋体"/>
          <w:sz w:val="28"/>
          <w:szCs w:val="28"/>
          <w:highlight w:val="none"/>
        </w:rPr>
        <w:t>台州市产权交易所有限公司</w:t>
      </w:r>
    </w:p>
    <w:p>
      <w:pPr>
        <w:ind w:firstLineChars="0"/>
        <w:jc w:val="right"/>
        <w:rPr>
          <w:rFonts w:hint="eastAsia" w:ascii="宋体" w:hAnsi="宋体" w:eastAsia="宋体"/>
          <w:sz w:val="28"/>
          <w:szCs w:val="28"/>
          <w:highlight w:val="none"/>
          <w:lang w:eastAsia="zh-CN"/>
        </w:rPr>
      </w:pPr>
      <w:r>
        <w:rPr>
          <w:rFonts w:hint="eastAsia" w:ascii="宋体" w:hAnsi="宋体"/>
          <w:sz w:val="28"/>
          <w:szCs w:val="28"/>
          <w:highlight w:val="none"/>
        </w:rPr>
        <w:t>二○一九年</w:t>
      </w:r>
      <w:r>
        <w:rPr>
          <w:rFonts w:hint="eastAsia" w:ascii="宋体" w:hAnsi="宋体"/>
          <w:sz w:val="28"/>
          <w:szCs w:val="28"/>
          <w:highlight w:val="none"/>
          <w:lang w:val="en-US" w:eastAsia="zh-CN"/>
        </w:rPr>
        <w:t xml:space="preserve">八月七日 </w:t>
      </w:r>
    </w:p>
    <w:p>
      <w:pPr>
        <w:spacing w:line="430" w:lineRule="exact"/>
        <w:ind w:firstLine="0" w:firstLineChars="0"/>
        <w:jc w:val="center"/>
        <w:rPr>
          <w:rFonts w:ascii="宋体" w:hAnsi="宋体"/>
          <w:b/>
          <w:sz w:val="32"/>
          <w:szCs w:val="32"/>
          <w:highlight w:val="none"/>
        </w:rPr>
      </w:pPr>
      <w:r>
        <w:rPr>
          <w:rFonts w:hint="eastAsia" w:ascii="宋体" w:hAnsi="宋体"/>
          <w:sz w:val="28"/>
          <w:szCs w:val="28"/>
          <w:highlight w:val="none"/>
        </w:rPr>
        <w:br w:type="page"/>
      </w:r>
      <w:bookmarkStart w:id="8" w:name="_Hlk527013137"/>
      <w:r>
        <w:rPr>
          <w:rFonts w:hint="eastAsia" w:ascii="宋体" w:hAnsi="宋体"/>
          <w:b/>
          <w:sz w:val="32"/>
          <w:szCs w:val="32"/>
          <w:highlight w:val="none"/>
          <w:lang w:val="ms-MY"/>
        </w:rPr>
        <w:t>浙江海正博锐生物制药有限公司股权</w:t>
      </w:r>
      <w:bookmarkEnd w:id="8"/>
    </w:p>
    <w:p>
      <w:pPr>
        <w:pStyle w:val="2"/>
        <w:spacing w:before="100" w:beforeAutospacing="1" w:after="100" w:afterAutospacing="1" w:line="360" w:lineRule="auto"/>
        <w:jc w:val="center"/>
        <w:rPr>
          <w:sz w:val="32"/>
          <w:highlight w:val="none"/>
        </w:rPr>
      </w:pPr>
      <w:bookmarkStart w:id="9" w:name="_Toc5069"/>
      <w:bookmarkStart w:id="10" w:name="_Toc528773691"/>
      <w:bookmarkStart w:id="11" w:name="_Toc23846"/>
      <w:r>
        <w:rPr>
          <w:rFonts w:hint="eastAsia"/>
          <w:sz w:val="32"/>
          <w:highlight w:val="none"/>
        </w:rPr>
        <w:t>转让须知</w:t>
      </w:r>
      <w:bookmarkEnd w:id="9"/>
      <w:bookmarkEnd w:id="10"/>
      <w:bookmarkEnd w:id="11"/>
    </w:p>
    <w:p>
      <w:pPr>
        <w:ind w:firstLine="560"/>
        <w:rPr>
          <w:rFonts w:ascii="宋体" w:hAnsi="宋体"/>
          <w:sz w:val="28"/>
          <w:szCs w:val="28"/>
          <w:highlight w:val="none"/>
        </w:rPr>
      </w:pPr>
      <w:r>
        <w:rPr>
          <w:rFonts w:hint="eastAsia" w:ascii="宋体" w:hAnsi="宋体"/>
          <w:sz w:val="28"/>
          <w:szCs w:val="28"/>
          <w:highlight w:val="none"/>
        </w:rPr>
        <w:t>受海正药业（杭州）有限公司委托，公开转让其所持有的</w:t>
      </w:r>
      <w:bookmarkStart w:id="12" w:name="_Hlk527011228"/>
      <w:r>
        <w:rPr>
          <w:rFonts w:hint="eastAsia" w:ascii="宋体" w:hAnsi="宋体"/>
          <w:sz w:val="28"/>
          <w:szCs w:val="28"/>
          <w:highlight w:val="none"/>
        </w:rPr>
        <w:t>浙江海正博锐生物制药有限公司的</w:t>
      </w:r>
      <w:bookmarkEnd w:id="12"/>
      <w:r>
        <w:rPr>
          <w:rFonts w:hint="eastAsia" w:ascii="宋体" w:hAnsi="宋体"/>
          <w:sz w:val="28"/>
          <w:szCs w:val="28"/>
          <w:highlight w:val="none"/>
          <w:lang w:eastAsia="zh-CN"/>
        </w:rPr>
        <w:t>20,170.50</w:t>
      </w:r>
      <w:r>
        <w:rPr>
          <w:rFonts w:hint="eastAsia" w:ascii="宋体" w:hAnsi="宋体"/>
          <w:sz w:val="28"/>
          <w:szCs w:val="28"/>
          <w:highlight w:val="none"/>
        </w:rPr>
        <w:t>万元注册资本（</w:t>
      </w:r>
      <w:r>
        <w:rPr>
          <w:rFonts w:ascii="宋体" w:hAnsi="宋体"/>
          <w:sz w:val="28"/>
          <w:szCs w:val="28"/>
          <w:highlight w:val="none"/>
        </w:rPr>
        <w:t>代表</w:t>
      </w:r>
      <w:r>
        <w:rPr>
          <w:rFonts w:hint="eastAsia" w:ascii="宋体" w:hAnsi="宋体"/>
          <w:sz w:val="28"/>
          <w:szCs w:val="28"/>
          <w:highlight w:val="none"/>
        </w:rPr>
        <w:t>浙江海正博锐生物制药有限公司</w:t>
      </w:r>
      <w:r>
        <w:rPr>
          <w:rFonts w:ascii="宋体" w:hAnsi="宋体"/>
          <w:sz w:val="28"/>
          <w:szCs w:val="28"/>
          <w:highlight w:val="none"/>
        </w:rPr>
        <w:t>40.3410%</w:t>
      </w:r>
      <w:r>
        <w:rPr>
          <w:rFonts w:hint="eastAsia" w:ascii="宋体" w:hAnsi="宋体"/>
          <w:sz w:val="28"/>
          <w:szCs w:val="28"/>
          <w:highlight w:val="none"/>
        </w:rPr>
        <w:t>股权）。现将有关事项告知意向受让人，请认真阅读与遵守。</w:t>
      </w:r>
    </w:p>
    <w:p>
      <w:pPr>
        <w:ind w:firstLine="560"/>
        <w:jc w:val="left"/>
        <w:rPr>
          <w:rFonts w:ascii="宋体" w:hAnsi="宋体"/>
          <w:sz w:val="28"/>
          <w:szCs w:val="28"/>
          <w:highlight w:val="none"/>
        </w:rPr>
      </w:pPr>
      <w:r>
        <w:rPr>
          <w:rFonts w:hint="eastAsia" w:ascii="宋体" w:hAnsi="宋体"/>
          <w:sz w:val="28"/>
          <w:szCs w:val="28"/>
          <w:highlight w:val="none"/>
        </w:rPr>
        <w:t>一、转让标的底价及保证金</w:t>
      </w:r>
    </w:p>
    <w:p>
      <w:pPr>
        <w:ind w:firstLine="560"/>
        <w:rPr>
          <w:rFonts w:ascii="宋体" w:hAnsi="宋体"/>
          <w:sz w:val="28"/>
          <w:szCs w:val="28"/>
          <w:highlight w:val="none"/>
        </w:rPr>
      </w:pPr>
      <w:r>
        <w:rPr>
          <w:rFonts w:hint="eastAsia" w:ascii="宋体" w:hAnsi="宋体"/>
          <w:sz w:val="28"/>
          <w:szCs w:val="28"/>
          <w:highlight w:val="none"/>
        </w:rPr>
        <w:t>本次转让标的为海正药业（杭州）有限公司所持有的浙江海正博锐生物制药有限公司的20,170.50万元注册资本。转让底价225,909.60万元人民币，竞买保证金67,772.88万元。</w:t>
      </w:r>
    </w:p>
    <w:p>
      <w:pPr>
        <w:ind w:firstLine="560"/>
        <w:rPr>
          <w:rFonts w:ascii="宋体" w:hAnsi="宋体"/>
          <w:sz w:val="28"/>
          <w:szCs w:val="28"/>
          <w:highlight w:val="none"/>
        </w:rPr>
      </w:pPr>
      <w:r>
        <w:rPr>
          <w:rFonts w:hint="eastAsia" w:ascii="宋体" w:hAnsi="宋体"/>
          <w:sz w:val="28"/>
          <w:szCs w:val="28"/>
          <w:highlight w:val="none"/>
        </w:rPr>
        <w:t>二、本次股权转让行为已经必要的内部决策和批准程序，资产评估项</w:t>
      </w:r>
      <w:bookmarkStart w:id="13" w:name="待定03"/>
      <w:r>
        <w:rPr>
          <w:rFonts w:hint="eastAsia" w:ascii="宋体" w:hAnsi="宋体"/>
          <w:sz w:val="28"/>
          <w:szCs w:val="28"/>
          <w:highlight w:val="none"/>
        </w:rPr>
        <w:t>目已经椒江区国资委备案，本次转让行为已经海正药业2019年第二次临时股东大会批准，并获得椒江区国资委批复（</w:t>
      </w:r>
      <w:r>
        <w:rPr>
          <w:rFonts w:hint="eastAsia" w:ascii="宋体" w:hAnsi="宋体"/>
          <w:sz w:val="28"/>
          <w:szCs w:val="28"/>
          <w:highlight w:val="none"/>
          <w:lang w:eastAsia="zh-CN"/>
        </w:rPr>
        <w:t>台椒国资委[2019]2号</w:t>
      </w:r>
      <w:r>
        <w:rPr>
          <w:rFonts w:hint="eastAsia" w:ascii="宋体" w:hAnsi="宋体"/>
          <w:sz w:val="28"/>
          <w:szCs w:val="28"/>
          <w:highlight w:val="none"/>
        </w:rPr>
        <w:t>）同意。</w:t>
      </w:r>
    </w:p>
    <w:bookmarkEnd w:id="13"/>
    <w:p>
      <w:pPr>
        <w:ind w:firstLine="560"/>
        <w:rPr>
          <w:rFonts w:ascii="宋体" w:hAnsi="宋体"/>
          <w:sz w:val="28"/>
          <w:szCs w:val="28"/>
          <w:highlight w:val="none"/>
        </w:rPr>
      </w:pPr>
      <w:r>
        <w:rPr>
          <w:rFonts w:hint="eastAsia" w:ascii="宋体" w:hAnsi="宋体"/>
          <w:sz w:val="28"/>
          <w:szCs w:val="28"/>
          <w:highlight w:val="none"/>
        </w:rPr>
        <w:t>三、企业基本情况</w:t>
      </w:r>
    </w:p>
    <w:p>
      <w:pPr>
        <w:ind w:firstLine="560"/>
        <w:rPr>
          <w:rFonts w:ascii="宋体" w:hAnsi="宋体"/>
          <w:sz w:val="28"/>
          <w:szCs w:val="28"/>
          <w:highlight w:val="none"/>
        </w:rPr>
      </w:pPr>
      <w:r>
        <w:rPr>
          <w:rFonts w:hint="eastAsia" w:ascii="宋体" w:hAnsi="宋体"/>
          <w:sz w:val="28"/>
          <w:szCs w:val="28"/>
          <w:highlight w:val="none"/>
        </w:rPr>
        <w:t>1、公司注册情况</w:t>
      </w:r>
    </w:p>
    <w:p>
      <w:pPr>
        <w:ind w:firstLine="560"/>
        <w:rPr>
          <w:rFonts w:ascii="宋体" w:hAnsi="宋体" w:cs="宋体"/>
          <w:sz w:val="28"/>
          <w:szCs w:val="28"/>
          <w:highlight w:val="none"/>
        </w:rPr>
      </w:pPr>
      <w:r>
        <w:rPr>
          <w:rFonts w:hint="eastAsia" w:ascii="宋体" w:hAnsi="宋体"/>
          <w:sz w:val="28"/>
          <w:szCs w:val="28"/>
          <w:highlight w:val="none"/>
        </w:rPr>
        <w:t>浙江海正博锐生物制药有限公司（下称“海正博锐”）是一家专注于抗体类生物药研发生产销售的专业化公司。组建于2019年1月，注册资本5亿元，统一社会信用代码为91331002MA2DTHGU4M，法定代表人蒋国平；经营范围：生物药品的生产、销售及研发；生物技术推广服务；货物及技术进出口业务（依法须经批准的项目，经相关部门批准后方可开展经营活动）</w:t>
      </w:r>
    </w:p>
    <w:p>
      <w:pPr>
        <w:ind w:firstLine="638" w:firstLineChars="228"/>
        <w:rPr>
          <w:rFonts w:ascii="宋体" w:hAnsi="宋体"/>
          <w:sz w:val="28"/>
          <w:szCs w:val="28"/>
          <w:highlight w:val="none"/>
        </w:rPr>
      </w:pPr>
      <w:r>
        <w:rPr>
          <w:rFonts w:hint="eastAsia" w:ascii="宋体" w:hAnsi="宋体"/>
          <w:sz w:val="28"/>
          <w:szCs w:val="28"/>
          <w:highlight w:val="none"/>
        </w:rPr>
        <w:t>2、公司经营情况</w:t>
      </w:r>
    </w:p>
    <w:p>
      <w:pPr>
        <w:pStyle w:val="4"/>
        <w:spacing w:line="360" w:lineRule="auto"/>
        <w:ind w:firstLine="560" w:firstLineChars="200"/>
        <w:rPr>
          <w:rFonts w:ascii="宋体" w:hAnsi="宋体" w:cs="宋体"/>
          <w:sz w:val="28"/>
          <w:szCs w:val="28"/>
          <w:highlight w:val="none"/>
        </w:rPr>
      </w:pPr>
      <w:r>
        <w:rPr>
          <w:rFonts w:hint="eastAsia" w:ascii="宋体" w:hAnsi="宋体" w:cs="宋体"/>
          <w:sz w:val="28"/>
          <w:szCs w:val="28"/>
          <w:highlight w:val="none"/>
        </w:rPr>
        <w:t>浙江海正博锐生物制药有限公司自成立至今，一直处于营业状态。</w:t>
      </w:r>
    </w:p>
    <w:p>
      <w:pPr>
        <w:ind w:firstLine="638" w:firstLineChars="228"/>
        <w:rPr>
          <w:rFonts w:ascii="宋体" w:hAnsi="宋体"/>
          <w:sz w:val="28"/>
          <w:szCs w:val="28"/>
          <w:highlight w:val="none"/>
        </w:rPr>
      </w:pPr>
      <w:r>
        <w:rPr>
          <w:rFonts w:ascii="宋体" w:hAnsi="宋体"/>
          <w:sz w:val="28"/>
          <w:szCs w:val="28"/>
          <w:highlight w:val="none"/>
        </w:rPr>
        <w:t>3</w:t>
      </w:r>
      <w:r>
        <w:rPr>
          <w:rFonts w:hint="eastAsia" w:ascii="宋体" w:hAnsi="宋体"/>
          <w:sz w:val="28"/>
          <w:szCs w:val="28"/>
          <w:highlight w:val="none"/>
        </w:rPr>
        <w:t>、公司股权结构</w:t>
      </w:r>
    </w:p>
    <w:p>
      <w:pPr>
        <w:autoSpaceDE w:val="0"/>
        <w:autoSpaceDN w:val="0"/>
        <w:adjustRightInd w:val="0"/>
        <w:spacing w:before="156" w:beforeLines="50" w:line="360" w:lineRule="auto"/>
        <w:ind w:firstLine="560"/>
        <w:rPr>
          <w:rFonts w:ascii="宋体" w:hAnsi="宋体" w:cs="宋体"/>
          <w:sz w:val="28"/>
          <w:szCs w:val="28"/>
          <w:highlight w:val="none"/>
        </w:rPr>
      </w:pPr>
      <w:r>
        <w:rPr>
          <w:rFonts w:hint="eastAsia" w:ascii="宋体" w:hAnsi="宋体" w:cs="宋体"/>
          <w:sz w:val="28"/>
          <w:szCs w:val="28"/>
          <w:highlight w:val="none"/>
        </w:rPr>
        <w:t>海正博锐现有股权结构如下：</w:t>
      </w:r>
    </w:p>
    <w:tbl>
      <w:tblPr>
        <w:tblStyle w:val="15"/>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2551"/>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shd w:val="clear" w:color="auto" w:fill="auto"/>
            <w:vAlign w:val="center"/>
          </w:tcPr>
          <w:p>
            <w:pPr>
              <w:widowControl/>
              <w:spacing w:line="360" w:lineRule="auto"/>
              <w:ind w:firstLine="480"/>
              <w:jc w:val="center"/>
              <w:rPr>
                <w:rFonts w:ascii="宋体" w:hAnsi="宋体" w:cs="宋体"/>
                <w:bCs/>
                <w:kern w:val="0"/>
                <w:sz w:val="24"/>
                <w:highlight w:val="none"/>
              </w:rPr>
            </w:pPr>
            <w:r>
              <w:rPr>
                <w:rFonts w:hint="eastAsia" w:ascii="宋体" w:hAnsi="宋体" w:cs="宋体"/>
                <w:bCs/>
                <w:kern w:val="0"/>
                <w:sz w:val="24"/>
                <w:highlight w:val="none"/>
              </w:rPr>
              <w:t>股东名称</w:t>
            </w:r>
          </w:p>
        </w:tc>
        <w:tc>
          <w:tcPr>
            <w:tcW w:w="2551" w:type="dxa"/>
            <w:shd w:val="clear" w:color="auto" w:fill="auto"/>
            <w:vAlign w:val="center"/>
          </w:tcPr>
          <w:p>
            <w:pPr>
              <w:widowControl/>
              <w:spacing w:line="360" w:lineRule="auto"/>
              <w:ind w:firstLine="480"/>
              <w:jc w:val="center"/>
              <w:rPr>
                <w:rFonts w:ascii="宋体" w:hAnsi="宋体" w:cs="宋体"/>
                <w:bCs/>
                <w:kern w:val="0"/>
                <w:sz w:val="24"/>
                <w:highlight w:val="none"/>
              </w:rPr>
            </w:pPr>
            <w:r>
              <w:rPr>
                <w:rFonts w:hint="eastAsia" w:ascii="宋体" w:hAnsi="宋体" w:cs="宋体"/>
                <w:bCs/>
                <w:kern w:val="0"/>
                <w:sz w:val="24"/>
                <w:highlight w:val="none"/>
              </w:rPr>
              <w:t>出资额（万元）</w:t>
            </w:r>
          </w:p>
        </w:tc>
        <w:tc>
          <w:tcPr>
            <w:tcW w:w="1966" w:type="dxa"/>
            <w:shd w:val="clear" w:color="auto" w:fill="auto"/>
            <w:vAlign w:val="center"/>
          </w:tcPr>
          <w:p>
            <w:pPr>
              <w:widowControl/>
              <w:spacing w:line="360" w:lineRule="auto"/>
              <w:ind w:firstLine="480"/>
              <w:jc w:val="center"/>
              <w:rPr>
                <w:rFonts w:ascii="宋体" w:hAnsi="宋体" w:cs="宋体"/>
                <w:bCs/>
                <w:kern w:val="0"/>
                <w:sz w:val="24"/>
                <w:highlight w:val="none"/>
              </w:rPr>
            </w:pPr>
            <w:r>
              <w:rPr>
                <w:rFonts w:hint="eastAsia" w:ascii="宋体" w:hAnsi="宋体" w:cs="宋体"/>
                <w:bCs/>
                <w:kern w:val="0"/>
                <w:sz w:val="24"/>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sz w:val="24"/>
                <w:highlight w:val="none"/>
              </w:rPr>
            </w:pPr>
            <w:r>
              <w:rPr>
                <w:rFonts w:hint="eastAsia" w:ascii="宋体" w:hAnsi="宋体"/>
                <w:sz w:val="24"/>
                <w:highlight w:val="none"/>
              </w:rPr>
              <w:t>浙江海正药业股份有限公司</w:t>
            </w:r>
          </w:p>
        </w:tc>
        <w:tc>
          <w:tcPr>
            <w:tcW w:w="2551" w:type="dxa"/>
            <w:vAlign w:val="center"/>
          </w:tcPr>
          <w:p>
            <w:pPr>
              <w:ind w:firstLine="480"/>
              <w:jc w:val="center"/>
              <w:rPr>
                <w:rFonts w:ascii="宋体" w:hAnsi="宋体"/>
                <w:sz w:val="24"/>
                <w:highlight w:val="none"/>
              </w:rPr>
            </w:pPr>
            <w:r>
              <w:rPr>
                <w:rFonts w:ascii="宋体" w:hAnsi="宋体"/>
                <w:sz w:val="24"/>
                <w:highlight w:val="none"/>
              </w:rPr>
              <w:t>29,829.50</w:t>
            </w:r>
          </w:p>
        </w:tc>
        <w:tc>
          <w:tcPr>
            <w:tcW w:w="1966" w:type="dxa"/>
            <w:vAlign w:val="center"/>
          </w:tcPr>
          <w:p>
            <w:pPr>
              <w:ind w:firstLine="480"/>
              <w:jc w:val="center"/>
              <w:rPr>
                <w:rFonts w:ascii="宋体" w:hAnsi="宋体"/>
                <w:sz w:val="24"/>
                <w:highlight w:val="none"/>
              </w:rPr>
            </w:pPr>
            <w:r>
              <w:rPr>
                <w:rFonts w:hint="eastAsia" w:ascii="宋体" w:hAnsi="宋体"/>
                <w:sz w:val="24"/>
                <w:highlight w:val="none"/>
              </w:rPr>
              <w:t>59</w:t>
            </w:r>
            <w:r>
              <w:rPr>
                <w:rFonts w:ascii="宋体" w:hAnsi="宋体"/>
                <w:sz w:val="24"/>
                <w:highlight w:val="none"/>
              </w:rPr>
              <w:t>.6</w:t>
            </w:r>
            <w:r>
              <w:rPr>
                <w:rFonts w:hint="eastAsia" w:ascii="宋体" w:hAnsi="宋体"/>
                <w:sz w:val="24"/>
                <w:highlight w:val="none"/>
              </w:rPr>
              <w:t>6</w:t>
            </w:r>
            <w:r>
              <w:rPr>
                <w:rFonts w:ascii="宋体" w:hAnsi="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sz w:val="24"/>
                <w:highlight w:val="none"/>
              </w:rPr>
            </w:pPr>
            <w:r>
              <w:rPr>
                <w:rFonts w:hint="eastAsia" w:ascii="宋体" w:hAnsi="宋体"/>
                <w:sz w:val="24"/>
                <w:highlight w:val="none"/>
              </w:rPr>
              <w:t>海正药业（杭州）有限公司</w:t>
            </w:r>
          </w:p>
        </w:tc>
        <w:tc>
          <w:tcPr>
            <w:tcW w:w="2551" w:type="dxa"/>
            <w:vAlign w:val="center"/>
          </w:tcPr>
          <w:p>
            <w:pPr>
              <w:ind w:firstLine="480"/>
              <w:jc w:val="center"/>
              <w:rPr>
                <w:rFonts w:ascii="宋体" w:hAnsi="宋体"/>
                <w:sz w:val="24"/>
                <w:highlight w:val="none"/>
              </w:rPr>
            </w:pPr>
            <w:r>
              <w:rPr>
                <w:rFonts w:ascii="宋体" w:hAnsi="宋体"/>
                <w:sz w:val="24"/>
                <w:highlight w:val="none"/>
              </w:rPr>
              <w:t>20,170.50</w:t>
            </w:r>
          </w:p>
        </w:tc>
        <w:tc>
          <w:tcPr>
            <w:tcW w:w="1966" w:type="dxa"/>
            <w:vAlign w:val="center"/>
          </w:tcPr>
          <w:p>
            <w:pPr>
              <w:ind w:firstLine="480"/>
              <w:jc w:val="center"/>
              <w:rPr>
                <w:rFonts w:ascii="宋体" w:hAnsi="宋体"/>
                <w:sz w:val="24"/>
                <w:highlight w:val="none"/>
              </w:rPr>
            </w:pPr>
            <w:r>
              <w:rPr>
                <w:rFonts w:hint="eastAsia" w:ascii="宋体" w:hAnsi="宋体"/>
                <w:sz w:val="24"/>
                <w:highlight w:val="none"/>
              </w:rPr>
              <w:t>40</w:t>
            </w:r>
            <w:r>
              <w:rPr>
                <w:rFonts w:ascii="宋体" w:hAnsi="宋体"/>
                <w:sz w:val="24"/>
                <w:highlight w:val="none"/>
              </w:rPr>
              <w:t>.</w:t>
            </w:r>
            <w:r>
              <w:rPr>
                <w:rFonts w:hint="eastAsia" w:ascii="宋体" w:hAnsi="宋体"/>
                <w:sz w:val="24"/>
                <w:highlight w:val="none"/>
              </w:rPr>
              <w:t>3</w:t>
            </w:r>
            <w:r>
              <w:rPr>
                <w:rFonts w:ascii="宋体" w:hAnsi="宋体"/>
                <w:sz w:val="24"/>
                <w:highlight w:val="none"/>
              </w:rPr>
              <w:t>4</w:t>
            </w:r>
            <w:r>
              <w:rPr>
                <w:rFonts w:hint="eastAsia" w:ascii="宋体" w:hAnsi="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sz w:val="24"/>
                <w:highlight w:val="none"/>
              </w:rPr>
            </w:pPr>
            <w:r>
              <w:rPr>
                <w:rFonts w:hint="eastAsia" w:ascii="宋体" w:hAnsi="宋体"/>
                <w:sz w:val="24"/>
                <w:highlight w:val="none"/>
              </w:rPr>
              <w:t>合计</w:t>
            </w:r>
          </w:p>
        </w:tc>
        <w:tc>
          <w:tcPr>
            <w:tcW w:w="2551" w:type="dxa"/>
            <w:vAlign w:val="center"/>
          </w:tcPr>
          <w:p>
            <w:pPr>
              <w:ind w:firstLine="480"/>
              <w:jc w:val="center"/>
              <w:rPr>
                <w:rFonts w:ascii="宋体" w:hAnsi="宋体"/>
                <w:sz w:val="24"/>
                <w:highlight w:val="none"/>
              </w:rPr>
            </w:pPr>
            <w:r>
              <w:rPr>
                <w:rFonts w:ascii="宋体" w:hAnsi="宋体"/>
                <w:sz w:val="24"/>
                <w:highlight w:val="none"/>
              </w:rPr>
              <w:t>50,000.00</w:t>
            </w:r>
          </w:p>
        </w:tc>
        <w:tc>
          <w:tcPr>
            <w:tcW w:w="1966" w:type="dxa"/>
            <w:vAlign w:val="center"/>
          </w:tcPr>
          <w:p>
            <w:pPr>
              <w:ind w:firstLine="480"/>
              <w:jc w:val="center"/>
              <w:rPr>
                <w:rFonts w:ascii="宋体" w:hAnsi="宋体"/>
                <w:sz w:val="24"/>
                <w:highlight w:val="none"/>
              </w:rPr>
            </w:pPr>
            <w:r>
              <w:rPr>
                <w:rFonts w:ascii="宋体" w:hAnsi="宋体" w:cs="宋体"/>
                <w:bCs/>
                <w:kern w:val="0"/>
                <w:sz w:val="24"/>
                <w:highlight w:val="none"/>
              </w:rPr>
              <w:t>100.00%</w:t>
            </w:r>
          </w:p>
        </w:tc>
      </w:tr>
    </w:tbl>
    <w:p>
      <w:pPr>
        <w:numPr>
          <w:ilvl w:val="0"/>
          <w:numId w:val="2"/>
        </w:numPr>
        <w:ind w:firstLine="560"/>
        <w:rPr>
          <w:rFonts w:ascii="宋体" w:hAnsi="宋体" w:cs="宋体"/>
          <w:sz w:val="28"/>
          <w:szCs w:val="28"/>
          <w:highlight w:val="none"/>
        </w:rPr>
      </w:pPr>
      <w:r>
        <w:rPr>
          <w:rFonts w:hint="eastAsia" w:ascii="宋体" w:hAnsi="宋体" w:cs="宋体"/>
          <w:sz w:val="28"/>
          <w:szCs w:val="28"/>
          <w:highlight w:val="none"/>
        </w:rPr>
        <w:t>公司资产、负债情况</w:t>
      </w:r>
    </w:p>
    <w:tbl>
      <w:tblPr>
        <w:tblStyle w:val="15"/>
        <w:tblW w:w="90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exact"/>
          <w:jc w:val="center"/>
        </w:trPr>
        <w:tc>
          <w:tcPr>
            <w:tcW w:w="1961" w:type="dxa"/>
            <w:vMerge w:val="restart"/>
            <w:vAlign w:val="center"/>
          </w:tcPr>
          <w:p>
            <w:pPr>
              <w:ind w:firstLine="0" w:firstLineChars="0"/>
              <w:rPr>
                <w:rFonts w:ascii="宋体" w:hAnsi="宋体"/>
                <w:b/>
                <w:sz w:val="24"/>
                <w:highlight w:val="none"/>
              </w:rPr>
            </w:pPr>
            <w:r>
              <w:rPr>
                <w:rFonts w:hint="eastAsia" w:ascii="宋体" w:hAnsi="宋体"/>
                <w:b/>
                <w:sz w:val="24"/>
                <w:highlight w:val="none"/>
              </w:rPr>
              <w:t>主要财务指标</w:t>
            </w:r>
          </w:p>
          <w:p>
            <w:pPr>
              <w:ind w:firstLine="0" w:firstLineChars="0"/>
              <w:rPr>
                <w:rFonts w:ascii="宋体" w:hAnsi="宋体"/>
                <w:b/>
                <w:sz w:val="24"/>
                <w:highlight w:val="none"/>
              </w:rPr>
            </w:pPr>
            <w:r>
              <w:rPr>
                <w:rFonts w:hint="eastAsia" w:ascii="宋体" w:hAnsi="宋体"/>
                <w:b/>
                <w:sz w:val="24"/>
                <w:highlight w:val="none"/>
              </w:rPr>
              <w:t>（单位：人民币元）</w:t>
            </w:r>
          </w:p>
        </w:tc>
        <w:tc>
          <w:tcPr>
            <w:tcW w:w="7095" w:type="dxa"/>
            <w:gridSpan w:val="4"/>
            <w:vAlign w:val="center"/>
          </w:tcPr>
          <w:p>
            <w:pPr>
              <w:ind w:firstLine="480"/>
              <w:jc w:val="center"/>
              <w:rPr>
                <w:rFonts w:ascii="宋体" w:hAnsi="宋体"/>
                <w:sz w:val="24"/>
                <w:highlight w:val="none"/>
              </w:rPr>
            </w:pPr>
            <w:r>
              <w:rPr>
                <w:rFonts w:hint="eastAsia" w:ascii="宋体" w:hAnsi="宋体"/>
                <w:sz w:val="24"/>
                <w:highlight w:val="none"/>
              </w:rPr>
              <w:t>以下数据出自企业2019年1-4月审计报告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jc w:val="center"/>
              <w:rPr>
                <w:rFonts w:ascii="宋体" w:hAnsi="宋体"/>
                <w:b/>
                <w:sz w:val="24"/>
                <w:highlight w:val="none"/>
              </w:rPr>
            </w:pPr>
          </w:p>
        </w:tc>
        <w:tc>
          <w:tcPr>
            <w:tcW w:w="1840" w:type="dxa"/>
            <w:vAlign w:val="center"/>
          </w:tcPr>
          <w:p>
            <w:pPr>
              <w:ind w:firstLine="198" w:firstLineChars="82"/>
              <w:rPr>
                <w:rFonts w:ascii="宋体" w:hAnsi="宋体"/>
                <w:b/>
                <w:sz w:val="24"/>
                <w:highlight w:val="none"/>
              </w:rPr>
            </w:pPr>
            <w:r>
              <w:rPr>
                <w:rFonts w:hint="eastAsia" w:ascii="宋体" w:hAnsi="宋体"/>
                <w:b/>
                <w:sz w:val="24"/>
                <w:highlight w:val="none"/>
              </w:rPr>
              <w:t>年度日期</w:t>
            </w:r>
          </w:p>
        </w:tc>
        <w:tc>
          <w:tcPr>
            <w:tcW w:w="1862" w:type="dxa"/>
            <w:vAlign w:val="center"/>
          </w:tcPr>
          <w:p>
            <w:pPr>
              <w:ind w:firstLine="198" w:firstLineChars="82"/>
              <w:rPr>
                <w:rFonts w:ascii="宋体" w:hAnsi="宋体"/>
                <w:b/>
                <w:sz w:val="24"/>
                <w:highlight w:val="none"/>
              </w:rPr>
            </w:pPr>
            <w:r>
              <w:rPr>
                <w:rFonts w:hint="eastAsia" w:ascii="宋体" w:hAnsi="宋体"/>
                <w:b/>
                <w:sz w:val="24"/>
                <w:highlight w:val="none"/>
              </w:rPr>
              <w:t>资产总计</w:t>
            </w:r>
          </w:p>
        </w:tc>
        <w:tc>
          <w:tcPr>
            <w:tcW w:w="1701" w:type="dxa"/>
            <w:vAlign w:val="center"/>
          </w:tcPr>
          <w:p>
            <w:pPr>
              <w:ind w:firstLine="198" w:firstLineChars="82"/>
              <w:rPr>
                <w:rFonts w:ascii="宋体" w:hAnsi="宋体"/>
                <w:b/>
                <w:sz w:val="24"/>
                <w:highlight w:val="none"/>
              </w:rPr>
            </w:pPr>
            <w:r>
              <w:rPr>
                <w:rFonts w:hint="eastAsia" w:ascii="宋体" w:hAnsi="宋体"/>
                <w:b/>
                <w:sz w:val="24"/>
                <w:highlight w:val="none"/>
              </w:rPr>
              <w:t>负债总计</w:t>
            </w:r>
          </w:p>
        </w:tc>
        <w:tc>
          <w:tcPr>
            <w:tcW w:w="1692" w:type="dxa"/>
            <w:vAlign w:val="center"/>
          </w:tcPr>
          <w:p>
            <w:pPr>
              <w:ind w:firstLine="0" w:firstLineChars="0"/>
              <w:rPr>
                <w:rFonts w:ascii="宋体" w:hAnsi="宋体"/>
                <w:b/>
                <w:sz w:val="24"/>
                <w:highlight w:val="none"/>
              </w:rPr>
            </w:pPr>
            <w:r>
              <w:rPr>
                <w:rFonts w:hint="eastAsia" w:ascii="宋体" w:hAnsi="宋体"/>
                <w:b/>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jc w:val="center"/>
              <w:rPr>
                <w:rFonts w:ascii="宋体" w:hAnsi="宋体"/>
                <w:b/>
                <w:sz w:val="24"/>
                <w:highlight w:val="none"/>
              </w:rPr>
            </w:pPr>
          </w:p>
        </w:tc>
        <w:tc>
          <w:tcPr>
            <w:tcW w:w="1840" w:type="dxa"/>
            <w:vMerge w:val="restart"/>
            <w:vAlign w:val="center"/>
          </w:tcPr>
          <w:p>
            <w:pPr>
              <w:ind w:firstLine="0" w:firstLineChars="0"/>
              <w:rPr>
                <w:rFonts w:ascii="宋体" w:hAnsi="宋体"/>
                <w:sz w:val="24"/>
                <w:highlight w:val="none"/>
                <w:u w:val="single"/>
              </w:rPr>
            </w:pPr>
            <w:r>
              <w:rPr>
                <w:rFonts w:hint="eastAsia" w:ascii="宋体" w:hAnsi="宋体"/>
                <w:szCs w:val="21"/>
                <w:highlight w:val="none"/>
              </w:rPr>
              <w:t>2019年</w:t>
            </w:r>
            <w:r>
              <w:rPr>
                <w:rFonts w:ascii="宋体" w:hAnsi="宋体"/>
                <w:szCs w:val="21"/>
                <w:highlight w:val="none"/>
              </w:rPr>
              <w:t>4</w:t>
            </w:r>
            <w:r>
              <w:rPr>
                <w:rFonts w:hint="eastAsia" w:ascii="宋体" w:hAnsi="宋体"/>
                <w:szCs w:val="21"/>
                <w:highlight w:val="none"/>
              </w:rPr>
              <w:t>月3</w:t>
            </w:r>
            <w:r>
              <w:rPr>
                <w:rFonts w:ascii="宋体" w:hAnsi="宋体"/>
                <w:szCs w:val="21"/>
                <w:highlight w:val="none"/>
              </w:rPr>
              <w:t>0</w:t>
            </w:r>
            <w:r>
              <w:rPr>
                <w:rFonts w:hint="eastAsia" w:ascii="宋体" w:hAnsi="宋体"/>
                <w:szCs w:val="21"/>
                <w:highlight w:val="none"/>
              </w:rPr>
              <w:t>日</w:t>
            </w:r>
          </w:p>
        </w:tc>
        <w:tc>
          <w:tcPr>
            <w:tcW w:w="1862" w:type="dxa"/>
            <w:vAlign w:val="center"/>
          </w:tcPr>
          <w:p>
            <w:pPr>
              <w:ind w:firstLine="0" w:firstLineChars="0"/>
              <w:jc w:val="right"/>
              <w:rPr>
                <w:rFonts w:ascii="宋体" w:hAnsi="宋体"/>
                <w:bCs/>
                <w:sz w:val="24"/>
                <w:highlight w:val="none"/>
              </w:rPr>
            </w:pPr>
            <w:r>
              <w:rPr>
                <w:rFonts w:ascii="宋体" w:hAnsi="宋体" w:cs="宋体"/>
                <w:sz w:val="20"/>
                <w:szCs w:val="18"/>
                <w:highlight w:val="none"/>
              </w:rPr>
              <w:t>1,283,473,033.97</w:t>
            </w:r>
          </w:p>
        </w:tc>
        <w:tc>
          <w:tcPr>
            <w:tcW w:w="1701" w:type="dxa"/>
            <w:vAlign w:val="center"/>
          </w:tcPr>
          <w:p>
            <w:pPr>
              <w:ind w:firstLine="0" w:firstLineChars="0"/>
              <w:jc w:val="right"/>
              <w:rPr>
                <w:rFonts w:ascii="宋体" w:hAnsi="宋体"/>
                <w:bCs/>
                <w:sz w:val="24"/>
                <w:highlight w:val="none"/>
              </w:rPr>
            </w:pPr>
            <w:r>
              <w:rPr>
                <w:rFonts w:ascii="宋体" w:hAnsi="宋体" w:cs="宋体"/>
                <w:sz w:val="20"/>
                <w:szCs w:val="18"/>
                <w:highlight w:val="none"/>
              </w:rPr>
              <w:t>367,510,657.00</w:t>
            </w:r>
          </w:p>
        </w:tc>
        <w:tc>
          <w:tcPr>
            <w:tcW w:w="1692" w:type="dxa"/>
            <w:vAlign w:val="center"/>
          </w:tcPr>
          <w:p>
            <w:pPr>
              <w:ind w:firstLine="0" w:firstLineChars="0"/>
              <w:jc w:val="right"/>
              <w:rPr>
                <w:rFonts w:ascii="宋体" w:hAnsi="宋体"/>
                <w:bCs/>
                <w:sz w:val="24"/>
                <w:highlight w:val="none"/>
              </w:rPr>
            </w:pPr>
            <w:r>
              <w:rPr>
                <w:rFonts w:ascii="宋体" w:hAnsi="宋体" w:cs="宋体"/>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highlight w:val="none"/>
              </w:rPr>
            </w:pPr>
          </w:p>
        </w:tc>
        <w:tc>
          <w:tcPr>
            <w:tcW w:w="1840" w:type="dxa"/>
            <w:vMerge w:val="continue"/>
            <w:shd w:val="clear" w:color="auto" w:fill="auto"/>
            <w:vAlign w:val="center"/>
          </w:tcPr>
          <w:p>
            <w:pPr>
              <w:ind w:firstLine="480"/>
              <w:jc w:val="center"/>
              <w:rPr>
                <w:rFonts w:ascii="宋体" w:hAnsi="宋体"/>
                <w:sz w:val="24"/>
                <w:highlight w:val="none"/>
                <w:u w:val="single"/>
              </w:rPr>
            </w:pPr>
          </w:p>
        </w:tc>
        <w:tc>
          <w:tcPr>
            <w:tcW w:w="1862" w:type="dxa"/>
            <w:shd w:val="clear" w:color="auto" w:fill="auto"/>
            <w:vAlign w:val="center"/>
          </w:tcPr>
          <w:p>
            <w:pPr>
              <w:ind w:firstLine="198" w:firstLineChars="82"/>
              <w:rPr>
                <w:rFonts w:ascii="宋体" w:hAnsi="宋体"/>
                <w:b/>
                <w:sz w:val="24"/>
                <w:highlight w:val="none"/>
              </w:rPr>
            </w:pPr>
            <w:r>
              <w:rPr>
                <w:rFonts w:hint="eastAsia" w:ascii="宋体" w:hAnsi="宋体"/>
                <w:b/>
                <w:sz w:val="24"/>
                <w:highlight w:val="none"/>
              </w:rPr>
              <w:t>营业收入</w:t>
            </w:r>
          </w:p>
        </w:tc>
        <w:tc>
          <w:tcPr>
            <w:tcW w:w="1701" w:type="dxa"/>
            <w:shd w:val="clear" w:color="auto" w:fill="FFFFFF"/>
            <w:vAlign w:val="center"/>
          </w:tcPr>
          <w:p>
            <w:pPr>
              <w:ind w:firstLine="198" w:firstLineChars="82"/>
              <w:rPr>
                <w:rFonts w:ascii="宋体" w:hAnsi="宋体"/>
                <w:b/>
                <w:sz w:val="24"/>
                <w:highlight w:val="none"/>
              </w:rPr>
            </w:pPr>
            <w:r>
              <w:rPr>
                <w:rFonts w:hint="eastAsia" w:ascii="宋体" w:hAnsi="宋体"/>
                <w:b/>
                <w:sz w:val="24"/>
                <w:highlight w:val="none"/>
              </w:rPr>
              <w:t>利润总额</w:t>
            </w:r>
          </w:p>
        </w:tc>
        <w:tc>
          <w:tcPr>
            <w:tcW w:w="1692" w:type="dxa"/>
            <w:shd w:val="clear" w:color="auto" w:fill="FFFFFF"/>
            <w:vAlign w:val="center"/>
          </w:tcPr>
          <w:p>
            <w:pPr>
              <w:ind w:firstLine="198" w:firstLineChars="82"/>
              <w:rPr>
                <w:rFonts w:ascii="宋体" w:hAnsi="宋体"/>
                <w:b/>
                <w:sz w:val="24"/>
                <w:highlight w:val="none"/>
              </w:rPr>
            </w:pPr>
            <w:r>
              <w:rPr>
                <w:rFonts w:hint="eastAsia" w:ascii="宋体" w:hAnsi="宋体"/>
                <w:b/>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highlight w:val="none"/>
              </w:rPr>
            </w:pPr>
          </w:p>
        </w:tc>
        <w:tc>
          <w:tcPr>
            <w:tcW w:w="1840" w:type="dxa"/>
            <w:vMerge w:val="continue"/>
            <w:shd w:val="clear" w:color="auto" w:fill="auto"/>
            <w:vAlign w:val="center"/>
          </w:tcPr>
          <w:p>
            <w:pPr>
              <w:ind w:firstLine="480"/>
              <w:jc w:val="center"/>
              <w:rPr>
                <w:rFonts w:ascii="宋体" w:hAnsi="宋体"/>
                <w:sz w:val="24"/>
                <w:highlight w:val="none"/>
                <w:u w:val="single"/>
              </w:rPr>
            </w:pPr>
          </w:p>
        </w:tc>
        <w:tc>
          <w:tcPr>
            <w:tcW w:w="1862" w:type="dxa"/>
            <w:shd w:val="clear" w:color="auto" w:fill="auto"/>
            <w:vAlign w:val="center"/>
          </w:tcPr>
          <w:p>
            <w:pPr>
              <w:ind w:firstLine="0" w:firstLineChars="0"/>
              <w:jc w:val="right"/>
              <w:rPr>
                <w:rFonts w:ascii="宋体" w:hAnsi="宋体"/>
                <w:sz w:val="24"/>
                <w:highlight w:val="none"/>
              </w:rPr>
            </w:pPr>
            <w:r>
              <w:rPr>
                <w:rFonts w:ascii="宋体" w:hAnsi="宋体" w:cs="宋体"/>
                <w:sz w:val="20"/>
                <w:szCs w:val="18"/>
                <w:highlight w:val="none"/>
              </w:rPr>
              <w:t>53,171,442.69</w:t>
            </w:r>
          </w:p>
        </w:tc>
        <w:tc>
          <w:tcPr>
            <w:tcW w:w="1701" w:type="dxa"/>
            <w:shd w:val="clear" w:color="auto" w:fill="FFFFFF"/>
            <w:vAlign w:val="center"/>
          </w:tcPr>
          <w:p>
            <w:pPr>
              <w:ind w:firstLine="0" w:firstLineChars="0"/>
              <w:jc w:val="right"/>
              <w:rPr>
                <w:rFonts w:ascii="宋体" w:hAnsi="宋体"/>
                <w:sz w:val="24"/>
                <w:highlight w:val="none"/>
              </w:rPr>
            </w:pPr>
            <w:r>
              <w:rPr>
                <w:rFonts w:ascii="宋体" w:hAnsi="宋体" w:cs="宋体"/>
                <w:sz w:val="20"/>
                <w:szCs w:val="18"/>
                <w:highlight w:val="none"/>
              </w:rPr>
              <w:t>-8,327,859.44</w:t>
            </w:r>
          </w:p>
        </w:tc>
        <w:tc>
          <w:tcPr>
            <w:tcW w:w="1692" w:type="dxa"/>
            <w:shd w:val="clear" w:color="auto" w:fill="FFFFFF"/>
            <w:vAlign w:val="center"/>
          </w:tcPr>
          <w:p>
            <w:pPr>
              <w:ind w:firstLine="0" w:firstLineChars="0"/>
              <w:jc w:val="right"/>
              <w:rPr>
                <w:rFonts w:ascii="宋体" w:hAnsi="宋体"/>
                <w:sz w:val="24"/>
                <w:highlight w:val="none"/>
              </w:rPr>
            </w:pPr>
            <w:r>
              <w:rPr>
                <w:rFonts w:ascii="宋体" w:hAnsi="宋体" w:cs="宋体"/>
                <w:sz w:val="20"/>
                <w:szCs w:val="18"/>
                <w:highlight w:val="none"/>
              </w:rPr>
              <w:t>-8,327,859.44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highlight w:val="none"/>
              </w:rPr>
            </w:pPr>
          </w:p>
        </w:tc>
        <w:tc>
          <w:tcPr>
            <w:tcW w:w="1840" w:type="dxa"/>
            <w:shd w:val="clear" w:color="auto" w:fill="auto"/>
            <w:vAlign w:val="center"/>
          </w:tcPr>
          <w:p>
            <w:pPr>
              <w:ind w:firstLine="198" w:firstLineChars="82"/>
              <w:rPr>
                <w:rFonts w:ascii="宋体" w:hAnsi="宋体"/>
                <w:b/>
                <w:sz w:val="24"/>
                <w:highlight w:val="none"/>
              </w:rPr>
            </w:pPr>
            <w:r>
              <w:rPr>
                <w:rFonts w:hint="eastAsia" w:ascii="宋体" w:hAnsi="宋体"/>
                <w:b/>
                <w:sz w:val="24"/>
                <w:highlight w:val="none"/>
              </w:rPr>
              <w:t>审计机构</w:t>
            </w:r>
          </w:p>
        </w:tc>
        <w:tc>
          <w:tcPr>
            <w:tcW w:w="5255" w:type="dxa"/>
            <w:gridSpan w:val="3"/>
            <w:shd w:val="clear" w:color="auto" w:fill="FFFFFF"/>
            <w:vAlign w:val="center"/>
          </w:tcPr>
          <w:p>
            <w:pPr>
              <w:ind w:firstLine="480"/>
              <w:rPr>
                <w:rFonts w:ascii="宋体" w:hAnsi="宋体"/>
                <w:sz w:val="24"/>
                <w:highlight w:val="none"/>
              </w:rPr>
            </w:pPr>
            <w:r>
              <w:rPr>
                <w:rFonts w:hint="eastAsia" w:ascii="宋体" w:hAnsi="宋体"/>
                <w:sz w:val="24"/>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sz w:val="24"/>
                <w:highlight w:val="none"/>
              </w:rPr>
            </w:pPr>
          </w:p>
        </w:tc>
        <w:tc>
          <w:tcPr>
            <w:tcW w:w="7095" w:type="dxa"/>
            <w:gridSpan w:val="4"/>
            <w:shd w:val="clear" w:color="auto" w:fill="FFFFFF"/>
            <w:vAlign w:val="center"/>
          </w:tcPr>
          <w:p>
            <w:pPr>
              <w:ind w:firstLine="480"/>
              <w:jc w:val="center"/>
              <w:rPr>
                <w:rFonts w:ascii="宋体" w:hAnsi="宋体"/>
                <w:sz w:val="24"/>
                <w:highlight w:val="none"/>
              </w:rPr>
            </w:pPr>
            <w:r>
              <w:rPr>
                <w:rFonts w:hint="eastAsia" w:ascii="宋体" w:hAnsi="宋体"/>
                <w:sz w:val="24"/>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jc w:val="center"/>
              <w:rPr>
                <w:rFonts w:ascii="宋体" w:hAnsi="宋体"/>
                <w:sz w:val="24"/>
                <w:highlight w:val="none"/>
              </w:rPr>
            </w:pPr>
          </w:p>
        </w:tc>
        <w:tc>
          <w:tcPr>
            <w:tcW w:w="1840" w:type="dxa"/>
            <w:shd w:val="clear" w:color="auto" w:fill="auto"/>
            <w:vAlign w:val="center"/>
          </w:tcPr>
          <w:p>
            <w:pPr>
              <w:ind w:firstLine="198" w:firstLineChars="82"/>
              <w:rPr>
                <w:rFonts w:ascii="宋体" w:hAnsi="宋体"/>
                <w:b/>
                <w:sz w:val="24"/>
                <w:highlight w:val="none"/>
              </w:rPr>
            </w:pPr>
            <w:r>
              <w:rPr>
                <w:rFonts w:hint="eastAsia" w:ascii="宋体" w:hAnsi="宋体"/>
                <w:b/>
                <w:sz w:val="24"/>
                <w:highlight w:val="none"/>
              </w:rPr>
              <w:t>报表日期</w:t>
            </w:r>
          </w:p>
        </w:tc>
        <w:tc>
          <w:tcPr>
            <w:tcW w:w="1862" w:type="dxa"/>
            <w:shd w:val="clear" w:color="auto" w:fill="auto"/>
            <w:vAlign w:val="center"/>
          </w:tcPr>
          <w:p>
            <w:pPr>
              <w:ind w:firstLine="198" w:firstLineChars="82"/>
              <w:rPr>
                <w:rFonts w:ascii="宋体" w:hAnsi="宋体"/>
                <w:b/>
                <w:sz w:val="24"/>
                <w:highlight w:val="none"/>
              </w:rPr>
            </w:pPr>
            <w:r>
              <w:rPr>
                <w:rFonts w:hint="eastAsia" w:ascii="宋体" w:hAnsi="宋体"/>
                <w:b/>
                <w:sz w:val="24"/>
                <w:highlight w:val="none"/>
              </w:rPr>
              <w:t>资产总计</w:t>
            </w:r>
          </w:p>
        </w:tc>
        <w:tc>
          <w:tcPr>
            <w:tcW w:w="1701" w:type="dxa"/>
            <w:shd w:val="clear" w:color="auto" w:fill="FFFFFF"/>
            <w:vAlign w:val="center"/>
          </w:tcPr>
          <w:p>
            <w:pPr>
              <w:ind w:firstLine="198" w:firstLineChars="82"/>
              <w:rPr>
                <w:rFonts w:ascii="宋体" w:hAnsi="宋体"/>
                <w:b/>
                <w:sz w:val="24"/>
                <w:highlight w:val="none"/>
              </w:rPr>
            </w:pPr>
            <w:r>
              <w:rPr>
                <w:rFonts w:hint="eastAsia" w:ascii="宋体" w:hAnsi="宋体"/>
                <w:b/>
                <w:sz w:val="24"/>
                <w:highlight w:val="none"/>
              </w:rPr>
              <w:t>负债总计</w:t>
            </w:r>
          </w:p>
        </w:tc>
        <w:tc>
          <w:tcPr>
            <w:tcW w:w="1692" w:type="dxa"/>
            <w:shd w:val="clear" w:color="auto" w:fill="FFFFFF"/>
            <w:vAlign w:val="center"/>
          </w:tcPr>
          <w:p>
            <w:pPr>
              <w:ind w:firstLine="0" w:firstLineChars="0"/>
              <w:rPr>
                <w:rFonts w:ascii="宋体" w:hAnsi="宋体"/>
                <w:b/>
                <w:sz w:val="24"/>
                <w:highlight w:val="none"/>
              </w:rPr>
            </w:pPr>
            <w:r>
              <w:rPr>
                <w:rFonts w:hint="eastAsia" w:ascii="宋体" w:hAnsi="宋体"/>
                <w:b/>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1" w:hRule="exact"/>
          <w:jc w:val="center"/>
        </w:trPr>
        <w:tc>
          <w:tcPr>
            <w:tcW w:w="1961" w:type="dxa"/>
            <w:vMerge w:val="continue"/>
            <w:shd w:val="clear" w:color="auto" w:fill="auto"/>
            <w:vAlign w:val="center"/>
          </w:tcPr>
          <w:p>
            <w:pPr>
              <w:ind w:firstLine="480"/>
              <w:rPr>
                <w:rFonts w:ascii="宋体" w:hAnsi="宋体"/>
                <w:sz w:val="24"/>
                <w:highlight w:val="none"/>
              </w:rPr>
            </w:pPr>
          </w:p>
        </w:tc>
        <w:tc>
          <w:tcPr>
            <w:tcW w:w="1840" w:type="dxa"/>
            <w:shd w:val="clear" w:color="auto" w:fill="auto"/>
            <w:vAlign w:val="center"/>
          </w:tcPr>
          <w:p>
            <w:pPr>
              <w:ind w:firstLine="0" w:firstLineChars="0"/>
              <w:rPr>
                <w:rFonts w:ascii="宋体" w:hAnsi="宋体"/>
                <w:sz w:val="24"/>
                <w:highlight w:val="none"/>
              </w:rPr>
            </w:pPr>
            <w:r>
              <w:rPr>
                <w:rFonts w:hint="eastAsia" w:ascii="宋体" w:hAnsi="宋体"/>
                <w:szCs w:val="21"/>
                <w:highlight w:val="none"/>
              </w:rPr>
              <w:t>2019年</w:t>
            </w:r>
            <w:r>
              <w:rPr>
                <w:rFonts w:ascii="宋体" w:hAnsi="宋体"/>
                <w:szCs w:val="21"/>
                <w:highlight w:val="none"/>
              </w:rPr>
              <w:t>4</w:t>
            </w:r>
            <w:r>
              <w:rPr>
                <w:rFonts w:hint="eastAsia" w:ascii="宋体" w:hAnsi="宋体"/>
                <w:szCs w:val="21"/>
                <w:highlight w:val="none"/>
              </w:rPr>
              <w:t>月3</w:t>
            </w:r>
            <w:r>
              <w:rPr>
                <w:rFonts w:ascii="宋体" w:hAnsi="宋体"/>
                <w:szCs w:val="21"/>
                <w:highlight w:val="none"/>
              </w:rPr>
              <w:t>0</w:t>
            </w:r>
            <w:r>
              <w:rPr>
                <w:rFonts w:hint="eastAsia" w:ascii="宋体" w:hAnsi="宋体"/>
                <w:szCs w:val="21"/>
                <w:highlight w:val="none"/>
              </w:rPr>
              <w:t>日</w:t>
            </w:r>
          </w:p>
        </w:tc>
        <w:tc>
          <w:tcPr>
            <w:tcW w:w="1862" w:type="dxa"/>
            <w:shd w:val="clear" w:color="auto" w:fill="auto"/>
            <w:vAlign w:val="center"/>
          </w:tcPr>
          <w:p>
            <w:pPr>
              <w:ind w:firstLine="0" w:firstLineChars="0"/>
              <w:jc w:val="right"/>
              <w:rPr>
                <w:rFonts w:ascii="宋体" w:hAnsi="宋体"/>
                <w:bCs/>
                <w:sz w:val="24"/>
                <w:highlight w:val="none"/>
              </w:rPr>
            </w:pPr>
            <w:r>
              <w:rPr>
                <w:rFonts w:ascii="宋体" w:hAnsi="宋体" w:cs="宋体"/>
                <w:sz w:val="20"/>
                <w:szCs w:val="18"/>
                <w:highlight w:val="none"/>
              </w:rPr>
              <w:t>1,283,473,033.97</w:t>
            </w:r>
          </w:p>
        </w:tc>
        <w:tc>
          <w:tcPr>
            <w:tcW w:w="1701" w:type="dxa"/>
            <w:shd w:val="clear" w:color="auto" w:fill="FFFFFF"/>
            <w:vAlign w:val="center"/>
          </w:tcPr>
          <w:p>
            <w:pPr>
              <w:ind w:firstLine="0" w:firstLineChars="0"/>
              <w:jc w:val="right"/>
              <w:rPr>
                <w:rFonts w:ascii="宋体" w:hAnsi="宋体"/>
                <w:bCs/>
                <w:sz w:val="24"/>
                <w:highlight w:val="none"/>
              </w:rPr>
            </w:pPr>
            <w:r>
              <w:rPr>
                <w:rFonts w:ascii="宋体" w:hAnsi="宋体" w:cs="宋体"/>
                <w:sz w:val="20"/>
                <w:szCs w:val="18"/>
                <w:highlight w:val="none"/>
              </w:rPr>
              <w:t>367,510,657.00</w:t>
            </w:r>
          </w:p>
        </w:tc>
        <w:tc>
          <w:tcPr>
            <w:tcW w:w="1692" w:type="dxa"/>
            <w:shd w:val="clear" w:color="auto" w:fill="FFFFFF"/>
            <w:vAlign w:val="center"/>
          </w:tcPr>
          <w:p>
            <w:pPr>
              <w:ind w:firstLine="0" w:firstLineChars="0"/>
              <w:jc w:val="right"/>
              <w:rPr>
                <w:rFonts w:ascii="宋体" w:hAnsi="宋体"/>
                <w:bCs/>
                <w:sz w:val="24"/>
                <w:highlight w:val="none"/>
              </w:rPr>
            </w:pPr>
            <w:r>
              <w:rPr>
                <w:rFonts w:ascii="宋体" w:hAnsi="宋体" w:cs="宋体"/>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rPr>
                <w:rFonts w:ascii="宋体" w:hAnsi="宋体"/>
                <w:sz w:val="24"/>
                <w:highlight w:val="none"/>
              </w:rPr>
            </w:pPr>
          </w:p>
        </w:tc>
        <w:tc>
          <w:tcPr>
            <w:tcW w:w="1840" w:type="dxa"/>
            <w:shd w:val="clear" w:color="auto" w:fill="auto"/>
            <w:vAlign w:val="center"/>
          </w:tcPr>
          <w:p>
            <w:pPr>
              <w:ind w:firstLine="198" w:firstLineChars="82"/>
              <w:rPr>
                <w:rFonts w:ascii="宋体" w:hAnsi="宋体"/>
                <w:b/>
                <w:sz w:val="24"/>
                <w:highlight w:val="none"/>
              </w:rPr>
            </w:pPr>
            <w:r>
              <w:rPr>
                <w:rFonts w:hint="eastAsia" w:ascii="宋体" w:hAnsi="宋体"/>
                <w:b/>
                <w:sz w:val="24"/>
                <w:highlight w:val="none"/>
              </w:rPr>
              <w:t>报表类型</w:t>
            </w:r>
          </w:p>
        </w:tc>
        <w:tc>
          <w:tcPr>
            <w:tcW w:w="1862" w:type="dxa"/>
            <w:shd w:val="clear" w:color="auto" w:fill="auto"/>
            <w:vAlign w:val="center"/>
          </w:tcPr>
          <w:p>
            <w:pPr>
              <w:ind w:firstLine="198" w:firstLineChars="82"/>
              <w:rPr>
                <w:rFonts w:ascii="宋体" w:hAnsi="宋体"/>
                <w:b/>
                <w:sz w:val="24"/>
                <w:highlight w:val="none"/>
              </w:rPr>
            </w:pPr>
            <w:r>
              <w:rPr>
                <w:rFonts w:hint="eastAsia" w:ascii="宋体" w:hAnsi="宋体"/>
                <w:b/>
                <w:sz w:val="24"/>
                <w:highlight w:val="none"/>
              </w:rPr>
              <w:t>营业收入</w:t>
            </w:r>
          </w:p>
        </w:tc>
        <w:tc>
          <w:tcPr>
            <w:tcW w:w="1701" w:type="dxa"/>
            <w:shd w:val="clear" w:color="auto" w:fill="FFFFFF"/>
            <w:vAlign w:val="center"/>
          </w:tcPr>
          <w:p>
            <w:pPr>
              <w:ind w:firstLine="198" w:firstLineChars="82"/>
              <w:rPr>
                <w:rFonts w:ascii="宋体" w:hAnsi="宋体"/>
                <w:b/>
                <w:sz w:val="24"/>
                <w:highlight w:val="none"/>
              </w:rPr>
            </w:pPr>
            <w:r>
              <w:rPr>
                <w:rFonts w:hint="eastAsia" w:ascii="宋体" w:hAnsi="宋体"/>
                <w:b/>
                <w:sz w:val="24"/>
                <w:highlight w:val="none"/>
              </w:rPr>
              <w:t>利润总额</w:t>
            </w:r>
          </w:p>
        </w:tc>
        <w:tc>
          <w:tcPr>
            <w:tcW w:w="1692" w:type="dxa"/>
            <w:shd w:val="clear" w:color="auto" w:fill="FFFFFF"/>
            <w:vAlign w:val="center"/>
          </w:tcPr>
          <w:p>
            <w:pPr>
              <w:ind w:firstLine="198" w:firstLineChars="82"/>
              <w:rPr>
                <w:rFonts w:ascii="宋体" w:hAnsi="宋体"/>
                <w:b/>
                <w:sz w:val="24"/>
                <w:highlight w:val="none"/>
              </w:rPr>
            </w:pPr>
            <w:r>
              <w:rPr>
                <w:rFonts w:hint="eastAsia" w:ascii="宋体" w:hAnsi="宋体"/>
                <w:b/>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exact"/>
          <w:jc w:val="center"/>
        </w:trPr>
        <w:tc>
          <w:tcPr>
            <w:tcW w:w="1961" w:type="dxa"/>
            <w:vMerge w:val="continue"/>
            <w:shd w:val="clear" w:color="auto" w:fill="auto"/>
            <w:vAlign w:val="center"/>
          </w:tcPr>
          <w:p>
            <w:pPr>
              <w:ind w:firstLine="480"/>
              <w:rPr>
                <w:rFonts w:ascii="宋体" w:hAnsi="宋体"/>
                <w:sz w:val="24"/>
                <w:highlight w:val="none"/>
              </w:rPr>
            </w:pPr>
          </w:p>
        </w:tc>
        <w:tc>
          <w:tcPr>
            <w:tcW w:w="1840" w:type="dxa"/>
            <w:shd w:val="clear" w:color="auto" w:fill="auto"/>
            <w:vAlign w:val="center"/>
          </w:tcPr>
          <w:p>
            <w:pPr>
              <w:ind w:firstLine="199" w:firstLineChars="83"/>
              <w:rPr>
                <w:rFonts w:ascii="宋体" w:hAnsi="宋体"/>
                <w:sz w:val="24"/>
                <w:highlight w:val="none"/>
              </w:rPr>
            </w:pPr>
            <w:r>
              <w:rPr>
                <w:rFonts w:hint="eastAsia" w:ascii="宋体" w:hAnsi="宋体"/>
                <w:sz w:val="24"/>
                <w:highlight w:val="none"/>
              </w:rPr>
              <w:t>月报表</w:t>
            </w:r>
          </w:p>
        </w:tc>
        <w:tc>
          <w:tcPr>
            <w:tcW w:w="1862" w:type="dxa"/>
            <w:shd w:val="clear" w:color="auto" w:fill="auto"/>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53,171,442.69</w:t>
            </w:r>
          </w:p>
        </w:tc>
        <w:tc>
          <w:tcPr>
            <w:tcW w:w="1701" w:type="dxa"/>
            <w:shd w:val="clear" w:color="auto" w:fill="FFFFFF"/>
            <w:vAlign w:val="center"/>
          </w:tcPr>
          <w:p>
            <w:pPr>
              <w:ind w:firstLine="0" w:firstLineChars="0"/>
              <w:jc w:val="right"/>
              <w:rPr>
                <w:rFonts w:ascii="宋体" w:hAnsi="宋体"/>
                <w:sz w:val="24"/>
                <w:highlight w:val="none"/>
              </w:rPr>
            </w:pPr>
            <w:r>
              <w:rPr>
                <w:rFonts w:ascii="宋体" w:hAnsi="宋体" w:cs="宋体"/>
                <w:sz w:val="20"/>
                <w:szCs w:val="18"/>
                <w:highlight w:val="none"/>
              </w:rPr>
              <w:t>-8,327,859.44</w:t>
            </w:r>
          </w:p>
        </w:tc>
        <w:tc>
          <w:tcPr>
            <w:tcW w:w="1692" w:type="dxa"/>
            <w:shd w:val="clear" w:color="auto" w:fill="FFFFFF"/>
            <w:vAlign w:val="center"/>
          </w:tcPr>
          <w:p>
            <w:pPr>
              <w:ind w:firstLine="0" w:firstLineChars="0"/>
              <w:jc w:val="right"/>
              <w:rPr>
                <w:rFonts w:ascii="宋体" w:hAnsi="宋体"/>
                <w:sz w:val="24"/>
                <w:highlight w:val="none"/>
              </w:rPr>
            </w:pPr>
            <w:r>
              <w:rPr>
                <w:rFonts w:ascii="宋体" w:hAnsi="宋体" w:cs="宋体"/>
                <w:sz w:val="20"/>
                <w:szCs w:val="18"/>
                <w:highlight w:val="none"/>
              </w:rPr>
              <w:t>-8,327,859.44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shd w:val="clear" w:color="auto" w:fill="auto"/>
            <w:vAlign w:val="center"/>
          </w:tcPr>
          <w:p>
            <w:pPr>
              <w:ind w:firstLine="0" w:firstLineChars="0"/>
              <w:rPr>
                <w:rFonts w:ascii="宋体" w:hAnsi="宋体"/>
                <w:b/>
                <w:bCs/>
                <w:sz w:val="24"/>
                <w:highlight w:val="none"/>
              </w:rPr>
            </w:pPr>
            <w:r>
              <w:rPr>
                <w:rFonts w:hint="eastAsia" w:ascii="宋体" w:hAnsi="宋体"/>
                <w:b/>
                <w:bCs/>
                <w:sz w:val="24"/>
                <w:highlight w:val="none"/>
              </w:rPr>
              <w:t>其他披露内容</w:t>
            </w:r>
          </w:p>
        </w:tc>
        <w:tc>
          <w:tcPr>
            <w:tcW w:w="7095" w:type="dxa"/>
            <w:gridSpan w:val="4"/>
            <w:shd w:val="clear" w:color="auto" w:fill="auto"/>
            <w:vAlign w:val="center"/>
          </w:tcPr>
          <w:p>
            <w:pPr>
              <w:ind w:firstLine="400"/>
              <w:jc w:val="center"/>
              <w:rPr>
                <w:rFonts w:ascii="宋体" w:hAnsi="宋体" w:cs="宋体"/>
                <w:sz w:val="20"/>
                <w:szCs w:val="18"/>
                <w:highlight w:val="none"/>
              </w:rPr>
            </w:pPr>
          </w:p>
        </w:tc>
      </w:tr>
    </w:tbl>
    <w:p>
      <w:pPr>
        <w:ind w:firstLine="422"/>
        <w:rPr>
          <w:rFonts w:ascii="仿宋_GB2312" w:eastAsia="仿宋_GB2312"/>
          <w:b/>
          <w:szCs w:val="21"/>
          <w:highlight w:val="none"/>
        </w:rPr>
      </w:pPr>
    </w:p>
    <w:tbl>
      <w:tblPr>
        <w:tblStyle w:val="15"/>
        <w:tblW w:w="8835" w:type="dxa"/>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57" w:hRule="atLeast"/>
        </w:trPr>
        <w:tc>
          <w:tcPr>
            <w:tcW w:w="1740" w:type="dxa"/>
            <w:vMerge w:val="restart"/>
            <w:vAlign w:val="center"/>
          </w:tcPr>
          <w:p>
            <w:pPr>
              <w:ind w:firstLine="0" w:firstLineChars="0"/>
              <w:jc w:val="center"/>
              <w:rPr>
                <w:rFonts w:ascii="仿宋_GB2312" w:eastAsia="仿宋_GB2312"/>
                <w:b/>
                <w:szCs w:val="21"/>
                <w:highlight w:val="none"/>
              </w:rPr>
            </w:pPr>
            <w:r>
              <w:rPr>
                <w:rFonts w:hint="eastAsia" w:ascii="宋体" w:hAnsi="宋体" w:cs="宋体"/>
                <w:b/>
                <w:sz w:val="24"/>
                <w:highlight w:val="none"/>
              </w:rPr>
              <w:t>中介机构</w:t>
            </w:r>
          </w:p>
        </w:tc>
        <w:tc>
          <w:tcPr>
            <w:tcW w:w="2820" w:type="dxa"/>
            <w:vAlign w:val="center"/>
          </w:tcPr>
          <w:p>
            <w:pPr>
              <w:ind w:firstLine="0" w:firstLineChars="0"/>
              <w:jc w:val="center"/>
              <w:rPr>
                <w:rFonts w:ascii="仿宋_GB2312" w:eastAsia="仿宋_GB2312"/>
                <w:b/>
                <w:szCs w:val="21"/>
                <w:highlight w:val="none"/>
              </w:rPr>
            </w:pPr>
            <w:r>
              <w:rPr>
                <w:rFonts w:hint="eastAsia" w:ascii="宋体" w:hAnsi="宋体" w:cs="宋体"/>
                <w:b/>
                <w:sz w:val="24"/>
                <w:highlight w:val="none"/>
              </w:rPr>
              <w:t>律 师 事 务 所</w:t>
            </w:r>
          </w:p>
        </w:tc>
        <w:tc>
          <w:tcPr>
            <w:tcW w:w="4275" w:type="dxa"/>
            <w:vAlign w:val="center"/>
          </w:tcPr>
          <w:p>
            <w:pPr>
              <w:ind w:firstLine="0" w:firstLineChars="0"/>
              <w:jc w:val="center"/>
              <w:rPr>
                <w:rFonts w:ascii="仿宋_GB2312" w:eastAsia="仿宋_GB2312"/>
                <w:b/>
                <w:szCs w:val="21"/>
                <w:highlight w:val="none"/>
              </w:rPr>
            </w:pPr>
            <w:r>
              <w:rPr>
                <w:rFonts w:hint="eastAsia" w:ascii="宋体" w:hAnsi="宋体" w:cs="宋体"/>
                <w:sz w:val="24"/>
                <w:highlight w:val="none"/>
              </w:rPr>
              <w:t>锦天城律师事务所</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29" w:hRule="atLeast"/>
        </w:trPr>
        <w:tc>
          <w:tcPr>
            <w:tcW w:w="1740" w:type="dxa"/>
            <w:vMerge w:val="continue"/>
            <w:vAlign w:val="center"/>
          </w:tcPr>
          <w:p>
            <w:pPr>
              <w:ind w:firstLine="0" w:firstLineChars="0"/>
              <w:jc w:val="center"/>
              <w:rPr>
                <w:rFonts w:ascii="仿宋_GB2312" w:eastAsia="仿宋_GB2312"/>
                <w:b/>
                <w:szCs w:val="21"/>
                <w:highlight w:val="none"/>
              </w:rPr>
            </w:pPr>
          </w:p>
        </w:tc>
        <w:tc>
          <w:tcPr>
            <w:tcW w:w="2820" w:type="dxa"/>
            <w:vAlign w:val="center"/>
          </w:tcPr>
          <w:p>
            <w:pPr>
              <w:ind w:firstLine="0" w:firstLineChars="0"/>
              <w:jc w:val="center"/>
              <w:rPr>
                <w:rFonts w:ascii="仿宋_GB2312" w:eastAsia="仿宋_GB2312"/>
                <w:b/>
                <w:szCs w:val="21"/>
                <w:highlight w:val="none"/>
              </w:rPr>
            </w:pPr>
            <w:r>
              <w:rPr>
                <w:rFonts w:hint="eastAsia" w:ascii="宋体" w:hAnsi="宋体" w:cs="宋体"/>
                <w:b/>
                <w:sz w:val="24"/>
                <w:highlight w:val="none"/>
              </w:rPr>
              <w:t>会 计 师 事 务 所</w:t>
            </w:r>
          </w:p>
        </w:tc>
        <w:tc>
          <w:tcPr>
            <w:tcW w:w="4275" w:type="dxa"/>
            <w:vAlign w:val="center"/>
          </w:tcPr>
          <w:p>
            <w:pPr>
              <w:ind w:firstLine="0" w:firstLineChars="0"/>
              <w:jc w:val="center"/>
              <w:rPr>
                <w:rFonts w:ascii="仿宋_GB2312" w:eastAsia="仿宋_GB2312"/>
                <w:b/>
                <w:szCs w:val="21"/>
                <w:highlight w:val="none"/>
              </w:rPr>
            </w:pPr>
            <w:r>
              <w:rPr>
                <w:rFonts w:hint="eastAsia" w:ascii="宋体" w:hAnsi="宋体" w:cs="宋体"/>
                <w:sz w:val="24"/>
                <w:highlight w:val="none"/>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szCs w:val="21"/>
                <w:highlight w:val="none"/>
              </w:rPr>
            </w:pPr>
          </w:p>
        </w:tc>
        <w:tc>
          <w:tcPr>
            <w:tcW w:w="2820" w:type="dxa"/>
            <w:vAlign w:val="center"/>
          </w:tcPr>
          <w:p>
            <w:pPr>
              <w:ind w:firstLine="0" w:firstLineChars="0"/>
              <w:jc w:val="center"/>
              <w:rPr>
                <w:rFonts w:ascii="仿宋_GB2312" w:eastAsia="仿宋_GB2312"/>
                <w:b/>
                <w:szCs w:val="21"/>
                <w:highlight w:val="none"/>
              </w:rPr>
            </w:pPr>
            <w:r>
              <w:rPr>
                <w:rFonts w:hint="eastAsia" w:ascii="宋体" w:hAnsi="宋体" w:cs="宋体"/>
                <w:b/>
                <w:sz w:val="24"/>
                <w:highlight w:val="none"/>
              </w:rPr>
              <w:t>评 估 事 务 所</w:t>
            </w:r>
          </w:p>
        </w:tc>
        <w:tc>
          <w:tcPr>
            <w:tcW w:w="4275" w:type="dxa"/>
            <w:vAlign w:val="center"/>
          </w:tcPr>
          <w:p>
            <w:pPr>
              <w:ind w:firstLine="0" w:firstLineChars="0"/>
              <w:jc w:val="center"/>
              <w:rPr>
                <w:rFonts w:ascii="仿宋_GB2312" w:eastAsia="仿宋_GB2312"/>
                <w:b/>
                <w:szCs w:val="21"/>
                <w:highlight w:val="none"/>
              </w:rPr>
            </w:pPr>
            <w:r>
              <w:rPr>
                <w:rFonts w:hint="eastAsia" w:ascii="宋体" w:hAnsi="宋体" w:cs="宋体"/>
                <w:sz w:val="24"/>
                <w:highlight w:val="none"/>
              </w:rPr>
              <w:t>坤元资产评估有限公司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sz w:val="24"/>
                <w:highlight w:val="none"/>
              </w:rPr>
            </w:pPr>
            <w:r>
              <w:rPr>
                <w:rFonts w:hint="eastAsia" w:ascii="宋体" w:hAnsi="宋体" w:cs="宋体"/>
                <w:b/>
                <w:sz w:val="24"/>
                <w:highlight w:val="none"/>
              </w:rPr>
              <w:t>资产评估核准</w:t>
            </w:r>
          </w:p>
          <w:p>
            <w:pPr>
              <w:ind w:firstLine="0" w:firstLineChars="0"/>
              <w:jc w:val="center"/>
              <w:rPr>
                <w:rFonts w:ascii="仿宋_GB2312" w:eastAsia="仿宋_GB2312"/>
                <w:b/>
                <w:szCs w:val="21"/>
                <w:highlight w:val="none"/>
              </w:rPr>
            </w:pPr>
            <w:r>
              <w:rPr>
                <w:rFonts w:hint="eastAsia" w:ascii="宋体" w:hAnsi="宋体" w:cs="宋体"/>
                <w:b/>
                <w:sz w:val="24"/>
                <w:highlight w:val="none"/>
              </w:rPr>
              <w:t>或备案情况</w:t>
            </w:r>
          </w:p>
        </w:tc>
        <w:tc>
          <w:tcPr>
            <w:tcW w:w="2820" w:type="dxa"/>
            <w:vAlign w:val="center"/>
          </w:tcPr>
          <w:p>
            <w:pPr>
              <w:ind w:firstLine="0" w:firstLineChars="0"/>
              <w:jc w:val="center"/>
              <w:rPr>
                <w:rFonts w:ascii="仿宋_GB2312" w:eastAsia="仿宋_GB2312"/>
                <w:b/>
                <w:szCs w:val="21"/>
                <w:highlight w:val="none"/>
              </w:rPr>
            </w:pPr>
            <w:r>
              <w:rPr>
                <w:rFonts w:hint="eastAsia" w:ascii="宋体" w:hAnsi="宋体" w:cs="宋体"/>
                <w:b/>
                <w:sz w:val="24"/>
                <w:highlight w:val="none"/>
              </w:rPr>
              <w:t>评 估 基 准 日</w:t>
            </w:r>
          </w:p>
        </w:tc>
        <w:tc>
          <w:tcPr>
            <w:tcW w:w="4275" w:type="dxa"/>
            <w:vAlign w:val="center"/>
          </w:tcPr>
          <w:p>
            <w:pPr>
              <w:ind w:firstLine="0" w:firstLineChars="0"/>
              <w:jc w:val="center"/>
              <w:rPr>
                <w:rFonts w:ascii="仿宋_GB2312" w:eastAsia="仿宋_GB2312"/>
                <w:b/>
                <w:szCs w:val="21"/>
                <w:highlight w:val="none"/>
              </w:rPr>
            </w:pPr>
            <w:r>
              <w:rPr>
                <w:rFonts w:hint="eastAsia" w:ascii="宋体" w:hAnsi="宋体" w:cs="宋体"/>
                <w:sz w:val="24"/>
                <w:highlight w:val="none"/>
              </w:rPr>
              <w:t>2019年</w:t>
            </w:r>
            <w:r>
              <w:rPr>
                <w:rFonts w:ascii="宋体" w:hAnsi="宋体" w:cs="宋体"/>
                <w:sz w:val="24"/>
                <w:highlight w:val="none"/>
              </w:rPr>
              <w:t>4</w:t>
            </w:r>
            <w:r>
              <w:rPr>
                <w:rFonts w:hint="eastAsia" w:ascii="宋体" w:hAnsi="宋体" w:cs="宋体"/>
                <w:sz w:val="24"/>
                <w:highlight w:val="none"/>
              </w:rPr>
              <w:t>月</w:t>
            </w:r>
            <w:r>
              <w:rPr>
                <w:rFonts w:ascii="宋体" w:hAnsi="宋体" w:cs="宋体"/>
                <w:sz w:val="24"/>
                <w:highlight w:val="none"/>
              </w:rPr>
              <w:t>30</w:t>
            </w:r>
            <w:r>
              <w:rPr>
                <w:rFonts w:hint="eastAsia" w:ascii="宋体" w:hAnsi="宋体" w:cs="宋体"/>
                <w:sz w:val="24"/>
                <w:highlight w:val="none"/>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szCs w:val="21"/>
                <w:highlight w:val="none"/>
              </w:rPr>
            </w:pPr>
          </w:p>
        </w:tc>
        <w:tc>
          <w:tcPr>
            <w:tcW w:w="2820" w:type="dxa"/>
            <w:vAlign w:val="center"/>
          </w:tcPr>
          <w:p>
            <w:pPr>
              <w:ind w:firstLine="0" w:firstLineChars="0"/>
              <w:jc w:val="center"/>
              <w:rPr>
                <w:rFonts w:ascii="仿宋_GB2312" w:eastAsia="仿宋_GB2312"/>
                <w:b/>
                <w:szCs w:val="21"/>
                <w:highlight w:val="none"/>
              </w:rPr>
            </w:pPr>
            <w:r>
              <w:rPr>
                <w:rFonts w:hint="eastAsia" w:ascii="宋体" w:hAnsi="宋体" w:cs="宋体"/>
                <w:b/>
                <w:sz w:val="24"/>
                <w:highlight w:val="none"/>
              </w:rPr>
              <w:t>评估核准（备案）机构</w:t>
            </w:r>
          </w:p>
        </w:tc>
        <w:tc>
          <w:tcPr>
            <w:tcW w:w="4275" w:type="dxa"/>
            <w:vAlign w:val="center"/>
          </w:tcPr>
          <w:p>
            <w:pPr>
              <w:ind w:firstLine="0" w:firstLineChars="0"/>
              <w:jc w:val="center"/>
              <w:rPr>
                <w:rFonts w:ascii="宋体" w:hAnsi="宋体" w:cs="宋体"/>
                <w:sz w:val="24"/>
                <w:highlight w:val="none"/>
              </w:rPr>
            </w:pPr>
            <w:r>
              <w:rPr>
                <w:rFonts w:hint="eastAsia" w:ascii="宋体" w:hAnsi="宋体" w:cs="宋体"/>
                <w:sz w:val="24"/>
                <w:highlight w:val="none"/>
              </w:rPr>
              <w:t>椒江区国资委</w:t>
            </w:r>
          </w:p>
          <w:p>
            <w:pPr>
              <w:ind w:firstLine="0" w:firstLineChars="0"/>
              <w:jc w:val="center"/>
              <w:rPr>
                <w:rFonts w:ascii="仿宋_GB2312" w:eastAsia="仿宋_GB2312"/>
                <w:b/>
                <w:szCs w:val="21"/>
                <w:highlight w:val="none"/>
              </w:rPr>
            </w:pPr>
            <w:r>
              <w:rPr>
                <w:rFonts w:hint="eastAsia" w:ascii="宋体" w:hAnsi="宋体" w:cs="宋体"/>
                <w:sz w:val="24"/>
                <w:highlight w:val="none"/>
              </w:rPr>
              <w:t>核准□ 备案</w:t>
            </w:r>
            <w:r>
              <w:rPr>
                <w:rFonts w:hint="eastAsia" w:ascii="宋体" w:hAnsi="宋体" w:cs="宋体"/>
                <w:sz w:val="24"/>
                <w:highlight w:val="none"/>
              </w:rPr>
              <w:sym w:font="Wingdings 2" w:char="0052"/>
            </w:r>
          </w:p>
        </w:tc>
      </w:tr>
    </w:tbl>
    <w:p>
      <w:pPr>
        <w:ind w:firstLine="422"/>
        <w:rPr>
          <w:rFonts w:ascii="仿宋_GB2312" w:eastAsia="仿宋_GB2312"/>
          <w:b/>
          <w:szCs w:val="21"/>
          <w:highlight w:val="none"/>
        </w:rPr>
      </w:pPr>
    </w:p>
    <w:p>
      <w:pPr>
        <w:spacing w:line="360" w:lineRule="auto"/>
        <w:ind w:firstLine="560"/>
        <w:rPr>
          <w:rFonts w:ascii="宋体" w:hAnsi="宋体"/>
          <w:sz w:val="28"/>
          <w:szCs w:val="28"/>
          <w:highlight w:val="none"/>
        </w:rPr>
      </w:pPr>
      <w:r>
        <w:rPr>
          <w:rFonts w:hint="eastAsia" w:ascii="宋体" w:hAnsi="宋体"/>
          <w:sz w:val="28"/>
          <w:szCs w:val="28"/>
          <w:highlight w:val="none"/>
        </w:rPr>
        <w:t>五、职工安置</w:t>
      </w:r>
    </w:p>
    <w:p>
      <w:pPr>
        <w:spacing w:line="360" w:lineRule="auto"/>
        <w:ind w:firstLine="560"/>
        <w:rPr>
          <w:rFonts w:ascii="宋体" w:hAnsi="宋体"/>
          <w:sz w:val="28"/>
          <w:szCs w:val="28"/>
          <w:highlight w:val="none"/>
        </w:rPr>
      </w:pPr>
      <w:r>
        <w:rPr>
          <w:rFonts w:hint="eastAsia" w:ascii="宋体" w:hAnsi="宋体"/>
          <w:sz w:val="28"/>
          <w:szCs w:val="28"/>
          <w:highlight w:val="none"/>
        </w:rPr>
        <w:t>本次股权转让完成后，职工的劳动合同继续有效，其劳动关系、社会保险及住房公积金关系保持不变。</w:t>
      </w:r>
    </w:p>
    <w:p>
      <w:pPr>
        <w:spacing w:line="360" w:lineRule="auto"/>
        <w:ind w:firstLine="560"/>
        <w:rPr>
          <w:rFonts w:ascii="宋体" w:hAnsi="宋体"/>
          <w:sz w:val="28"/>
          <w:szCs w:val="28"/>
          <w:highlight w:val="none"/>
        </w:rPr>
      </w:pPr>
      <w:r>
        <w:rPr>
          <w:rFonts w:hint="eastAsia" w:ascii="宋体" w:hAnsi="宋体"/>
          <w:sz w:val="28"/>
          <w:szCs w:val="28"/>
          <w:highlight w:val="none"/>
        </w:rPr>
        <w:t>六、债权债务处置</w:t>
      </w:r>
    </w:p>
    <w:p>
      <w:pPr>
        <w:spacing w:line="360" w:lineRule="auto"/>
        <w:ind w:firstLine="560"/>
        <w:rPr>
          <w:rFonts w:ascii="宋体" w:hAnsi="宋体"/>
          <w:sz w:val="28"/>
          <w:szCs w:val="28"/>
          <w:highlight w:val="none"/>
        </w:rPr>
      </w:pPr>
      <w:r>
        <w:rPr>
          <w:rFonts w:hint="eastAsia" w:ascii="宋体" w:hAnsi="宋体"/>
          <w:sz w:val="28"/>
          <w:szCs w:val="28"/>
          <w:highlight w:val="none"/>
        </w:rPr>
        <w:t>本次股权转让完成后，浙江海正博锐生物制药有限公司的法人主体未发生变化，为依法存续的有限责任公司。故此，其所有债权、债务依然由浙江海正博锐生物制药有限公司承继。</w:t>
      </w:r>
    </w:p>
    <w:p>
      <w:pPr>
        <w:spacing w:line="360" w:lineRule="auto"/>
        <w:ind w:firstLine="560"/>
        <w:rPr>
          <w:rFonts w:ascii="宋体" w:hAnsi="宋体"/>
          <w:sz w:val="28"/>
          <w:szCs w:val="28"/>
          <w:highlight w:val="none"/>
        </w:rPr>
      </w:pPr>
      <w:r>
        <w:rPr>
          <w:rFonts w:hint="eastAsia" w:ascii="宋体" w:hAnsi="宋体"/>
          <w:sz w:val="28"/>
          <w:szCs w:val="28"/>
          <w:highlight w:val="none"/>
        </w:rPr>
        <w:t>七、竞买人条件</w:t>
      </w:r>
    </w:p>
    <w:p>
      <w:pPr>
        <w:spacing w:line="360" w:lineRule="auto"/>
        <w:ind w:firstLine="560"/>
        <w:rPr>
          <w:rFonts w:hint="eastAsia" w:ascii="宋体" w:hAnsi="宋体"/>
          <w:sz w:val="28"/>
          <w:szCs w:val="28"/>
          <w:highlight w:val="none"/>
        </w:rPr>
      </w:pPr>
      <w:bookmarkStart w:id="14" w:name="待定04"/>
      <w:r>
        <w:rPr>
          <w:rFonts w:hint="eastAsia" w:ascii="宋体" w:hAnsi="宋体"/>
          <w:sz w:val="28"/>
          <w:szCs w:val="28"/>
          <w:highlight w:val="none"/>
        </w:rPr>
        <w:t>受让方资格条件、交易条件、与转让相关的其他条件以增资公告为准，转让项目不单独接受意向受让人办理受让意向登记手续，意向受让人须满足“浙江海正博锐生物制药有限公司增资项目”的资格条件，并承诺接受所有增资条件。</w:t>
      </w:r>
      <w:bookmarkEnd w:id="14"/>
    </w:p>
    <w:p>
      <w:pPr>
        <w:spacing w:line="360" w:lineRule="auto"/>
        <w:ind w:firstLine="560"/>
        <w:rPr>
          <w:rFonts w:ascii="宋体" w:hAnsi="宋体"/>
          <w:sz w:val="28"/>
          <w:szCs w:val="28"/>
          <w:highlight w:val="none"/>
        </w:rPr>
      </w:pPr>
      <w:r>
        <w:rPr>
          <w:rFonts w:hint="eastAsia" w:ascii="宋体" w:hAnsi="宋体"/>
          <w:sz w:val="28"/>
          <w:szCs w:val="28"/>
          <w:highlight w:val="none"/>
        </w:rPr>
        <w:t>八、竞买保证金缴纳、使用、退还</w:t>
      </w:r>
    </w:p>
    <w:p>
      <w:pPr>
        <w:spacing w:line="360" w:lineRule="auto"/>
        <w:ind w:firstLine="562"/>
        <w:rPr>
          <w:rFonts w:hint="eastAsia" w:ascii="宋体" w:hAnsi="宋体"/>
          <w:sz w:val="28"/>
          <w:szCs w:val="28"/>
          <w:highlight w:val="none"/>
        </w:rPr>
      </w:pPr>
      <w:r>
        <w:rPr>
          <w:rFonts w:hint="eastAsia" w:ascii="宋体" w:hAnsi="宋体"/>
          <w:sz w:val="28"/>
          <w:szCs w:val="28"/>
          <w:highlight w:val="none"/>
        </w:rPr>
        <w:t>1、竞买保证金缴纳：竞买人缴付的竞买保证金应在报名截止日前以转账方式缴入。</w:t>
      </w:r>
    </w:p>
    <w:p>
      <w:pPr>
        <w:ind w:firstLine="560"/>
        <w:jc w:val="left"/>
        <w:rPr>
          <w:rFonts w:hint="eastAsia" w:ascii="宋体" w:hAnsi="宋体"/>
          <w:bCs/>
          <w:sz w:val="28"/>
          <w:szCs w:val="28"/>
          <w:highlight w:val="none"/>
        </w:rPr>
      </w:pPr>
      <w:r>
        <w:rPr>
          <w:rFonts w:hint="eastAsia" w:ascii="宋体" w:hAnsi="宋体"/>
          <w:bCs/>
          <w:sz w:val="28"/>
          <w:szCs w:val="28"/>
          <w:highlight w:val="none"/>
        </w:rPr>
        <w:t>(1) 投资方为境内主体适用：单位名称：台州市产权交易所有限公司，开户行：浙江民泰商业银行台州椒江支行，帐号：5830162608000</w:t>
      </w:r>
      <w:r>
        <w:rPr>
          <w:rFonts w:hint="eastAsia" w:ascii="宋体" w:hAnsi="宋体"/>
          <w:bCs/>
          <w:sz w:val="28"/>
          <w:szCs w:val="28"/>
          <w:highlight w:val="none"/>
          <w:lang w:val="en-US" w:eastAsia="zh-CN"/>
        </w:rPr>
        <w:t>15</w:t>
      </w:r>
      <w:r>
        <w:rPr>
          <w:rFonts w:hint="eastAsia" w:ascii="宋体" w:hAnsi="宋体"/>
          <w:bCs/>
          <w:sz w:val="28"/>
          <w:szCs w:val="28"/>
          <w:highlight w:val="none"/>
        </w:rPr>
        <w:t>。</w:t>
      </w:r>
    </w:p>
    <w:p>
      <w:pPr>
        <w:ind w:firstLine="560"/>
        <w:jc w:val="left"/>
        <w:rPr>
          <w:rFonts w:hint="eastAsia" w:ascii="宋体" w:hAnsi="宋体"/>
          <w:bCs/>
          <w:sz w:val="28"/>
          <w:szCs w:val="28"/>
          <w:highlight w:val="none"/>
        </w:rPr>
      </w:pPr>
      <w:r>
        <w:rPr>
          <w:rFonts w:hint="eastAsia" w:ascii="宋体" w:hAnsi="宋体"/>
          <w:bCs/>
          <w:sz w:val="28"/>
          <w:szCs w:val="28"/>
          <w:highlight w:val="none"/>
        </w:rPr>
        <w:t>(2) 投资方为境外主体适用：单位名称：台州市产权交易所有限公司，开户行：中国农业银行台州市经济开发区支行，帐号：19900101040022292。</w:t>
      </w:r>
    </w:p>
    <w:p>
      <w:pPr>
        <w:spacing w:line="360" w:lineRule="auto"/>
        <w:ind w:firstLine="560"/>
        <w:rPr>
          <w:rFonts w:ascii="宋体" w:hAnsi="宋体"/>
          <w:sz w:val="28"/>
          <w:szCs w:val="28"/>
          <w:highlight w:val="none"/>
        </w:rPr>
      </w:pPr>
      <w:r>
        <w:rPr>
          <w:rFonts w:hint="eastAsia" w:ascii="宋体" w:hAnsi="宋体"/>
          <w:sz w:val="28"/>
          <w:szCs w:val="28"/>
          <w:highlight w:val="none"/>
        </w:rPr>
        <w:t>2、竞买保证金使用：竞买人竞得标的后，竞买保证金可抵作应支付部分转让款项。</w:t>
      </w:r>
    </w:p>
    <w:p>
      <w:pPr>
        <w:spacing w:line="360" w:lineRule="auto"/>
        <w:ind w:firstLine="560"/>
        <w:rPr>
          <w:rFonts w:ascii="宋体" w:hAnsi="宋体"/>
          <w:sz w:val="28"/>
          <w:szCs w:val="28"/>
          <w:highlight w:val="none"/>
        </w:rPr>
      </w:pPr>
      <w:r>
        <w:rPr>
          <w:rFonts w:hint="eastAsia" w:ascii="宋体" w:hAnsi="宋体"/>
          <w:sz w:val="28"/>
          <w:szCs w:val="28"/>
          <w:highlight w:val="none"/>
        </w:rPr>
        <w:t>3、出现下列情形竞买人保证金可在五个工作日内退还（不计息）：</w:t>
      </w:r>
    </w:p>
    <w:p>
      <w:pPr>
        <w:spacing w:line="360" w:lineRule="auto"/>
        <w:ind w:firstLine="565" w:firstLineChars="202"/>
        <w:rPr>
          <w:rFonts w:ascii="宋体" w:hAnsi="宋体"/>
          <w:sz w:val="28"/>
          <w:szCs w:val="28"/>
          <w:highlight w:val="none"/>
        </w:rPr>
      </w:pPr>
      <w:r>
        <w:rPr>
          <w:rFonts w:hint="eastAsia" w:ascii="宋体" w:hAnsi="宋体"/>
          <w:sz w:val="28"/>
          <w:szCs w:val="28"/>
          <w:highlight w:val="none"/>
        </w:rPr>
        <w:t>（1）经资格审核，不符合竞买资格的；</w:t>
      </w:r>
    </w:p>
    <w:p>
      <w:pPr>
        <w:spacing w:line="360" w:lineRule="auto"/>
        <w:ind w:firstLine="560"/>
        <w:rPr>
          <w:rFonts w:ascii="宋体" w:hAnsi="宋体"/>
          <w:sz w:val="28"/>
          <w:szCs w:val="28"/>
          <w:highlight w:val="none"/>
        </w:rPr>
      </w:pPr>
      <w:r>
        <w:rPr>
          <w:rFonts w:hint="eastAsia" w:ascii="宋体" w:hAnsi="宋体"/>
          <w:sz w:val="28"/>
          <w:szCs w:val="28"/>
          <w:highlight w:val="none"/>
        </w:rPr>
        <w:t>（2）参加竞价并应价但未能竞得标的者；</w:t>
      </w:r>
    </w:p>
    <w:p>
      <w:pPr>
        <w:spacing w:line="360" w:lineRule="auto"/>
        <w:ind w:firstLine="560"/>
        <w:rPr>
          <w:rFonts w:ascii="宋体" w:hAnsi="宋体"/>
          <w:sz w:val="28"/>
          <w:szCs w:val="28"/>
          <w:highlight w:val="none"/>
        </w:rPr>
      </w:pPr>
      <w:r>
        <w:rPr>
          <w:rFonts w:hint="eastAsia" w:ascii="宋体" w:hAnsi="宋体"/>
          <w:sz w:val="28"/>
          <w:szCs w:val="28"/>
          <w:highlight w:val="none"/>
        </w:rPr>
        <w:t>（3）竞价转让前，因政策等正当理由取消竞价转让的。</w:t>
      </w:r>
    </w:p>
    <w:p>
      <w:pPr>
        <w:tabs>
          <w:tab w:val="left" w:pos="6360"/>
        </w:tabs>
        <w:spacing w:line="360" w:lineRule="auto"/>
        <w:ind w:firstLine="560"/>
        <w:rPr>
          <w:rFonts w:ascii="宋体" w:hAnsi="宋体"/>
          <w:sz w:val="28"/>
          <w:szCs w:val="28"/>
          <w:highlight w:val="none"/>
        </w:rPr>
      </w:pPr>
      <w:r>
        <w:rPr>
          <w:rFonts w:hint="eastAsia" w:ascii="宋体" w:hAnsi="宋体"/>
          <w:sz w:val="28"/>
          <w:szCs w:val="28"/>
          <w:highlight w:val="none"/>
        </w:rPr>
        <w:t>4、出现下列情形竞买人保证金不予退还：</w:t>
      </w:r>
      <w:r>
        <w:rPr>
          <w:rFonts w:ascii="宋体" w:hAnsi="宋体"/>
          <w:sz w:val="28"/>
          <w:szCs w:val="28"/>
          <w:highlight w:val="none"/>
        </w:rPr>
        <w:tab/>
      </w:r>
    </w:p>
    <w:p>
      <w:pPr>
        <w:tabs>
          <w:tab w:val="left" w:pos="6360"/>
        </w:tabs>
        <w:spacing w:line="360" w:lineRule="auto"/>
        <w:ind w:firstLine="560"/>
        <w:rPr>
          <w:rFonts w:ascii="宋体" w:hAnsi="宋体"/>
          <w:sz w:val="28"/>
          <w:szCs w:val="28"/>
          <w:highlight w:val="none"/>
        </w:rPr>
      </w:pPr>
      <w:r>
        <w:rPr>
          <w:rFonts w:hint="eastAsia" w:ascii="宋体" w:hAnsi="宋体"/>
          <w:sz w:val="28"/>
          <w:szCs w:val="28"/>
          <w:highlight w:val="none"/>
        </w:rPr>
        <w:t>（1）竞买人存在不当行为，包括但不限于：竞买人提供的资料和信息存在虚假、不真实、不具有效力等情形。</w:t>
      </w:r>
    </w:p>
    <w:p>
      <w:pPr>
        <w:tabs>
          <w:tab w:val="left" w:pos="6360"/>
        </w:tabs>
        <w:spacing w:line="360" w:lineRule="auto"/>
        <w:ind w:firstLine="560"/>
        <w:rPr>
          <w:rFonts w:ascii="宋体" w:hAnsi="宋体"/>
          <w:sz w:val="28"/>
          <w:szCs w:val="28"/>
          <w:highlight w:val="none"/>
        </w:rPr>
      </w:pPr>
      <w:r>
        <w:rPr>
          <w:rFonts w:hint="eastAsia" w:ascii="宋体" w:hAnsi="宋体"/>
          <w:sz w:val="28"/>
          <w:szCs w:val="28"/>
          <w:highlight w:val="none"/>
        </w:rPr>
        <w:t>（2）竞买人交纳保证金后单方撤回竞买申请的；</w:t>
      </w:r>
    </w:p>
    <w:p>
      <w:pPr>
        <w:spacing w:line="360" w:lineRule="auto"/>
        <w:ind w:firstLine="560"/>
        <w:rPr>
          <w:rFonts w:ascii="宋体" w:hAnsi="宋体"/>
          <w:sz w:val="28"/>
          <w:szCs w:val="28"/>
          <w:highlight w:val="none"/>
        </w:rPr>
      </w:pPr>
      <w:r>
        <w:rPr>
          <w:rFonts w:hint="eastAsia" w:ascii="宋体" w:hAnsi="宋体"/>
          <w:sz w:val="28"/>
          <w:szCs w:val="28"/>
          <w:highlight w:val="none"/>
        </w:rPr>
        <w:t>（3）公告期满，产生两个或两个以上符合条件的竞买人时，竞买人交纳保证金后未参加后续竞价程序的；</w:t>
      </w:r>
    </w:p>
    <w:p>
      <w:pPr>
        <w:spacing w:line="360" w:lineRule="auto"/>
        <w:ind w:firstLine="560"/>
        <w:rPr>
          <w:rFonts w:ascii="宋体" w:hAnsi="宋体"/>
          <w:sz w:val="28"/>
          <w:szCs w:val="28"/>
          <w:highlight w:val="none"/>
        </w:rPr>
      </w:pPr>
      <w:r>
        <w:rPr>
          <w:rFonts w:hint="eastAsia" w:ascii="宋体" w:hAnsi="宋体"/>
          <w:sz w:val="28"/>
          <w:szCs w:val="28"/>
          <w:highlight w:val="none"/>
        </w:rPr>
        <w:t>（4）在竞价过程中以浙江海正博锐生物制药有限公司同步发布增资项目公告（台交所挂〔2019〕</w:t>
      </w:r>
      <w:r>
        <w:rPr>
          <w:rFonts w:hint="eastAsia" w:ascii="宋体" w:hAnsi="宋体"/>
          <w:sz w:val="28"/>
          <w:szCs w:val="28"/>
          <w:highlight w:val="none"/>
          <w:lang w:val="en-US" w:eastAsia="zh-CN"/>
        </w:rPr>
        <w:t>16</w:t>
      </w:r>
      <w:r>
        <w:rPr>
          <w:rFonts w:hint="eastAsia" w:ascii="宋体" w:hAnsi="宋体"/>
          <w:sz w:val="28"/>
          <w:szCs w:val="28"/>
          <w:highlight w:val="none"/>
        </w:rPr>
        <w:t>号）增资底价为起始价格，各竞买人均不应价的；</w:t>
      </w:r>
    </w:p>
    <w:p>
      <w:pPr>
        <w:spacing w:line="360" w:lineRule="auto"/>
        <w:ind w:firstLine="560"/>
        <w:rPr>
          <w:rFonts w:ascii="宋体" w:hAnsi="宋体"/>
          <w:sz w:val="28"/>
          <w:szCs w:val="28"/>
          <w:highlight w:val="none"/>
        </w:rPr>
      </w:pPr>
      <w:r>
        <w:rPr>
          <w:rFonts w:hint="eastAsia" w:ascii="宋体" w:hAnsi="宋体"/>
          <w:sz w:val="28"/>
          <w:szCs w:val="28"/>
          <w:highlight w:val="none"/>
        </w:rPr>
        <w:t>（5）被确定为最终受让方后，未按期支付首期成交款项的；</w:t>
      </w:r>
    </w:p>
    <w:p>
      <w:pPr>
        <w:spacing w:line="360" w:lineRule="auto"/>
        <w:ind w:firstLine="560"/>
        <w:rPr>
          <w:rFonts w:ascii="宋体" w:hAnsi="宋体"/>
          <w:sz w:val="28"/>
          <w:szCs w:val="28"/>
          <w:highlight w:val="none"/>
        </w:rPr>
      </w:pPr>
      <w:r>
        <w:rPr>
          <w:rFonts w:hint="eastAsia" w:ascii="宋体" w:hAnsi="宋体"/>
          <w:sz w:val="28"/>
          <w:szCs w:val="28"/>
          <w:highlight w:val="none"/>
        </w:rPr>
        <w:t>（6）未按期与出让方签订《成交确定书》和《转让合同》的；</w:t>
      </w:r>
    </w:p>
    <w:p>
      <w:pPr>
        <w:spacing w:line="360" w:lineRule="auto"/>
        <w:ind w:firstLine="560"/>
        <w:rPr>
          <w:rFonts w:ascii="宋体" w:hAnsi="宋体"/>
          <w:sz w:val="28"/>
          <w:szCs w:val="28"/>
          <w:highlight w:val="none"/>
        </w:rPr>
      </w:pPr>
      <w:r>
        <w:rPr>
          <w:rFonts w:hint="eastAsia" w:ascii="宋体" w:hAnsi="宋体"/>
          <w:sz w:val="28"/>
          <w:szCs w:val="28"/>
          <w:highlight w:val="none"/>
        </w:rPr>
        <w:t>（7）竞买人存在在重大</w:t>
      </w:r>
      <w:r>
        <w:rPr>
          <w:rFonts w:ascii="宋体" w:hAnsi="宋体"/>
          <w:sz w:val="28"/>
          <w:szCs w:val="28"/>
          <w:highlight w:val="none"/>
        </w:rPr>
        <w:t>方面</w:t>
      </w:r>
      <w:r>
        <w:rPr>
          <w:rFonts w:hint="eastAsia" w:ascii="宋体" w:hAnsi="宋体"/>
          <w:sz w:val="28"/>
          <w:szCs w:val="28"/>
          <w:highlight w:val="none"/>
        </w:rPr>
        <w:t>影响标的正常转让、竞价公正性或其他竞价程序要求的情形的；</w:t>
      </w:r>
    </w:p>
    <w:p>
      <w:pPr>
        <w:spacing w:line="360" w:lineRule="auto"/>
        <w:ind w:firstLine="560"/>
        <w:rPr>
          <w:rFonts w:ascii="宋体" w:hAnsi="宋体"/>
          <w:sz w:val="28"/>
          <w:szCs w:val="28"/>
          <w:highlight w:val="none"/>
        </w:rPr>
      </w:pPr>
      <w:r>
        <w:rPr>
          <w:rFonts w:hint="eastAsia" w:ascii="宋体" w:hAnsi="宋体"/>
          <w:sz w:val="28"/>
          <w:szCs w:val="28"/>
          <w:highlight w:val="none"/>
        </w:rPr>
        <w:t>九、报名受理</w:t>
      </w:r>
    </w:p>
    <w:p>
      <w:pPr>
        <w:spacing w:line="360" w:lineRule="auto"/>
        <w:ind w:firstLine="560"/>
        <w:rPr>
          <w:rFonts w:ascii="宋体" w:hAnsi="宋体"/>
          <w:sz w:val="28"/>
          <w:szCs w:val="28"/>
          <w:highlight w:val="none"/>
        </w:rPr>
      </w:pPr>
      <w:bookmarkStart w:id="15" w:name="待定05"/>
      <w:r>
        <w:rPr>
          <w:rFonts w:hint="eastAsia" w:ascii="宋体" w:hAnsi="宋体"/>
          <w:bCs/>
          <w:sz w:val="28"/>
          <w:szCs w:val="28"/>
          <w:highlight w:val="none"/>
        </w:rPr>
        <w:t>受让方资格条件、交易条件、与转让相关的其他条件以增资公告为准，转让项目不单独接受意向受让人办理受让意向登记手续，意向受让人须满足“浙江海正博锐生物制药有限公司增资项目”的资格条件，并承诺接受所有增资条件。</w:t>
      </w:r>
      <w:bookmarkEnd w:id="15"/>
    </w:p>
    <w:p>
      <w:pPr>
        <w:spacing w:line="360" w:lineRule="auto"/>
        <w:ind w:firstLine="560"/>
        <w:rPr>
          <w:rFonts w:ascii="宋体" w:hAnsi="宋体"/>
          <w:sz w:val="28"/>
          <w:szCs w:val="28"/>
          <w:highlight w:val="none"/>
        </w:rPr>
      </w:pPr>
      <w:r>
        <w:rPr>
          <w:rFonts w:hint="eastAsia" w:ascii="宋体" w:hAnsi="宋体"/>
          <w:sz w:val="28"/>
          <w:szCs w:val="28"/>
          <w:highlight w:val="none"/>
        </w:rPr>
        <w:t>十、竞买资格审核</w:t>
      </w:r>
    </w:p>
    <w:p>
      <w:pPr>
        <w:spacing w:line="360" w:lineRule="auto"/>
        <w:ind w:firstLine="560"/>
        <w:rPr>
          <w:rFonts w:ascii="宋体" w:hAnsi="宋体"/>
          <w:sz w:val="28"/>
          <w:szCs w:val="28"/>
          <w:highlight w:val="none"/>
        </w:rPr>
      </w:pPr>
      <w:r>
        <w:rPr>
          <w:rFonts w:hint="eastAsia" w:ascii="宋体" w:hAnsi="宋体"/>
          <w:sz w:val="28"/>
          <w:szCs w:val="28"/>
          <w:highlight w:val="none"/>
        </w:rPr>
        <w:t>根据竞买人提供的上述资料，产交所在本次股权转让报名截止时间后当日对竞买资格进行审核，并将审核意见书面告知转让方进行征询、确认。</w:t>
      </w:r>
    </w:p>
    <w:p>
      <w:pPr>
        <w:spacing w:line="360" w:lineRule="auto"/>
        <w:ind w:firstLine="560"/>
        <w:rPr>
          <w:rFonts w:ascii="宋体" w:hAnsi="宋体"/>
          <w:sz w:val="28"/>
          <w:szCs w:val="28"/>
          <w:highlight w:val="none"/>
        </w:rPr>
      </w:pPr>
      <w:r>
        <w:rPr>
          <w:rFonts w:hint="eastAsia" w:ascii="宋体" w:hAnsi="宋体"/>
          <w:sz w:val="28"/>
          <w:szCs w:val="28"/>
          <w:highlight w:val="none"/>
        </w:rPr>
        <w:t>十一、竞买资格确认</w:t>
      </w:r>
    </w:p>
    <w:p>
      <w:pPr>
        <w:spacing w:line="360" w:lineRule="auto"/>
        <w:ind w:firstLine="560"/>
        <w:rPr>
          <w:rFonts w:ascii="宋体" w:hAnsi="宋体"/>
          <w:sz w:val="28"/>
          <w:szCs w:val="28"/>
          <w:highlight w:val="none"/>
        </w:rPr>
      </w:pPr>
      <w:r>
        <w:rPr>
          <w:rFonts w:hint="eastAsia" w:ascii="宋体" w:hAnsi="宋体"/>
          <w:sz w:val="28"/>
          <w:szCs w:val="28"/>
          <w:highlight w:val="none"/>
        </w:rPr>
        <w:t>竞买人的竞买资格经审核后，产交所将审核确认意见即时通知竞买人。</w:t>
      </w:r>
    </w:p>
    <w:p>
      <w:pPr>
        <w:spacing w:line="360" w:lineRule="auto"/>
        <w:ind w:firstLine="560"/>
        <w:rPr>
          <w:rFonts w:ascii="宋体" w:hAnsi="宋体"/>
          <w:sz w:val="28"/>
          <w:szCs w:val="28"/>
          <w:highlight w:val="none"/>
        </w:rPr>
      </w:pPr>
      <w:r>
        <w:rPr>
          <w:rFonts w:hint="eastAsia" w:ascii="宋体" w:hAnsi="宋体"/>
          <w:sz w:val="28"/>
          <w:szCs w:val="28"/>
          <w:highlight w:val="none"/>
        </w:rPr>
        <w:t>十二、本次股权挂牌转让按照下列情况确定是否成交</w:t>
      </w:r>
    </w:p>
    <w:p>
      <w:pPr>
        <w:spacing w:line="360" w:lineRule="auto"/>
        <w:ind w:firstLine="560"/>
        <w:rPr>
          <w:rFonts w:ascii="宋体" w:hAnsi="宋体"/>
          <w:sz w:val="28"/>
          <w:szCs w:val="28"/>
          <w:highlight w:val="none"/>
        </w:rPr>
      </w:pPr>
      <w:bookmarkStart w:id="16" w:name="待定06"/>
      <w:r>
        <w:rPr>
          <w:rFonts w:ascii="宋体" w:hAnsi="宋体"/>
          <w:sz w:val="28"/>
          <w:szCs w:val="28"/>
          <w:highlight w:val="none"/>
        </w:rPr>
        <w:t>1、</w:t>
      </w:r>
      <w:r>
        <w:rPr>
          <w:rFonts w:hint="eastAsia" w:ascii="宋体" w:hAnsi="宋体"/>
          <w:sz w:val="28"/>
          <w:szCs w:val="28"/>
          <w:highlight w:val="none"/>
        </w:rPr>
        <w:t>本次股权转让公告发布的同时，标的公司浙江海正博锐生物制药有限公司同步发布增资项目公告（台交所挂〔2019〕</w:t>
      </w:r>
      <w:r>
        <w:rPr>
          <w:rFonts w:hint="eastAsia" w:ascii="宋体" w:hAnsi="宋体"/>
          <w:sz w:val="28"/>
          <w:szCs w:val="28"/>
          <w:highlight w:val="none"/>
          <w:lang w:val="en-US" w:eastAsia="zh-CN"/>
        </w:rPr>
        <w:t>16</w:t>
      </w:r>
      <w:r>
        <w:rPr>
          <w:rFonts w:hint="eastAsia" w:ascii="宋体" w:hAnsi="宋体"/>
          <w:sz w:val="28"/>
          <w:szCs w:val="28"/>
          <w:highlight w:val="none"/>
        </w:rPr>
        <w:t>号）,本项目不单独接受意向投资人办理股权受让意向登记手续，意向投资人应在增资项目公告有效期内办理投资意向登记手续，意向投资人应符合增资项目的全部资格条件、并承诺接受所有增资条件。意向投资人在获得增资</w:t>
      </w:r>
      <w:r>
        <w:rPr>
          <w:rFonts w:ascii="宋体" w:hAnsi="宋体"/>
          <w:sz w:val="28"/>
          <w:szCs w:val="28"/>
          <w:highlight w:val="none"/>
        </w:rPr>
        <w:t>竞买人</w:t>
      </w:r>
      <w:r>
        <w:rPr>
          <w:rFonts w:hint="eastAsia" w:ascii="宋体" w:hAnsi="宋体"/>
          <w:sz w:val="28"/>
          <w:szCs w:val="28"/>
          <w:highlight w:val="none"/>
        </w:rPr>
        <w:t>资格确认并按时缴纳足额保证金后，同时获得本项目的竞买资格，且意向投资人必须参与本</w:t>
      </w:r>
      <w:r>
        <w:rPr>
          <w:rFonts w:ascii="宋体" w:hAnsi="宋体"/>
          <w:sz w:val="28"/>
          <w:szCs w:val="28"/>
          <w:highlight w:val="none"/>
        </w:rPr>
        <w:t>项目</w:t>
      </w:r>
      <w:r>
        <w:rPr>
          <w:rFonts w:hint="eastAsia" w:ascii="宋体" w:hAnsi="宋体"/>
          <w:sz w:val="28"/>
          <w:szCs w:val="28"/>
          <w:highlight w:val="none"/>
        </w:rPr>
        <w:t>后续股权</w:t>
      </w:r>
      <w:r>
        <w:rPr>
          <w:rFonts w:ascii="宋体" w:hAnsi="宋体"/>
          <w:sz w:val="28"/>
          <w:szCs w:val="28"/>
          <w:highlight w:val="none"/>
        </w:rPr>
        <w:t>转让竞价</w:t>
      </w:r>
      <w:r>
        <w:rPr>
          <w:rFonts w:hint="eastAsia" w:ascii="宋体" w:hAnsi="宋体"/>
          <w:sz w:val="28"/>
          <w:szCs w:val="28"/>
          <w:highlight w:val="none"/>
        </w:rPr>
        <w:t>。</w:t>
      </w:r>
    </w:p>
    <w:p>
      <w:pPr>
        <w:spacing w:line="360" w:lineRule="auto"/>
        <w:ind w:firstLine="560"/>
        <w:rPr>
          <w:rFonts w:ascii="宋体" w:hAnsi="宋体"/>
          <w:sz w:val="28"/>
          <w:szCs w:val="28"/>
          <w:highlight w:val="none"/>
        </w:rPr>
      </w:pPr>
      <w:r>
        <w:rPr>
          <w:rFonts w:ascii="宋体" w:hAnsi="宋体"/>
          <w:sz w:val="28"/>
          <w:szCs w:val="28"/>
          <w:highlight w:val="none"/>
        </w:rPr>
        <w:t>2、</w:t>
      </w:r>
      <w:r>
        <w:rPr>
          <w:rFonts w:hint="eastAsia" w:ascii="宋体" w:hAnsi="宋体"/>
          <w:sz w:val="28"/>
          <w:szCs w:val="28"/>
          <w:highlight w:val="none"/>
        </w:rPr>
        <w:t>增资项目确定最终投资人、确定增资价格、确定原股东转让增资人部分股权的成交价格，本意向投资人与其他股东共同签署《股权转让协议》和《增资扩股协议》。</w:t>
      </w:r>
    </w:p>
    <w:bookmarkEnd w:id="16"/>
    <w:p>
      <w:pPr>
        <w:spacing w:line="360" w:lineRule="auto"/>
        <w:ind w:firstLine="560"/>
        <w:rPr>
          <w:rFonts w:ascii="宋体" w:hAnsi="宋体"/>
          <w:sz w:val="28"/>
          <w:szCs w:val="28"/>
          <w:highlight w:val="none"/>
        </w:rPr>
      </w:pPr>
      <w:r>
        <w:rPr>
          <w:rFonts w:hint="eastAsia" w:ascii="宋体" w:hAnsi="宋体"/>
          <w:sz w:val="28"/>
          <w:szCs w:val="28"/>
          <w:highlight w:val="none"/>
        </w:rPr>
        <w:t>十三、挂牌转让成交后，受让方须当日到产权交易所签署《成交确认书》，并在签署《成交确认书》后</w:t>
      </w:r>
      <w:r>
        <w:rPr>
          <w:rFonts w:ascii="宋体" w:hAnsi="宋体"/>
          <w:sz w:val="28"/>
          <w:szCs w:val="28"/>
          <w:highlight w:val="none"/>
        </w:rPr>
        <w:t>两个工作日内</w:t>
      </w:r>
      <w:r>
        <w:rPr>
          <w:rFonts w:hint="eastAsia" w:ascii="宋体" w:hAnsi="宋体"/>
          <w:sz w:val="28"/>
          <w:szCs w:val="28"/>
          <w:highlight w:val="none"/>
        </w:rPr>
        <w:t>与转让方签订《股权转让合同》。</w:t>
      </w:r>
    </w:p>
    <w:p>
      <w:pPr>
        <w:spacing w:line="360" w:lineRule="auto"/>
        <w:ind w:firstLine="560"/>
        <w:rPr>
          <w:rFonts w:ascii="宋体" w:hAnsi="宋体"/>
          <w:sz w:val="28"/>
          <w:szCs w:val="28"/>
          <w:highlight w:val="none"/>
        </w:rPr>
      </w:pPr>
      <w:r>
        <w:rPr>
          <w:rFonts w:hint="eastAsia" w:ascii="宋体" w:hAnsi="宋体"/>
          <w:sz w:val="28"/>
          <w:szCs w:val="28"/>
          <w:highlight w:val="none"/>
        </w:rPr>
        <w:t>十四、交易佣金</w:t>
      </w:r>
    </w:p>
    <w:p>
      <w:pPr>
        <w:spacing w:line="360" w:lineRule="auto"/>
        <w:ind w:firstLine="560"/>
        <w:rPr>
          <w:rFonts w:ascii="宋体" w:hAnsi="宋体"/>
          <w:sz w:val="28"/>
          <w:szCs w:val="28"/>
          <w:highlight w:val="none"/>
        </w:rPr>
      </w:pPr>
      <w:r>
        <w:rPr>
          <w:rFonts w:hint="eastAsia" w:ascii="宋体" w:hAnsi="宋体"/>
          <w:sz w:val="28"/>
          <w:szCs w:val="28"/>
          <w:highlight w:val="none"/>
        </w:rPr>
        <w:t>交易佣金</w:t>
      </w:r>
      <w:r>
        <w:rPr>
          <w:rFonts w:hint="eastAsia" w:ascii="宋体" w:hAnsi="宋体"/>
          <w:sz w:val="28"/>
          <w:szCs w:val="28"/>
          <w:highlight w:val="none"/>
          <w:lang w:val="en-US" w:eastAsia="zh-CN"/>
        </w:rPr>
        <w:t>为人民币135万元</w:t>
      </w:r>
      <w:r>
        <w:rPr>
          <w:rFonts w:hint="eastAsia" w:ascii="宋体" w:hAnsi="宋体"/>
          <w:sz w:val="28"/>
          <w:szCs w:val="28"/>
          <w:highlight w:val="none"/>
        </w:rPr>
        <w:t>，由受让方在与转让方签订《股权转让合同》生效日后五个工作日内一次性付清。</w:t>
      </w:r>
    </w:p>
    <w:p>
      <w:pPr>
        <w:spacing w:line="360" w:lineRule="auto"/>
        <w:ind w:firstLine="560"/>
        <w:rPr>
          <w:rFonts w:ascii="宋体" w:hAnsi="宋体"/>
          <w:sz w:val="28"/>
          <w:szCs w:val="28"/>
          <w:highlight w:val="none"/>
        </w:rPr>
      </w:pPr>
      <w:r>
        <w:rPr>
          <w:rFonts w:hint="eastAsia" w:ascii="宋体" w:hAnsi="宋体"/>
          <w:sz w:val="28"/>
          <w:szCs w:val="28"/>
          <w:highlight w:val="none"/>
        </w:rPr>
        <w:t>十五、付款方式</w:t>
      </w:r>
    </w:p>
    <w:p>
      <w:pPr>
        <w:spacing w:line="360" w:lineRule="auto"/>
        <w:ind w:firstLine="560"/>
        <w:rPr>
          <w:rFonts w:hint="eastAsia" w:ascii="宋体" w:hAnsi="宋体"/>
          <w:sz w:val="28"/>
          <w:szCs w:val="28"/>
          <w:highlight w:val="none"/>
          <w:lang w:val="en-US" w:eastAsia="zh-CN"/>
        </w:rPr>
      </w:pPr>
      <w:r>
        <w:rPr>
          <w:rFonts w:hint="eastAsia" w:ascii="宋体" w:hAnsi="宋体"/>
          <w:sz w:val="28"/>
          <w:szCs w:val="28"/>
          <w:highlight w:val="none"/>
        </w:rPr>
        <w:t>股权转让成交后，受让方在签署本《成交确认书》后两个</w:t>
      </w:r>
      <w:r>
        <w:rPr>
          <w:rFonts w:ascii="宋体" w:hAnsi="宋体"/>
          <w:sz w:val="28"/>
          <w:szCs w:val="28"/>
          <w:highlight w:val="none"/>
        </w:rPr>
        <w:t>工作日</w:t>
      </w:r>
      <w:r>
        <w:rPr>
          <w:rFonts w:hint="eastAsia" w:ascii="宋体" w:hAnsi="宋体"/>
          <w:sz w:val="28"/>
          <w:szCs w:val="28"/>
          <w:highlight w:val="none"/>
        </w:rPr>
        <w:t>内签署《股权转让合同》。首期价款（含竞买保证金）为产权标的成交金额的30%（且无论如何不得低于人民币758,890,099元），受让方应在《股权转让合同》签订之日起（如需相关政府机关批准、登记</w:t>
      </w:r>
      <w:r>
        <w:rPr>
          <w:rFonts w:ascii="宋体" w:hAnsi="宋体"/>
          <w:sz w:val="28"/>
          <w:szCs w:val="28"/>
          <w:highlight w:val="none"/>
        </w:rPr>
        <w:t>及</w:t>
      </w:r>
      <w:r>
        <w:rPr>
          <w:rFonts w:hint="eastAsia" w:ascii="宋体" w:hAnsi="宋体"/>
          <w:sz w:val="28"/>
          <w:szCs w:val="28"/>
          <w:highlight w:val="none"/>
        </w:rPr>
        <w:t>/或</w:t>
      </w:r>
      <w:r>
        <w:rPr>
          <w:rFonts w:ascii="宋体" w:hAnsi="宋体"/>
          <w:sz w:val="28"/>
          <w:szCs w:val="28"/>
          <w:highlight w:val="none"/>
        </w:rPr>
        <w:t>备案的，则在政府机</w:t>
      </w:r>
      <w:r>
        <w:rPr>
          <w:rFonts w:hint="eastAsia" w:ascii="宋体" w:hAnsi="宋体"/>
          <w:sz w:val="28"/>
          <w:szCs w:val="28"/>
          <w:highlight w:val="none"/>
        </w:rPr>
        <w:t>关</w:t>
      </w:r>
      <w:r>
        <w:rPr>
          <w:rFonts w:ascii="宋体" w:hAnsi="宋体"/>
          <w:sz w:val="28"/>
          <w:szCs w:val="28"/>
          <w:highlight w:val="none"/>
        </w:rPr>
        <w:t>批准、登记及</w:t>
      </w:r>
      <w:r>
        <w:rPr>
          <w:rFonts w:hint="eastAsia" w:ascii="宋体" w:hAnsi="宋体"/>
          <w:sz w:val="28"/>
          <w:szCs w:val="28"/>
          <w:highlight w:val="none"/>
        </w:rPr>
        <w:t>/或</w:t>
      </w:r>
      <w:r>
        <w:rPr>
          <w:rFonts w:ascii="宋体" w:hAnsi="宋体"/>
          <w:sz w:val="28"/>
          <w:szCs w:val="28"/>
          <w:highlight w:val="none"/>
        </w:rPr>
        <w:t>备案</w:t>
      </w:r>
      <w:r>
        <w:rPr>
          <w:rFonts w:hint="eastAsia" w:ascii="宋体" w:hAnsi="宋体"/>
          <w:sz w:val="28"/>
          <w:szCs w:val="28"/>
          <w:highlight w:val="none"/>
        </w:rPr>
        <w:t>之日</w:t>
      </w:r>
      <w:r>
        <w:rPr>
          <w:rFonts w:ascii="宋体" w:hAnsi="宋体"/>
          <w:sz w:val="28"/>
          <w:szCs w:val="28"/>
          <w:highlight w:val="none"/>
        </w:rPr>
        <w:t>起）</w:t>
      </w:r>
      <w:r>
        <w:rPr>
          <w:rFonts w:hint="eastAsia" w:ascii="宋体" w:hAnsi="宋体"/>
          <w:sz w:val="28"/>
          <w:szCs w:val="28"/>
          <w:highlight w:val="none"/>
        </w:rPr>
        <w:t>五个工作日内支付至转让方指定</w:t>
      </w:r>
      <w:r>
        <w:rPr>
          <w:rFonts w:ascii="宋体" w:hAnsi="宋体"/>
          <w:sz w:val="28"/>
          <w:szCs w:val="28"/>
          <w:highlight w:val="none"/>
        </w:rPr>
        <w:t>账户</w:t>
      </w:r>
      <w:r>
        <w:rPr>
          <w:rFonts w:hint="eastAsia" w:ascii="宋体" w:hAnsi="宋体"/>
          <w:sz w:val="28"/>
          <w:szCs w:val="28"/>
          <w:highlight w:val="none"/>
        </w:rPr>
        <w:t>，其余价款应根据</w:t>
      </w:r>
      <w:r>
        <w:rPr>
          <w:rFonts w:ascii="宋体" w:hAnsi="宋体"/>
          <w:sz w:val="28"/>
          <w:szCs w:val="28"/>
          <w:highlight w:val="none"/>
        </w:rPr>
        <w:t>《股</w:t>
      </w:r>
      <w:r>
        <w:rPr>
          <w:rFonts w:hint="eastAsia" w:ascii="宋体" w:hAnsi="宋体"/>
          <w:sz w:val="28"/>
          <w:szCs w:val="28"/>
          <w:highlight w:val="none"/>
        </w:rPr>
        <w:t>权转让</w:t>
      </w:r>
      <w:r>
        <w:rPr>
          <w:rFonts w:ascii="宋体" w:hAnsi="宋体"/>
          <w:sz w:val="28"/>
          <w:szCs w:val="28"/>
          <w:highlight w:val="none"/>
        </w:rPr>
        <w:t>合同》的约定</w:t>
      </w:r>
      <w:r>
        <w:rPr>
          <w:rFonts w:hint="eastAsia" w:ascii="宋体" w:hAnsi="宋体"/>
          <w:sz w:val="28"/>
          <w:szCs w:val="28"/>
          <w:highlight w:val="none"/>
        </w:rPr>
        <w:t>付清，且提供银行保函或符合转让方要求的合法有效担保，受让方先期缴纳的竞买保证金可抵作部分转让价款。竞买保证金</w:t>
      </w:r>
      <w:r>
        <w:rPr>
          <w:rFonts w:ascii="宋体" w:hAnsi="宋体"/>
          <w:sz w:val="28"/>
          <w:szCs w:val="28"/>
          <w:highlight w:val="none"/>
        </w:rPr>
        <w:t>应</w:t>
      </w:r>
      <w:r>
        <w:rPr>
          <w:rFonts w:hint="eastAsia" w:ascii="宋体" w:hAnsi="宋体"/>
          <w:sz w:val="28"/>
          <w:szCs w:val="28"/>
          <w:highlight w:val="none"/>
        </w:rPr>
        <w:t>缴入台州市产权交易所有限公司</w:t>
      </w:r>
      <w:r>
        <w:rPr>
          <w:rFonts w:hint="eastAsia" w:ascii="宋体" w:hAnsi="宋体"/>
          <w:sz w:val="28"/>
          <w:szCs w:val="28"/>
          <w:highlight w:val="none"/>
          <w:lang w:val="en-US" w:eastAsia="zh-CN"/>
        </w:rPr>
        <w:t>以下账号：</w:t>
      </w:r>
    </w:p>
    <w:p>
      <w:pPr>
        <w:ind w:firstLine="560"/>
        <w:jc w:val="left"/>
        <w:rPr>
          <w:rFonts w:hint="eastAsia" w:ascii="宋体" w:hAnsi="宋体"/>
          <w:bCs/>
          <w:sz w:val="28"/>
          <w:szCs w:val="28"/>
          <w:highlight w:val="none"/>
        </w:rPr>
      </w:pPr>
      <w:r>
        <w:rPr>
          <w:rFonts w:hint="eastAsia" w:ascii="宋体" w:hAnsi="宋体"/>
          <w:bCs/>
          <w:sz w:val="28"/>
          <w:szCs w:val="28"/>
          <w:highlight w:val="none"/>
        </w:rPr>
        <w:t>(1) 投资方为境内主体适用：单位名称：台州市产权交易所有限公司，开户行：浙江民泰商业银行台州椒江支行，帐号：5830162608000</w:t>
      </w:r>
      <w:r>
        <w:rPr>
          <w:rFonts w:hint="eastAsia" w:ascii="宋体" w:hAnsi="宋体"/>
          <w:bCs/>
          <w:sz w:val="28"/>
          <w:szCs w:val="28"/>
          <w:highlight w:val="none"/>
          <w:lang w:val="en-US" w:eastAsia="zh-CN"/>
        </w:rPr>
        <w:t>15</w:t>
      </w:r>
      <w:r>
        <w:rPr>
          <w:rFonts w:hint="eastAsia" w:ascii="宋体" w:hAnsi="宋体"/>
          <w:bCs/>
          <w:sz w:val="28"/>
          <w:szCs w:val="28"/>
          <w:highlight w:val="none"/>
        </w:rPr>
        <w:t>。</w:t>
      </w:r>
    </w:p>
    <w:p>
      <w:pPr>
        <w:ind w:firstLine="560"/>
        <w:jc w:val="left"/>
        <w:rPr>
          <w:rFonts w:hint="eastAsia" w:ascii="宋体" w:hAnsi="宋体"/>
          <w:bCs/>
          <w:sz w:val="28"/>
          <w:szCs w:val="28"/>
          <w:highlight w:val="none"/>
        </w:rPr>
      </w:pPr>
      <w:r>
        <w:rPr>
          <w:rFonts w:hint="eastAsia" w:ascii="宋体" w:hAnsi="宋体"/>
          <w:bCs/>
          <w:sz w:val="28"/>
          <w:szCs w:val="28"/>
          <w:highlight w:val="none"/>
        </w:rPr>
        <w:t>(2) 投资方为境外主体适用：单位名称：台州市产权交易所有限公司，开户行：中国农业银行台州市经济开发区支行，帐号：19900101040022292。</w:t>
      </w:r>
    </w:p>
    <w:p>
      <w:pPr>
        <w:spacing w:line="360" w:lineRule="auto"/>
        <w:ind w:firstLine="560"/>
        <w:rPr>
          <w:rFonts w:ascii="宋体" w:hAnsi="宋体"/>
          <w:bCs/>
          <w:sz w:val="28"/>
          <w:szCs w:val="28"/>
          <w:highlight w:val="none"/>
        </w:rPr>
      </w:pPr>
      <w:r>
        <w:rPr>
          <w:rFonts w:hint="eastAsia" w:ascii="宋体" w:hAnsi="宋体"/>
          <w:sz w:val="28"/>
          <w:szCs w:val="28"/>
          <w:highlight w:val="none"/>
        </w:rPr>
        <w:t>十六、</w:t>
      </w:r>
      <w:r>
        <w:rPr>
          <w:rFonts w:hint="eastAsia" w:ascii="宋体" w:hAnsi="宋体"/>
          <w:bCs/>
          <w:sz w:val="28"/>
          <w:szCs w:val="28"/>
          <w:highlight w:val="none"/>
        </w:rPr>
        <w:t>股权转让的移交、交割与清算</w:t>
      </w:r>
    </w:p>
    <w:p>
      <w:pPr>
        <w:spacing w:line="360" w:lineRule="auto"/>
        <w:ind w:firstLine="560"/>
        <w:rPr>
          <w:rFonts w:ascii="宋体" w:hAnsi="宋体"/>
          <w:bCs/>
          <w:sz w:val="28"/>
          <w:szCs w:val="28"/>
          <w:highlight w:val="none"/>
        </w:rPr>
      </w:pPr>
      <w:r>
        <w:rPr>
          <w:rFonts w:hint="eastAsia" w:ascii="宋体" w:hAnsi="宋体"/>
          <w:bCs/>
          <w:sz w:val="28"/>
          <w:szCs w:val="28"/>
          <w:highlight w:val="none"/>
        </w:rPr>
        <w:t>1、本次股权转让的交接，在出让方与受让方之间进行。受让方负责向产交所指定账户付清本次股权转让竞买保证金，且受让方付清其应承担的交易佣金后，产交所审核后向受让方出具本次股权转让的《产权交易凭证》，受让方方能要求与出让方办理股权挂牌转让标的交接手续。</w:t>
      </w:r>
    </w:p>
    <w:p>
      <w:pPr>
        <w:spacing w:line="360" w:lineRule="auto"/>
        <w:ind w:firstLine="560"/>
        <w:rPr>
          <w:rFonts w:ascii="宋体" w:hAnsi="宋体"/>
          <w:bCs/>
          <w:sz w:val="28"/>
          <w:szCs w:val="28"/>
          <w:highlight w:val="none"/>
        </w:rPr>
      </w:pPr>
      <w:r>
        <w:rPr>
          <w:rFonts w:hint="eastAsia" w:ascii="宋体" w:hAnsi="宋体"/>
          <w:bCs/>
          <w:sz w:val="28"/>
          <w:szCs w:val="28"/>
          <w:highlight w:val="none"/>
        </w:rPr>
        <w:t>2、股权转让交割日：工商变更登记之日为股权转让交割日，表示本次股权转让交割完毕。</w:t>
      </w:r>
    </w:p>
    <w:p>
      <w:pPr>
        <w:spacing w:line="360" w:lineRule="auto"/>
        <w:ind w:firstLine="560"/>
        <w:rPr>
          <w:rFonts w:ascii="宋体" w:hAnsi="宋体"/>
          <w:bCs/>
          <w:sz w:val="28"/>
          <w:szCs w:val="28"/>
          <w:highlight w:val="none"/>
        </w:rPr>
      </w:pPr>
      <w:r>
        <w:rPr>
          <w:rFonts w:hint="eastAsia" w:ascii="宋体" w:hAnsi="宋体"/>
          <w:bCs/>
          <w:sz w:val="28"/>
          <w:szCs w:val="28"/>
          <w:highlight w:val="none"/>
        </w:rPr>
        <w:t>3、股权转让评估基准日（2019年4月30日）至股权转让交割日期间，标的企业经营损益不再进行审计清算，相关权利和义务由受让方按照受让</w:t>
      </w:r>
      <w:r>
        <w:rPr>
          <w:rFonts w:ascii="宋体" w:hAnsi="宋体"/>
          <w:bCs/>
          <w:sz w:val="28"/>
          <w:szCs w:val="28"/>
          <w:highlight w:val="none"/>
        </w:rPr>
        <w:t>股权比例</w:t>
      </w:r>
      <w:r>
        <w:rPr>
          <w:rFonts w:hint="eastAsia" w:ascii="宋体" w:hAnsi="宋体"/>
          <w:bCs/>
          <w:sz w:val="28"/>
          <w:szCs w:val="28"/>
          <w:highlight w:val="none"/>
        </w:rPr>
        <w:t>享有或承担。</w:t>
      </w:r>
    </w:p>
    <w:p>
      <w:pPr>
        <w:spacing w:line="360" w:lineRule="auto"/>
        <w:ind w:firstLine="560"/>
        <w:rPr>
          <w:rFonts w:ascii="宋体" w:hAnsi="宋体"/>
          <w:bCs/>
          <w:sz w:val="28"/>
          <w:szCs w:val="28"/>
          <w:highlight w:val="none"/>
        </w:rPr>
      </w:pPr>
      <w:r>
        <w:rPr>
          <w:rFonts w:hint="eastAsia" w:ascii="宋体" w:hAnsi="宋体"/>
          <w:sz w:val="28"/>
          <w:szCs w:val="28"/>
          <w:highlight w:val="none"/>
        </w:rPr>
        <w:t>十七</w:t>
      </w:r>
      <w:r>
        <w:rPr>
          <w:rFonts w:hint="eastAsia" w:ascii="宋体" w:hAnsi="宋体"/>
          <w:bCs/>
          <w:sz w:val="28"/>
          <w:szCs w:val="28"/>
          <w:highlight w:val="none"/>
        </w:rPr>
        <w:t>、股权变更登记</w:t>
      </w:r>
    </w:p>
    <w:p>
      <w:pPr>
        <w:spacing w:line="360" w:lineRule="auto"/>
        <w:ind w:firstLine="560"/>
        <w:rPr>
          <w:rFonts w:ascii="宋体" w:hAnsi="宋体"/>
          <w:bCs/>
          <w:sz w:val="28"/>
          <w:szCs w:val="28"/>
          <w:highlight w:val="none"/>
        </w:rPr>
      </w:pPr>
      <w:r>
        <w:rPr>
          <w:rFonts w:hint="eastAsia" w:ascii="宋体" w:hAnsi="宋体"/>
          <w:bCs/>
          <w:sz w:val="28"/>
          <w:szCs w:val="28"/>
          <w:highlight w:val="none"/>
        </w:rPr>
        <w:t>受让方取得产交所出具的《产权交易凭证》后，应在出让方及</w:t>
      </w:r>
      <w:r>
        <w:rPr>
          <w:rFonts w:ascii="宋体" w:hAnsi="宋体"/>
          <w:bCs/>
          <w:sz w:val="28"/>
          <w:szCs w:val="28"/>
          <w:highlight w:val="none"/>
        </w:rPr>
        <w:t>标的公司</w:t>
      </w:r>
      <w:r>
        <w:rPr>
          <w:rFonts w:hint="eastAsia" w:ascii="宋体" w:hAnsi="宋体"/>
          <w:bCs/>
          <w:sz w:val="28"/>
          <w:szCs w:val="28"/>
          <w:highlight w:val="none"/>
        </w:rPr>
        <w:t>配合协助下自行办妥股权转让法律程序必备的文件资料，并上报有关部门进行股权变更登记申请手续。股权变更所发生的费用（除法律、法规规定应由转让方承担的税金及</w:t>
      </w:r>
      <w:r>
        <w:rPr>
          <w:rFonts w:ascii="宋体" w:hAnsi="宋体"/>
          <w:bCs/>
          <w:sz w:val="28"/>
          <w:szCs w:val="28"/>
          <w:highlight w:val="none"/>
        </w:rPr>
        <w:t>由双方承担的</w:t>
      </w:r>
      <w:r>
        <w:rPr>
          <w:rFonts w:hint="eastAsia" w:ascii="宋体" w:hAnsi="宋体"/>
          <w:bCs/>
          <w:sz w:val="28"/>
          <w:szCs w:val="28"/>
          <w:highlight w:val="none"/>
        </w:rPr>
        <w:t>交易</w:t>
      </w:r>
      <w:r>
        <w:rPr>
          <w:rFonts w:ascii="宋体" w:hAnsi="宋体"/>
          <w:bCs/>
          <w:sz w:val="28"/>
          <w:szCs w:val="28"/>
          <w:highlight w:val="none"/>
        </w:rPr>
        <w:t>佣金</w:t>
      </w:r>
      <w:r>
        <w:rPr>
          <w:rFonts w:hint="eastAsia" w:ascii="宋体" w:hAnsi="宋体"/>
          <w:bCs/>
          <w:sz w:val="28"/>
          <w:szCs w:val="28"/>
          <w:highlight w:val="none"/>
        </w:rPr>
        <w:t>外）由标的公司承担。</w:t>
      </w:r>
    </w:p>
    <w:p>
      <w:pPr>
        <w:tabs>
          <w:tab w:val="left" w:pos="8222"/>
        </w:tabs>
        <w:spacing w:line="360" w:lineRule="auto"/>
        <w:ind w:firstLine="560"/>
        <w:rPr>
          <w:rFonts w:ascii="宋体" w:hAnsi="宋体"/>
          <w:bCs/>
          <w:sz w:val="28"/>
          <w:szCs w:val="28"/>
          <w:highlight w:val="none"/>
        </w:rPr>
      </w:pPr>
      <w:r>
        <w:rPr>
          <w:rFonts w:hint="eastAsia" w:ascii="宋体" w:hAnsi="宋体"/>
          <w:bCs/>
          <w:sz w:val="28"/>
          <w:szCs w:val="28"/>
          <w:highlight w:val="none"/>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sz w:val="28"/>
          <w:szCs w:val="28"/>
          <w:highlight w:val="none"/>
        </w:rPr>
      </w:pPr>
      <w:r>
        <w:rPr>
          <w:rFonts w:hint="eastAsia" w:ascii="宋体" w:hAnsi="宋体"/>
          <w:bCs/>
          <w:sz w:val="28"/>
          <w:szCs w:val="28"/>
          <w:highlight w:val="none"/>
        </w:rPr>
        <w:t>十九、违约责任</w:t>
      </w:r>
    </w:p>
    <w:p>
      <w:pPr>
        <w:spacing w:line="360" w:lineRule="auto"/>
        <w:ind w:firstLine="560"/>
        <w:rPr>
          <w:rFonts w:ascii="宋体" w:hAnsi="宋体"/>
          <w:bCs/>
          <w:sz w:val="28"/>
          <w:szCs w:val="28"/>
          <w:highlight w:val="none"/>
          <w:u w:val="single"/>
        </w:rPr>
      </w:pPr>
      <w:r>
        <w:rPr>
          <w:rFonts w:hint="eastAsia" w:ascii="宋体" w:hAnsi="宋体"/>
          <w:bCs/>
          <w:sz w:val="28"/>
          <w:szCs w:val="28"/>
          <w:highlight w:val="none"/>
        </w:rPr>
        <w:t>竞买人撤回报价或成交后拒绝签署《成交确认书》、《股权转让合同》，视为其毁约，产交所有权追究其违约责任；受让方逾期支付首期股权转让成交款项的，视为受让方根本违约；出让方有权解除《股权转让合同》，产权交易所有权解除《成交确认书》，保证金不予退还。</w:t>
      </w:r>
    </w:p>
    <w:p>
      <w:pPr>
        <w:spacing w:line="360" w:lineRule="auto"/>
        <w:ind w:firstLine="560"/>
        <w:rPr>
          <w:rFonts w:ascii="宋体" w:hAnsi="宋体"/>
          <w:bCs/>
          <w:sz w:val="28"/>
          <w:szCs w:val="28"/>
          <w:highlight w:val="none"/>
        </w:rPr>
      </w:pPr>
      <w:r>
        <w:rPr>
          <w:rFonts w:hint="eastAsia" w:ascii="宋体" w:hAnsi="宋体"/>
          <w:bCs/>
          <w:sz w:val="28"/>
          <w:szCs w:val="28"/>
          <w:highlight w:val="none"/>
        </w:rPr>
        <w:t>二十、竞买人应仔细分析投资风险。请竞买人自行对标的企业的资产、负债、经营以及相关政策等情况进行全面考察和了解。一旦报名，即表明竞买人自愿承担投资风险和责任。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sz w:val="28"/>
          <w:szCs w:val="28"/>
          <w:highlight w:val="none"/>
        </w:rPr>
      </w:pPr>
      <w:r>
        <w:rPr>
          <w:rFonts w:hint="eastAsia" w:ascii="宋体" w:hAnsi="宋体"/>
          <w:bCs/>
          <w:sz w:val="28"/>
          <w:szCs w:val="28"/>
          <w:highlight w:val="none"/>
        </w:rPr>
        <w:t>二十一、本次挂牌转让是经公告后才举行的，挂牌转让标的涉及的相关资产、负债以现状为准。故产交所对本次挂牌转让标的涉及的相关资产、负债的状态及品质不作担保，也不承担瑕疵的担保责任。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sz w:val="28"/>
          <w:szCs w:val="28"/>
          <w:highlight w:val="none"/>
        </w:rPr>
      </w:pPr>
      <w:r>
        <w:rPr>
          <w:rFonts w:hint="eastAsia" w:ascii="宋体" w:hAnsi="宋体"/>
          <w:bCs/>
          <w:sz w:val="28"/>
          <w:szCs w:val="28"/>
          <w:highlight w:val="none"/>
        </w:rPr>
        <w:t>二十二、凡参加本次挂牌转让的竞买人，即表明已全部了解《浙江海正博锐生物制药有限公司股权转让文件》所涉及的相关资料，并愿意履行有关的义务；表明对转让标的已充分了解，并愿意承担投资风险和责任。</w:t>
      </w:r>
    </w:p>
    <w:p>
      <w:pPr>
        <w:spacing w:line="360" w:lineRule="auto"/>
        <w:ind w:firstLine="560"/>
        <w:rPr>
          <w:rFonts w:ascii="宋体" w:hAnsi="宋体"/>
          <w:bCs/>
          <w:sz w:val="28"/>
          <w:szCs w:val="28"/>
          <w:highlight w:val="none"/>
        </w:rPr>
      </w:pPr>
      <w:r>
        <w:rPr>
          <w:rFonts w:hint="eastAsia" w:ascii="宋体" w:hAnsi="宋体"/>
          <w:bCs/>
          <w:sz w:val="28"/>
          <w:szCs w:val="28"/>
          <w:highlight w:val="none"/>
        </w:rPr>
        <w:t>二十三、本次转让文件的最终解释权归委托方和台州市产权交易所。</w:t>
      </w:r>
    </w:p>
    <w:p>
      <w:pPr>
        <w:spacing w:line="360" w:lineRule="auto"/>
        <w:ind w:firstLine="560"/>
        <w:rPr>
          <w:rFonts w:ascii="宋体" w:hAnsi="宋体"/>
          <w:bCs/>
          <w:sz w:val="28"/>
          <w:szCs w:val="28"/>
          <w:highlight w:val="none"/>
        </w:rPr>
      </w:pPr>
    </w:p>
    <w:p>
      <w:pPr>
        <w:spacing w:line="360" w:lineRule="auto"/>
        <w:ind w:firstLine="560"/>
        <w:jc w:val="right"/>
        <w:rPr>
          <w:rFonts w:ascii="宋体" w:hAnsi="宋体"/>
          <w:bCs/>
          <w:sz w:val="28"/>
          <w:szCs w:val="28"/>
          <w:highlight w:val="none"/>
        </w:rPr>
      </w:pPr>
      <w:r>
        <w:rPr>
          <w:rFonts w:hint="eastAsia" w:ascii="宋体" w:hAnsi="宋体"/>
          <w:bCs/>
          <w:sz w:val="28"/>
          <w:szCs w:val="28"/>
          <w:highlight w:val="none"/>
        </w:rPr>
        <w:t>台州市产权交易所有限公司</w:t>
      </w:r>
    </w:p>
    <w:p>
      <w:pPr>
        <w:spacing w:line="360" w:lineRule="auto"/>
        <w:ind w:firstLine="560"/>
        <w:jc w:val="center"/>
        <w:rPr>
          <w:highlight w:val="none"/>
        </w:rPr>
      </w:pPr>
      <w:r>
        <w:rPr>
          <w:rFonts w:hint="eastAsia" w:ascii="宋体" w:hAnsi="宋体"/>
          <w:bCs/>
          <w:sz w:val="28"/>
          <w:szCs w:val="28"/>
          <w:highlight w:val="none"/>
        </w:rPr>
        <w:t xml:space="preserve">                                   二○一九年</w:t>
      </w:r>
      <w:r>
        <w:rPr>
          <w:rFonts w:hint="eastAsia" w:ascii="宋体" w:hAnsi="宋体"/>
          <w:bCs/>
          <w:sz w:val="28"/>
          <w:szCs w:val="28"/>
          <w:highlight w:val="none"/>
          <w:lang w:val="en-US" w:eastAsia="zh-CN"/>
        </w:rPr>
        <w:t xml:space="preserve">八月七日 </w:t>
      </w:r>
      <w:r>
        <w:rPr>
          <w:rFonts w:hint="eastAsia" w:ascii="宋体" w:hAnsi="宋体"/>
          <w:bCs/>
          <w:sz w:val="28"/>
          <w:szCs w:val="28"/>
          <w:highlight w:val="none"/>
        </w:rPr>
        <w:br w:type="page"/>
      </w:r>
    </w:p>
    <w:p>
      <w:pPr>
        <w:pStyle w:val="2"/>
        <w:spacing w:before="100" w:beforeAutospacing="1" w:after="100" w:afterAutospacing="1" w:line="360" w:lineRule="auto"/>
        <w:jc w:val="center"/>
        <w:rPr>
          <w:sz w:val="36"/>
          <w:highlight w:val="none"/>
        </w:rPr>
      </w:pPr>
      <w:bookmarkStart w:id="17" w:name="_Toc13275"/>
      <w:bookmarkStart w:id="18" w:name="_Toc4182"/>
      <w:bookmarkStart w:id="19" w:name="_Toc528773692"/>
      <w:r>
        <w:rPr>
          <w:rFonts w:hint="eastAsia"/>
          <w:sz w:val="36"/>
          <w:highlight w:val="none"/>
        </w:rPr>
        <w:t>竞买申请书</w:t>
      </w:r>
      <w:bookmarkEnd w:id="17"/>
      <w:bookmarkEnd w:id="18"/>
      <w:bookmarkEnd w:id="19"/>
    </w:p>
    <w:p>
      <w:pPr>
        <w:spacing w:line="360" w:lineRule="auto"/>
        <w:ind w:firstLine="0" w:firstLineChars="0"/>
        <w:rPr>
          <w:rFonts w:ascii="宋体" w:hAnsi="宋体"/>
          <w:sz w:val="28"/>
          <w:szCs w:val="28"/>
          <w:highlight w:val="none"/>
        </w:rPr>
      </w:pPr>
      <w:r>
        <w:rPr>
          <w:rFonts w:hint="eastAsia" w:ascii="宋体" w:hAnsi="宋体"/>
          <w:sz w:val="28"/>
          <w:szCs w:val="28"/>
          <w:highlight w:val="none"/>
        </w:rPr>
        <w:t>台州市产权交易所有限公司：</w:t>
      </w:r>
    </w:p>
    <w:p>
      <w:pPr>
        <w:spacing w:line="530" w:lineRule="exact"/>
        <w:ind w:firstLine="560"/>
        <w:rPr>
          <w:rFonts w:ascii="宋体" w:hAnsi="宋体"/>
          <w:sz w:val="28"/>
          <w:szCs w:val="28"/>
          <w:highlight w:val="none"/>
        </w:rPr>
      </w:pPr>
      <w:r>
        <w:rPr>
          <w:rFonts w:hint="eastAsia" w:ascii="宋体" w:hAnsi="宋体"/>
          <w:sz w:val="28"/>
          <w:szCs w:val="28"/>
          <w:highlight w:val="none"/>
        </w:rPr>
        <w:t>经认真阅读《浙江海正博锐生物制药有限公司股权转让文件》，对该转让文件无异议，对转让标的已作详细了解并对己方所作承诺负法律责任。特申请参加浙江海正博锐生物制药有限公司股权竞买，遵守履行贵公司提出的浙江海正博锐生物制药有限公司股权转让文件及其他有关程序、事项，并保证遵守我方所承诺的要求与规定履行。</w:t>
      </w:r>
    </w:p>
    <w:p>
      <w:pPr>
        <w:spacing w:line="530" w:lineRule="exact"/>
        <w:ind w:firstLine="560"/>
        <w:rPr>
          <w:rFonts w:ascii="宋体" w:hAnsi="宋体"/>
          <w:sz w:val="28"/>
          <w:szCs w:val="28"/>
          <w:highlight w:val="none"/>
        </w:rPr>
      </w:pPr>
      <w:bookmarkStart w:id="20" w:name="待定07"/>
      <w:r>
        <w:rPr>
          <w:rFonts w:hint="eastAsia" w:ascii="宋体" w:hAnsi="宋体"/>
          <w:sz w:val="28"/>
          <w:szCs w:val="28"/>
          <w:highlight w:val="none"/>
        </w:rPr>
        <w:t xml:space="preserve"> 我方同意对竞买标的的意向报价按照</w:t>
      </w:r>
      <w:r>
        <w:rPr>
          <w:rFonts w:hint="eastAsia" w:ascii="宋体" w:hAnsi="宋体"/>
          <w:sz w:val="28"/>
          <w:szCs w:val="28"/>
          <w:highlight w:val="none"/>
          <w:u w:val="single"/>
        </w:rPr>
        <w:t>浙江海正博锐生物制药有限公司增资项目（台交所挂〔2019〕</w:t>
      </w:r>
      <w:r>
        <w:rPr>
          <w:rFonts w:hint="eastAsia" w:ascii="宋体" w:hAnsi="宋体"/>
          <w:sz w:val="28"/>
          <w:szCs w:val="28"/>
          <w:highlight w:val="none"/>
          <w:u w:val="single"/>
          <w:lang w:val="en-US" w:eastAsia="zh-CN"/>
        </w:rPr>
        <w:t>16</w:t>
      </w:r>
      <w:r>
        <w:rPr>
          <w:rFonts w:hint="eastAsia" w:ascii="宋体" w:hAnsi="宋体"/>
          <w:sz w:val="28"/>
          <w:szCs w:val="28"/>
          <w:highlight w:val="none"/>
          <w:u w:val="single"/>
        </w:rPr>
        <w:t>号）确定的交易价格执行。</w:t>
      </w:r>
      <w:r>
        <w:rPr>
          <w:rFonts w:hint="eastAsia" w:ascii="宋体" w:hAnsi="宋体"/>
          <w:sz w:val="28"/>
          <w:szCs w:val="28"/>
          <w:highlight w:val="none"/>
        </w:rPr>
        <w:t xml:space="preserve">  </w:t>
      </w:r>
    </w:p>
    <w:bookmarkEnd w:id="20"/>
    <w:p>
      <w:pPr>
        <w:spacing w:line="480" w:lineRule="exact"/>
        <w:ind w:firstLine="560"/>
        <w:rPr>
          <w:rFonts w:ascii="宋体" w:hAnsi="宋体"/>
          <w:sz w:val="28"/>
          <w:szCs w:val="28"/>
          <w:highlight w:val="none"/>
        </w:rPr>
      </w:pPr>
    </w:p>
    <w:p>
      <w:pPr>
        <w:spacing w:line="580" w:lineRule="exact"/>
        <w:ind w:firstLine="560"/>
        <w:rPr>
          <w:rFonts w:ascii="宋体" w:hAnsi="宋体"/>
          <w:sz w:val="28"/>
          <w:szCs w:val="28"/>
          <w:highlight w:val="none"/>
        </w:rPr>
      </w:pPr>
      <w:r>
        <w:rPr>
          <w:rFonts w:hint="eastAsia" w:ascii="宋体" w:hAnsi="宋体"/>
          <w:sz w:val="28"/>
          <w:szCs w:val="28"/>
          <w:highlight w:val="none"/>
        </w:rPr>
        <w:t>竞买申请人（盖章）：</w:t>
      </w:r>
    </w:p>
    <w:p>
      <w:pPr>
        <w:spacing w:line="580" w:lineRule="exact"/>
        <w:ind w:firstLine="560"/>
        <w:rPr>
          <w:rFonts w:ascii="宋体" w:hAnsi="宋体"/>
          <w:sz w:val="28"/>
          <w:szCs w:val="28"/>
          <w:highlight w:val="none"/>
        </w:rPr>
      </w:pPr>
      <w:r>
        <w:rPr>
          <w:rFonts w:hint="eastAsia" w:ascii="宋体" w:hAnsi="宋体"/>
          <w:sz w:val="28"/>
          <w:szCs w:val="28"/>
          <w:highlight w:val="none"/>
        </w:rPr>
        <w:t>法定代表人：                     身份证号：</w:t>
      </w:r>
    </w:p>
    <w:p>
      <w:pPr>
        <w:spacing w:line="580" w:lineRule="exact"/>
        <w:ind w:firstLine="560"/>
        <w:rPr>
          <w:rFonts w:ascii="宋体" w:hAnsi="宋体"/>
          <w:sz w:val="28"/>
          <w:szCs w:val="28"/>
          <w:highlight w:val="none"/>
        </w:rPr>
      </w:pPr>
      <w:r>
        <w:rPr>
          <w:rFonts w:hint="eastAsia" w:ascii="宋体" w:hAnsi="宋体"/>
          <w:sz w:val="28"/>
          <w:szCs w:val="28"/>
          <w:highlight w:val="none"/>
        </w:rPr>
        <w:t>委托代理人：                     身份证号：</w:t>
      </w:r>
    </w:p>
    <w:p>
      <w:pPr>
        <w:spacing w:line="580" w:lineRule="exact"/>
        <w:ind w:firstLine="637" w:firstLineChars="177"/>
        <w:rPr>
          <w:rFonts w:ascii="宋体" w:hAnsi="宋体"/>
          <w:sz w:val="28"/>
          <w:szCs w:val="28"/>
          <w:highlight w:val="none"/>
        </w:rPr>
      </w:pPr>
      <w:r>
        <w:rPr>
          <w:rFonts w:hint="eastAsia" w:ascii="宋体" w:hAnsi="宋体"/>
          <w:spacing w:val="40"/>
          <w:sz w:val="28"/>
          <w:szCs w:val="28"/>
          <w:highlight w:val="none"/>
        </w:rPr>
        <w:t>联系地址：</w:t>
      </w:r>
      <w:r>
        <w:rPr>
          <w:rFonts w:hint="eastAsia" w:ascii="宋体" w:hAnsi="宋体"/>
          <w:sz w:val="28"/>
          <w:szCs w:val="28"/>
          <w:highlight w:val="none"/>
        </w:rPr>
        <w:t xml:space="preserve">                    邮政编码：</w:t>
      </w:r>
    </w:p>
    <w:p>
      <w:pPr>
        <w:spacing w:line="580" w:lineRule="exact"/>
        <w:ind w:firstLine="637" w:firstLineChars="177"/>
        <w:rPr>
          <w:rFonts w:ascii="宋体" w:hAnsi="宋体"/>
          <w:sz w:val="28"/>
          <w:szCs w:val="28"/>
          <w:highlight w:val="none"/>
        </w:rPr>
      </w:pPr>
      <w:r>
        <w:rPr>
          <w:rFonts w:hint="eastAsia" w:ascii="宋体" w:hAnsi="宋体"/>
          <w:spacing w:val="40"/>
          <w:sz w:val="28"/>
          <w:szCs w:val="28"/>
          <w:highlight w:val="none"/>
        </w:rPr>
        <w:t>联系电话：</w:t>
      </w:r>
      <w:r>
        <w:rPr>
          <w:rFonts w:hint="eastAsia" w:ascii="宋体" w:hAnsi="宋体"/>
          <w:sz w:val="28"/>
          <w:szCs w:val="28"/>
          <w:highlight w:val="none"/>
        </w:rPr>
        <w:t xml:space="preserve">                    传    真：</w:t>
      </w:r>
    </w:p>
    <w:p>
      <w:pPr>
        <w:spacing w:line="580" w:lineRule="exact"/>
        <w:ind w:firstLine="840" w:firstLineChars="300"/>
        <w:rPr>
          <w:rFonts w:ascii="宋体" w:hAnsi="宋体"/>
          <w:sz w:val="28"/>
          <w:szCs w:val="28"/>
          <w:highlight w:val="none"/>
        </w:rPr>
      </w:pPr>
      <w:r>
        <w:rPr>
          <w:rFonts w:hint="eastAsia" w:ascii="宋体" w:hAnsi="宋体"/>
          <w:sz w:val="28"/>
          <w:szCs w:val="28"/>
          <w:highlight w:val="none"/>
        </w:rPr>
        <w:t>E-mail：</w:t>
      </w:r>
      <w:r>
        <w:rPr>
          <w:rFonts w:ascii="宋体" w:hAnsi="宋体"/>
          <w:sz w:val="28"/>
          <w:szCs w:val="28"/>
          <w:highlight w:val="none"/>
        </w:rPr>
        <w:br w:type="textWrapping"/>
      </w:r>
      <w:r>
        <w:rPr>
          <w:rFonts w:hint="eastAsia" w:ascii="宋体" w:hAnsi="宋体"/>
          <w:sz w:val="28"/>
          <w:szCs w:val="28"/>
          <w:highlight w:val="none"/>
        </w:rPr>
        <w:t xml:space="preserve">                                     年   月   日</w:t>
      </w:r>
    </w:p>
    <w:p>
      <w:pPr>
        <w:spacing w:line="500" w:lineRule="exact"/>
        <w:ind w:firstLine="560"/>
        <w:rPr>
          <w:rFonts w:ascii="宋体" w:hAnsi="宋体"/>
          <w:sz w:val="28"/>
          <w:szCs w:val="28"/>
          <w:highlight w:val="none"/>
        </w:rPr>
      </w:pPr>
    </w:p>
    <w:p>
      <w:pPr>
        <w:spacing w:line="500" w:lineRule="exact"/>
        <w:ind w:firstLine="560"/>
        <w:rPr>
          <w:rFonts w:ascii="宋体" w:hAnsi="宋体"/>
          <w:sz w:val="28"/>
          <w:szCs w:val="28"/>
          <w:highlight w:val="none"/>
        </w:rPr>
      </w:pPr>
      <w:r>
        <w:rPr>
          <w:rFonts w:hint="eastAsia" w:ascii="宋体" w:hAnsi="宋体"/>
          <w:sz w:val="28"/>
          <w:szCs w:val="28"/>
          <w:highlight w:val="none"/>
        </w:rPr>
        <w:t xml:space="preserve">附件：                                    </w:t>
      </w:r>
    </w:p>
    <w:p>
      <w:pPr>
        <w:spacing w:line="500" w:lineRule="exact"/>
        <w:ind w:firstLine="560"/>
        <w:rPr>
          <w:rFonts w:ascii="宋体" w:hAnsi="宋体"/>
          <w:sz w:val="28"/>
          <w:szCs w:val="28"/>
          <w:highlight w:val="none"/>
        </w:rPr>
      </w:pPr>
      <w:r>
        <w:rPr>
          <w:rFonts w:hint="eastAsia" w:ascii="宋体" w:hAnsi="宋体"/>
          <w:sz w:val="28"/>
          <w:szCs w:val="28"/>
          <w:highlight w:val="none"/>
        </w:rPr>
        <w:t>□ 企业（公司）法人主体资格证明文件，包含企业法人营业执照副本的复印件，法定代表人及授权委托人的身份证明及授权委托书、公司章程、相关决议。</w:t>
      </w:r>
    </w:p>
    <w:p>
      <w:pPr>
        <w:spacing w:line="500" w:lineRule="exact"/>
        <w:ind w:firstLine="560"/>
        <w:rPr>
          <w:rFonts w:ascii="宋体" w:hAnsi="宋体"/>
          <w:sz w:val="28"/>
          <w:szCs w:val="28"/>
          <w:highlight w:val="none"/>
        </w:rPr>
      </w:pPr>
      <w:r>
        <w:rPr>
          <w:rFonts w:hint="eastAsia" w:ascii="宋体" w:hAnsi="宋体"/>
          <w:sz w:val="28"/>
          <w:szCs w:val="28"/>
          <w:highlight w:val="none"/>
        </w:rPr>
        <w:t>□符合受让条件的有关证明及资料；</w:t>
      </w:r>
    </w:p>
    <w:p>
      <w:pPr>
        <w:spacing w:line="500" w:lineRule="exact"/>
        <w:ind w:firstLine="560"/>
        <w:rPr>
          <w:rFonts w:ascii="宋体" w:hAnsi="宋体"/>
          <w:sz w:val="28"/>
          <w:szCs w:val="28"/>
          <w:highlight w:val="none"/>
        </w:rPr>
      </w:pPr>
      <w:r>
        <w:rPr>
          <w:rFonts w:hint="eastAsia" w:ascii="宋体" w:hAnsi="宋体"/>
          <w:sz w:val="28"/>
          <w:szCs w:val="28"/>
          <w:highlight w:val="none"/>
        </w:rPr>
        <w:t>□ 竞买保证金</w:t>
      </w:r>
      <w:r>
        <w:rPr>
          <w:rFonts w:hint="eastAsia" w:ascii="宋体" w:hAnsi="宋体"/>
          <w:sz w:val="28"/>
          <w:szCs w:val="28"/>
          <w:highlight w:val="none"/>
          <w:u w:val="single"/>
        </w:rPr>
        <w:t xml:space="preserve"> 67,772.88 万元</w:t>
      </w:r>
      <w:r>
        <w:rPr>
          <w:rFonts w:hint="eastAsia" w:ascii="宋体" w:hAnsi="宋体"/>
          <w:sz w:val="28"/>
          <w:szCs w:val="28"/>
          <w:highlight w:val="none"/>
        </w:rPr>
        <w:t>人民币（汇单）</w:t>
      </w:r>
    </w:p>
    <w:p>
      <w:pPr>
        <w:spacing w:line="500" w:lineRule="exact"/>
        <w:ind w:firstLine="560"/>
        <w:rPr>
          <w:rFonts w:ascii="宋体" w:hAnsi="宋体"/>
          <w:sz w:val="28"/>
          <w:szCs w:val="28"/>
          <w:highlight w:val="none"/>
        </w:rPr>
      </w:pPr>
      <w:r>
        <w:rPr>
          <w:rFonts w:hint="eastAsia" w:ascii="宋体" w:hAnsi="宋体"/>
          <w:sz w:val="28"/>
          <w:szCs w:val="28"/>
          <w:highlight w:val="none"/>
        </w:rPr>
        <w:t>备注：以上附件如非原件为复印件的应加盖公章或签名。</w:t>
      </w:r>
    </w:p>
    <w:p>
      <w:pPr>
        <w:pStyle w:val="2"/>
        <w:spacing w:before="100" w:beforeAutospacing="1" w:after="100" w:afterAutospacing="1" w:line="360" w:lineRule="auto"/>
        <w:jc w:val="center"/>
        <w:rPr>
          <w:sz w:val="36"/>
          <w:highlight w:val="none"/>
        </w:rPr>
      </w:pPr>
      <w:r>
        <w:rPr>
          <w:rFonts w:hint="eastAsia" w:ascii="宋体" w:hAnsi="宋体"/>
          <w:b w:val="0"/>
          <w:sz w:val="36"/>
          <w:szCs w:val="36"/>
          <w:highlight w:val="none"/>
        </w:rPr>
        <w:br w:type="page"/>
      </w:r>
      <w:bookmarkStart w:id="21" w:name="_Toc528773693"/>
      <w:bookmarkStart w:id="22" w:name="_Toc7306"/>
      <w:bookmarkStart w:id="23" w:name="_Toc51"/>
      <w:r>
        <w:rPr>
          <w:rFonts w:hint="eastAsia"/>
          <w:sz w:val="36"/>
          <w:highlight w:val="none"/>
        </w:rPr>
        <w:t>竞买人承诺函</w:t>
      </w:r>
      <w:bookmarkEnd w:id="21"/>
      <w:bookmarkEnd w:id="22"/>
      <w:bookmarkEnd w:id="23"/>
    </w:p>
    <w:p>
      <w:pPr>
        <w:ind w:firstLine="0" w:firstLineChars="0"/>
        <w:rPr>
          <w:rFonts w:ascii="宋体" w:hAnsi="宋体"/>
          <w:b/>
          <w:sz w:val="28"/>
          <w:szCs w:val="28"/>
          <w:highlight w:val="none"/>
        </w:rPr>
      </w:pPr>
      <w:r>
        <w:rPr>
          <w:rFonts w:hint="eastAsia" w:ascii="宋体" w:hAnsi="宋体"/>
          <w:sz w:val="28"/>
          <w:szCs w:val="28"/>
          <w:highlight w:val="none"/>
        </w:rPr>
        <w:t>台州市产权交易所有限公司：</w:t>
      </w:r>
    </w:p>
    <w:p>
      <w:pPr>
        <w:spacing w:line="360" w:lineRule="auto"/>
        <w:ind w:firstLine="560"/>
        <w:rPr>
          <w:rFonts w:ascii="宋体" w:hAnsi="宋体"/>
          <w:sz w:val="28"/>
          <w:szCs w:val="28"/>
          <w:highlight w:val="none"/>
        </w:rPr>
      </w:pPr>
      <w:r>
        <w:rPr>
          <w:rFonts w:hint="eastAsia" w:ascii="宋体" w:hAnsi="宋体"/>
          <w:sz w:val="28"/>
          <w:szCs w:val="28"/>
          <w:highlight w:val="none"/>
        </w:rPr>
        <w:t>经认真阅读贵公司所提供的“浙江海正博锐生物制药有限公司股权转让文件”以及贵公司提出的转让须知与网络竞价规则等，我方愿意接受转让方提出的竞价条件及“浙江海正博锐生物制药有限公司股权转让文件”中涉及的相关事项，现我方将有关事项承诺如下：</w:t>
      </w:r>
    </w:p>
    <w:p>
      <w:pPr>
        <w:ind w:firstLine="560"/>
        <w:rPr>
          <w:rFonts w:ascii="宋体" w:hAnsi="宋体"/>
          <w:sz w:val="28"/>
          <w:szCs w:val="28"/>
          <w:highlight w:val="none"/>
        </w:rPr>
      </w:pPr>
      <w:r>
        <w:rPr>
          <w:rFonts w:hint="eastAsia" w:ascii="宋体" w:hAnsi="宋体"/>
          <w:sz w:val="28"/>
          <w:szCs w:val="28"/>
          <w:highlight w:val="none"/>
        </w:rPr>
        <w:t xml:space="preserve"> 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sz w:val="28"/>
          <w:szCs w:val="28"/>
          <w:highlight w:val="none"/>
        </w:rPr>
      </w:pPr>
      <w:r>
        <w:rPr>
          <w:rFonts w:hint="eastAsia" w:ascii="宋体" w:hAnsi="宋体"/>
          <w:sz w:val="28"/>
          <w:szCs w:val="28"/>
          <w:highlight w:val="none"/>
        </w:rPr>
        <w:t>二、我方已详实了解本次转让标的有关情况，并保证成交后所支付的资金来源合法。</w:t>
      </w:r>
    </w:p>
    <w:p>
      <w:pPr>
        <w:ind w:firstLine="560"/>
        <w:rPr>
          <w:rFonts w:ascii="宋体" w:hAnsi="宋体"/>
          <w:sz w:val="28"/>
          <w:szCs w:val="28"/>
          <w:highlight w:val="none"/>
        </w:rPr>
      </w:pPr>
      <w:r>
        <w:rPr>
          <w:rFonts w:hint="eastAsia" w:ascii="宋体" w:hAnsi="宋体"/>
          <w:sz w:val="28"/>
          <w:szCs w:val="28"/>
          <w:highlight w:val="none"/>
        </w:rPr>
        <w:t>三、我方已阅读并了解《成交确认书》、《股权转让合同》及“浙江海正博锐生物制药有限公司股权转让文件”并不持异议，成交后按上述条款履行义务。</w:t>
      </w:r>
    </w:p>
    <w:p>
      <w:pPr>
        <w:ind w:firstLine="560"/>
        <w:rPr>
          <w:rFonts w:ascii="宋体" w:hAnsi="宋体"/>
          <w:sz w:val="28"/>
          <w:szCs w:val="28"/>
          <w:highlight w:val="none"/>
        </w:rPr>
      </w:pPr>
      <w:bookmarkStart w:id="24" w:name="待定08"/>
      <w:r>
        <w:rPr>
          <w:rFonts w:hint="eastAsia" w:ascii="宋体" w:hAnsi="宋体"/>
          <w:sz w:val="28"/>
          <w:szCs w:val="28"/>
          <w:highlight w:val="none"/>
        </w:rPr>
        <w:t>四、作为该项目的竞买人，我方承诺：同意按照</w:t>
      </w:r>
      <w:r>
        <w:rPr>
          <w:rFonts w:hint="eastAsia" w:ascii="宋体" w:hAnsi="宋体"/>
          <w:sz w:val="28"/>
          <w:szCs w:val="28"/>
          <w:highlight w:val="none"/>
          <w:u w:val="single"/>
        </w:rPr>
        <w:t>浙江海正博锐生物制药有限公司增资项目</w:t>
      </w:r>
      <w:r>
        <w:rPr>
          <w:rFonts w:hint="eastAsia" w:ascii="宋体" w:hAnsi="宋体"/>
          <w:sz w:val="28"/>
          <w:szCs w:val="28"/>
          <w:highlight w:val="none"/>
        </w:rPr>
        <w:t>（台交所挂〔2019〕</w:t>
      </w:r>
      <w:r>
        <w:rPr>
          <w:rFonts w:hint="eastAsia" w:ascii="宋体" w:hAnsi="宋体"/>
          <w:sz w:val="28"/>
          <w:szCs w:val="28"/>
          <w:highlight w:val="none"/>
          <w:lang w:val="en-US" w:eastAsia="zh-CN"/>
        </w:rPr>
        <w:t>16</w:t>
      </w:r>
      <w:r>
        <w:rPr>
          <w:rFonts w:hint="eastAsia" w:ascii="宋体" w:hAnsi="宋体"/>
          <w:sz w:val="28"/>
          <w:szCs w:val="28"/>
          <w:highlight w:val="none"/>
        </w:rPr>
        <w:t>号）</w:t>
      </w:r>
      <w:r>
        <w:rPr>
          <w:rFonts w:hint="eastAsia" w:ascii="宋体" w:hAnsi="宋体"/>
          <w:sz w:val="28"/>
          <w:szCs w:val="28"/>
          <w:highlight w:val="none"/>
          <w:u w:val="single"/>
        </w:rPr>
        <w:t>确定的增资价格为本次股权转让的价格，在竞得后当日签订《成交确认书》，</w:t>
      </w:r>
      <w:r>
        <w:rPr>
          <w:rFonts w:ascii="宋体" w:hAnsi="宋体"/>
          <w:sz w:val="28"/>
          <w:szCs w:val="28"/>
          <w:highlight w:val="none"/>
          <w:u w:val="single"/>
        </w:rPr>
        <w:t>并</w:t>
      </w:r>
      <w:r>
        <w:rPr>
          <w:rFonts w:hint="eastAsia" w:ascii="宋体" w:hAnsi="宋体"/>
          <w:sz w:val="28"/>
          <w:szCs w:val="28"/>
          <w:highlight w:val="none"/>
          <w:u w:val="single"/>
        </w:rPr>
        <w:t>于《成交确认书》签署</w:t>
      </w:r>
      <w:r>
        <w:rPr>
          <w:rFonts w:ascii="宋体" w:hAnsi="宋体"/>
          <w:sz w:val="28"/>
          <w:szCs w:val="28"/>
          <w:highlight w:val="none"/>
          <w:u w:val="single"/>
        </w:rPr>
        <w:t>后两日内签署</w:t>
      </w:r>
      <w:r>
        <w:rPr>
          <w:rFonts w:hint="eastAsia" w:ascii="宋体" w:hAnsi="宋体"/>
          <w:sz w:val="28"/>
          <w:szCs w:val="28"/>
          <w:highlight w:val="none"/>
          <w:u w:val="single"/>
        </w:rPr>
        <w:t>《股权转让合同》并履行相关义务。</w:t>
      </w:r>
    </w:p>
    <w:bookmarkEnd w:id="24"/>
    <w:p>
      <w:pPr>
        <w:ind w:firstLine="560"/>
        <w:rPr>
          <w:rFonts w:ascii="宋体" w:hAnsi="宋体"/>
          <w:sz w:val="28"/>
          <w:szCs w:val="28"/>
          <w:highlight w:val="none"/>
        </w:rPr>
      </w:pPr>
      <w:r>
        <w:rPr>
          <w:rFonts w:hint="eastAsia" w:ascii="宋体" w:hAnsi="宋体"/>
          <w:sz w:val="28"/>
          <w:szCs w:val="28"/>
          <w:highlight w:val="none"/>
        </w:rPr>
        <w:t>五、若我方竞得，所缴纳的竞买保证金根据合同的约定可抵作成交价款的支付，交易佣金</w:t>
      </w:r>
      <w:r>
        <w:rPr>
          <w:rFonts w:hint="eastAsia" w:ascii="宋体" w:hAnsi="宋体"/>
          <w:sz w:val="28"/>
          <w:szCs w:val="28"/>
          <w:highlight w:val="none"/>
          <w:lang w:val="en-US" w:eastAsia="zh-CN"/>
        </w:rPr>
        <w:t>为人民币135万元</w:t>
      </w:r>
      <w:r>
        <w:rPr>
          <w:rFonts w:hint="eastAsia" w:ascii="宋体" w:hAnsi="宋体"/>
          <w:sz w:val="28"/>
          <w:szCs w:val="28"/>
          <w:highlight w:val="none"/>
        </w:rPr>
        <w:t>。</w:t>
      </w:r>
    </w:p>
    <w:p>
      <w:pPr>
        <w:ind w:firstLine="560"/>
        <w:rPr>
          <w:rFonts w:ascii="宋体" w:hAnsi="宋体"/>
          <w:sz w:val="28"/>
          <w:szCs w:val="28"/>
          <w:highlight w:val="none"/>
        </w:rPr>
      </w:pPr>
      <w:r>
        <w:rPr>
          <w:rFonts w:hint="eastAsia" w:ascii="宋体" w:hAnsi="宋体"/>
          <w:sz w:val="28"/>
          <w:szCs w:val="28"/>
          <w:highlight w:val="none"/>
        </w:rPr>
        <w:t>六、如因正当理由在增资项目竞价会开始前撤回转让标的的，我方愿意接受该事实，并配合贵公司办理退还保证金等手续，不再向贵公司追索保证金利息及其他任何费用与责任。</w:t>
      </w:r>
    </w:p>
    <w:p>
      <w:pPr>
        <w:ind w:firstLine="560"/>
        <w:rPr>
          <w:rFonts w:ascii="宋体" w:hAnsi="宋体"/>
          <w:sz w:val="28"/>
          <w:szCs w:val="28"/>
          <w:highlight w:val="none"/>
        </w:rPr>
      </w:pPr>
      <w:r>
        <w:rPr>
          <w:rFonts w:hint="eastAsia" w:ascii="宋体" w:hAnsi="宋体"/>
          <w:sz w:val="28"/>
          <w:szCs w:val="28"/>
          <w:highlight w:val="none"/>
        </w:rPr>
        <w:t>七、如在竞价该项目的过程中（</w:t>
      </w:r>
      <w:r>
        <w:rPr>
          <w:rFonts w:ascii="宋体" w:hAnsi="宋体"/>
          <w:sz w:val="28"/>
          <w:szCs w:val="28"/>
          <w:highlight w:val="none"/>
        </w:rPr>
        <w:t>即</w:t>
      </w:r>
      <w:r>
        <w:rPr>
          <w:rFonts w:hint="eastAsia" w:ascii="宋体" w:hAnsi="宋体"/>
          <w:sz w:val="28"/>
          <w:szCs w:val="28"/>
          <w:highlight w:val="none"/>
        </w:rPr>
        <w:t>竞买人</w:t>
      </w:r>
      <w:r>
        <w:rPr>
          <w:rFonts w:ascii="宋体" w:hAnsi="宋体"/>
          <w:sz w:val="28"/>
          <w:szCs w:val="28"/>
          <w:highlight w:val="none"/>
        </w:rPr>
        <w:t>签署</w:t>
      </w:r>
      <w:r>
        <w:rPr>
          <w:rFonts w:hint="eastAsia" w:ascii="宋体" w:hAnsi="宋体"/>
          <w:sz w:val="28"/>
          <w:szCs w:val="28"/>
          <w:highlight w:val="none"/>
          <w:u w:val="single"/>
        </w:rPr>
        <w:t>《成交确认书》签署</w:t>
      </w:r>
      <w:r>
        <w:rPr>
          <w:rFonts w:ascii="宋体" w:hAnsi="宋体"/>
          <w:sz w:val="28"/>
          <w:szCs w:val="28"/>
          <w:highlight w:val="none"/>
          <w:u w:val="single"/>
        </w:rPr>
        <w:t>后两日内签署</w:t>
      </w:r>
      <w:r>
        <w:rPr>
          <w:rFonts w:hint="eastAsia" w:ascii="宋体" w:hAnsi="宋体"/>
          <w:sz w:val="28"/>
          <w:szCs w:val="28"/>
          <w:highlight w:val="none"/>
          <w:u w:val="single"/>
        </w:rPr>
        <w:t>《股权转让合同》前</w:t>
      </w:r>
      <w:r>
        <w:rPr>
          <w:rFonts w:ascii="宋体" w:hAnsi="宋体"/>
          <w:sz w:val="28"/>
          <w:szCs w:val="28"/>
          <w:highlight w:val="none"/>
          <w:u w:val="single"/>
        </w:rPr>
        <w:t>）</w:t>
      </w:r>
      <w:r>
        <w:rPr>
          <w:rFonts w:hint="eastAsia" w:ascii="宋体" w:hAnsi="宋体"/>
          <w:sz w:val="28"/>
          <w:szCs w:val="28"/>
          <w:highlight w:val="none"/>
        </w:rPr>
        <w:t>发生争议需提起诉讼或仲裁，除贵公司存在过错、故意或</w:t>
      </w:r>
      <w:r>
        <w:rPr>
          <w:rFonts w:ascii="宋体" w:hAnsi="宋体"/>
          <w:sz w:val="28"/>
          <w:szCs w:val="28"/>
          <w:highlight w:val="none"/>
        </w:rPr>
        <w:t>过失</w:t>
      </w:r>
      <w:r>
        <w:rPr>
          <w:rFonts w:hint="eastAsia" w:ascii="宋体" w:hAnsi="宋体"/>
          <w:sz w:val="28"/>
          <w:szCs w:val="28"/>
          <w:highlight w:val="none"/>
        </w:rPr>
        <w:t>行为之外，我方承诺不将贵公司列为相关诉讼、仲裁的被告或被申请人。</w:t>
      </w:r>
    </w:p>
    <w:p>
      <w:pPr>
        <w:ind w:right="1200" w:firstLine="560"/>
        <w:jc w:val="right"/>
        <w:rPr>
          <w:rFonts w:ascii="宋体" w:hAnsi="宋体"/>
          <w:sz w:val="28"/>
          <w:szCs w:val="28"/>
          <w:highlight w:val="none"/>
        </w:rPr>
      </w:pPr>
    </w:p>
    <w:p>
      <w:pPr>
        <w:ind w:right="1200" w:firstLine="560"/>
        <w:jc w:val="right"/>
        <w:rPr>
          <w:rFonts w:ascii="宋体" w:hAnsi="宋体"/>
          <w:sz w:val="28"/>
          <w:szCs w:val="28"/>
          <w:highlight w:val="none"/>
        </w:rPr>
      </w:pPr>
    </w:p>
    <w:p>
      <w:pPr>
        <w:ind w:right="1200" w:firstLine="560"/>
        <w:jc w:val="right"/>
        <w:rPr>
          <w:rFonts w:ascii="宋体" w:hAnsi="宋体"/>
          <w:sz w:val="28"/>
          <w:szCs w:val="28"/>
          <w:highlight w:val="none"/>
        </w:rPr>
      </w:pPr>
      <w:r>
        <w:rPr>
          <w:rFonts w:hint="eastAsia" w:ascii="宋体" w:hAnsi="宋体"/>
          <w:sz w:val="28"/>
          <w:szCs w:val="28"/>
          <w:highlight w:val="none"/>
        </w:rPr>
        <w:t>承诺人（签章）</w:t>
      </w:r>
    </w:p>
    <w:p>
      <w:pPr>
        <w:ind w:firstLine="560"/>
        <w:jc w:val="right"/>
        <w:rPr>
          <w:rFonts w:ascii="宋体" w:hAnsi="宋体"/>
          <w:sz w:val="28"/>
          <w:szCs w:val="28"/>
          <w:highlight w:val="none"/>
        </w:rPr>
      </w:pPr>
      <w:r>
        <w:rPr>
          <w:rFonts w:hint="eastAsia" w:ascii="宋体" w:hAnsi="宋体"/>
          <w:sz w:val="28"/>
          <w:szCs w:val="28"/>
          <w:highlight w:val="none"/>
        </w:rPr>
        <w:t>二○一九年    月    日</w:t>
      </w:r>
    </w:p>
    <w:p>
      <w:pPr>
        <w:pStyle w:val="2"/>
        <w:spacing w:before="100" w:beforeAutospacing="1" w:after="100" w:afterAutospacing="1" w:line="360" w:lineRule="auto"/>
        <w:jc w:val="center"/>
        <w:rPr>
          <w:sz w:val="36"/>
          <w:highlight w:val="none"/>
        </w:rPr>
      </w:pPr>
      <w:r>
        <w:rPr>
          <w:rFonts w:hint="eastAsia" w:ascii="宋体" w:hAnsi="宋体"/>
          <w:sz w:val="28"/>
          <w:szCs w:val="28"/>
          <w:highlight w:val="none"/>
        </w:rPr>
        <w:br w:type="page"/>
      </w:r>
      <w:bookmarkStart w:id="25" w:name="_Toc6515"/>
      <w:bookmarkStart w:id="26" w:name="_Toc528773694"/>
      <w:bookmarkStart w:id="27" w:name="_Toc5554"/>
      <w:r>
        <w:rPr>
          <w:rFonts w:hint="eastAsia"/>
          <w:sz w:val="36"/>
          <w:highlight w:val="none"/>
        </w:rPr>
        <w:t>成交确认书</w:t>
      </w:r>
      <w:bookmarkEnd w:id="25"/>
      <w:bookmarkEnd w:id="26"/>
      <w:bookmarkEnd w:id="27"/>
    </w:p>
    <w:p>
      <w:pPr>
        <w:spacing w:line="360" w:lineRule="auto"/>
        <w:ind w:firstLine="0" w:firstLineChars="0"/>
        <w:rPr>
          <w:rFonts w:ascii="宋体" w:hAnsi="宋体"/>
          <w:b/>
          <w:sz w:val="28"/>
          <w:szCs w:val="28"/>
          <w:highlight w:val="none"/>
        </w:rPr>
      </w:pPr>
      <w:r>
        <w:rPr>
          <w:rFonts w:hint="eastAsia" w:ascii="宋体" w:hAnsi="宋体"/>
          <w:b/>
          <w:sz w:val="28"/>
          <w:szCs w:val="28"/>
          <w:highlight w:val="none"/>
        </w:rPr>
        <w:t>挂牌方：台州市产权交易所有限公司</w:t>
      </w:r>
    </w:p>
    <w:p>
      <w:pPr>
        <w:spacing w:line="360" w:lineRule="auto"/>
        <w:ind w:firstLine="0" w:firstLineChars="0"/>
        <w:rPr>
          <w:rFonts w:ascii="宋体" w:hAnsi="宋体"/>
          <w:sz w:val="28"/>
          <w:szCs w:val="28"/>
          <w:highlight w:val="none"/>
        </w:rPr>
      </w:pPr>
      <w:r>
        <w:rPr>
          <w:rFonts w:hint="eastAsia" w:ascii="宋体" w:hAnsi="宋体"/>
          <w:sz w:val="28"/>
          <w:szCs w:val="28"/>
          <w:highlight w:val="none"/>
        </w:rPr>
        <w:t xml:space="preserve">受让方：                         联系电话：  </w:t>
      </w:r>
    </w:p>
    <w:p>
      <w:pPr>
        <w:spacing w:line="360" w:lineRule="auto"/>
        <w:ind w:firstLine="560"/>
        <w:rPr>
          <w:rFonts w:ascii="宋体" w:hAnsi="宋体"/>
          <w:sz w:val="28"/>
          <w:szCs w:val="28"/>
          <w:highlight w:val="none"/>
        </w:rPr>
      </w:pPr>
      <w:r>
        <w:rPr>
          <w:rFonts w:hint="eastAsia" w:ascii="宋体" w:hAnsi="宋体"/>
          <w:sz w:val="28"/>
          <w:szCs w:val="28"/>
          <w:highlight w:val="none"/>
        </w:rPr>
        <w:t>受让方于2019年9月4日（星期三）上午9:30时在举行的(台交所挂〔2019〕</w:t>
      </w:r>
      <w:r>
        <w:rPr>
          <w:rFonts w:hint="eastAsia" w:ascii="宋体" w:hAnsi="宋体"/>
          <w:sz w:val="28"/>
          <w:szCs w:val="28"/>
          <w:highlight w:val="none"/>
          <w:lang w:val="en-US" w:eastAsia="zh-CN"/>
        </w:rPr>
        <w:t>17</w:t>
      </w:r>
      <w:r>
        <w:rPr>
          <w:rFonts w:hint="eastAsia" w:ascii="宋体" w:hAnsi="宋体"/>
          <w:sz w:val="28"/>
          <w:szCs w:val="28"/>
          <w:highlight w:val="none"/>
        </w:rPr>
        <w:t>号) 浙江海正博锐生物制药有限公司股权出让竞价活动中，受让以下股权，根据国务院《企业国有资产交易监督管理办法》和相关法律法规规定，双方签订成交确认书如下：</w:t>
      </w:r>
    </w:p>
    <w:p>
      <w:pPr>
        <w:spacing w:line="360" w:lineRule="auto"/>
        <w:ind w:firstLine="560"/>
        <w:rPr>
          <w:rFonts w:ascii="宋体" w:hAnsi="宋体"/>
          <w:sz w:val="28"/>
          <w:szCs w:val="28"/>
          <w:highlight w:val="none"/>
        </w:rPr>
      </w:pPr>
      <w:r>
        <w:rPr>
          <w:rFonts w:hint="eastAsia" w:ascii="宋体" w:hAnsi="宋体"/>
          <w:sz w:val="28"/>
          <w:szCs w:val="28"/>
          <w:highlight w:val="none"/>
        </w:rPr>
        <w:t>一、受让方受让标的：海正药业（杭州）有限公司持有的浙江海正博锐生物制药有限公司股权</w:t>
      </w:r>
      <w:r>
        <w:rPr>
          <w:rFonts w:hint="eastAsia" w:ascii="宋体" w:hAnsi="宋体"/>
          <w:sz w:val="28"/>
          <w:szCs w:val="28"/>
          <w:highlight w:val="none"/>
          <w:lang w:val="ms-MY"/>
        </w:rPr>
        <w:t>。</w:t>
      </w:r>
    </w:p>
    <w:p>
      <w:pPr>
        <w:spacing w:line="360" w:lineRule="auto"/>
        <w:ind w:firstLine="560"/>
        <w:rPr>
          <w:rFonts w:ascii="宋体" w:hAnsi="宋体"/>
          <w:sz w:val="28"/>
          <w:szCs w:val="28"/>
          <w:highlight w:val="none"/>
        </w:rPr>
      </w:pPr>
      <w:r>
        <w:rPr>
          <w:rFonts w:hint="eastAsia" w:ascii="宋体" w:hAnsi="宋体"/>
          <w:sz w:val="28"/>
          <w:szCs w:val="28"/>
          <w:highlight w:val="none"/>
        </w:rPr>
        <w:t>二、成交金额及佣金：本转让标的成交总金额为</w:t>
      </w:r>
      <w:r>
        <w:rPr>
          <w:rFonts w:hint="eastAsia" w:ascii="宋体" w:hAnsi="宋体"/>
          <w:sz w:val="28"/>
          <w:szCs w:val="28"/>
          <w:highlight w:val="none"/>
          <w:u w:val="single"/>
        </w:rPr>
        <w:t>　　　</w:t>
      </w:r>
      <w:r>
        <w:rPr>
          <w:rFonts w:hint="eastAsia" w:ascii="宋体" w:hAnsi="宋体"/>
          <w:sz w:val="28"/>
          <w:szCs w:val="28"/>
          <w:highlight w:val="none"/>
        </w:rPr>
        <w:t>万元（大写：</w:t>
      </w:r>
    </w:p>
    <w:p>
      <w:pPr>
        <w:spacing w:line="360" w:lineRule="auto"/>
        <w:ind w:firstLine="0" w:firstLineChars="0"/>
        <w:rPr>
          <w:rFonts w:ascii="宋体" w:hAnsi="宋体"/>
          <w:sz w:val="28"/>
          <w:szCs w:val="28"/>
          <w:highlight w:val="none"/>
        </w:rPr>
      </w:pPr>
      <w:r>
        <w:rPr>
          <w:rFonts w:hint="eastAsia" w:ascii="宋体" w:hAnsi="宋体"/>
          <w:sz w:val="28"/>
          <w:szCs w:val="28"/>
          <w:highlight w:val="none"/>
          <w:u w:val="single"/>
        </w:rPr>
        <w:t xml:space="preserve">　　　　  </w:t>
      </w:r>
      <w:r>
        <w:rPr>
          <w:rFonts w:hint="eastAsia" w:ascii="宋体" w:hAnsi="宋体"/>
          <w:sz w:val="28"/>
          <w:szCs w:val="28"/>
          <w:highlight w:val="none"/>
        </w:rPr>
        <w:t>元整），佣金为</w:t>
      </w:r>
      <w:r>
        <w:rPr>
          <w:rFonts w:hint="eastAsia" w:ascii="宋体" w:hAnsi="宋体"/>
          <w:sz w:val="28"/>
          <w:szCs w:val="28"/>
          <w:highlight w:val="none"/>
          <w:u w:val="single"/>
        </w:rPr>
        <w:t>　　　　　</w:t>
      </w:r>
      <w:r>
        <w:rPr>
          <w:rFonts w:hint="eastAsia" w:ascii="宋体" w:hAnsi="宋体"/>
          <w:sz w:val="28"/>
          <w:szCs w:val="28"/>
          <w:highlight w:val="none"/>
        </w:rPr>
        <w:t>万元（大写：　  元整）。</w:t>
      </w:r>
    </w:p>
    <w:p>
      <w:pPr>
        <w:numPr>
          <w:ilvl w:val="0"/>
          <w:numId w:val="3"/>
        </w:numPr>
        <w:spacing w:line="360" w:lineRule="auto"/>
        <w:ind w:firstLine="560"/>
        <w:rPr>
          <w:rFonts w:hint="eastAsia" w:ascii="宋体" w:hAnsi="宋体"/>
          <w:sz w:val="28"/>
          <w:szCs w:val="28"/>
          <w:highlight w:val="none"/>
          <w:lang w:val="en-US" w:eastAsia="zh-CN"/>
        </w:rPr>
      </w:pPr>
      <w:r>
        <w:rPr>
          <w:rFonts w:hint="eastAsia" w:ascii="宋体" w:hAnsi="宋体"/>
          <w:sz w:val="28"/>
          <w:szCs w:val="28"/>
          <w:highlight w:val="none"/>
        </w:rPr>
        <w:t>付款方式：股权转让成交后，受让方在签署本《成交确认书》后两天</w:t>
      </w:r>
      <w:r>
        <w:rPr>
          <w:rFonts w:ascii="宋体" w:hAnsi="宋体"/>
          <w:sz w:val="28"/>
          <w:szCs w:val="28"/>
          <w:highlight w:val="none"/>
        </w:rPr>
        <w:t>内</w:t>
      </w:r>
      <w:r>
        <w:rPr>
          <w:rFonts w:hint="eastAsia" w:ascii="宋体" w:hAnsi="宋体"/>
          <w:sz w:val="28"/>
          <w:szCs w:val="28"/>
          <w:highlight w:val="none"/>
        </w:rPr>
        <w:t>签署《股权转让合同》。首期价款（含交易保证金）为产权标的成交金额的30%（且无论如何不得低于人民币758,890,099元），受让方应在《股权转让合同》签订之日起（</w:t>
      </w:r>
      <w:r>
        <w:rPr>
          <w:rFonts w:ascii="宋体" w:hAnsi="宋体"/>
          <w:sz w:val="28"/>
          <w:szCs w:val="28"/>
          <w:highlight w:val="none"/>
        </w:rPr>
        <w:t>如果需要相关政府机关审批、登记及</w:t>
      </w:r>
      <w:r>
        <w:rPr>
          <w:rFonts w:hint="eastAsia" w:ascii="宋体" w:hAnsi="宋体"/>
          <w:sz w:val="28"/>
          <w:szCs w:val="28"/>
          <w:highlight w:val="none"/>
        </w:rPr>
        <w:t>/或</w:t>
      </w:r>
      <w:r>
        <w:rPr>
          <w:rFonts w:ascii="宋体" w:hAnsi="宋体"/>
          <w:sz w:val="28"/>
          <w:szCs w:val="28"/>
          <w:highlight w:val="none"/>
        </w:rPr>
        <w:t>备案的，则在该等审批、登记及</w:t>
      </w:r>
      <w:r>
        <w:rPr>
          <w:rFonts w:hint="eastAsia" w:ascii="宋体" w:hAnsi="宋体"/>
          <w:sz w:val="28"/>
          <w:szCs w:val="28"/>
          <w:highlight w:val="none"/>
        </w:rPr>
        <w:t>/或</w:t>
      </w:r>
      <w:r>
        <w:rPr>
          <w:rFonts w:ascii="宋体" w:hAnsi="宋体"/>
          <w:sz w:val="28"/>
          <w:szCs w:val="28"/>
          <w:highlight w:val="none"/>
        </w:rPr>
        <w:t>备案之日起）</w:t>
      </w:r>
      <w:r>
        <w:rPr>
          <w:rFonts w:hint="eastAsia" w:ascii="宋体" w:hAnsi="宋体"/>
          <w:sz w:val="28"/>
          <w:szCs w:val="28"/>
          <w:highlight w:val="none"/>
        </w:rPr>
        <w:t>五个工作日内支付至转让方指定账户，其余价款应根据</w:t>
      </w:r>
      <w:r>
        <w:rPr>
          <w:rFonts w:ascii="宋体" w:hAnsi="宋体"/>
          <w:sz w:val="28"/>
          <w:szCs w:val="28"/>
          <w:highlight w:val="none"/>
        </w:rPr>
        <w:t>《股</w:t>
      </w:r>
      <w:r>
        <w:rPr>
          <w:rFonts w:hint="eastAsia" w:ascii="宋体" w:hAnsi="宋体"/>
          <w:sz w:val="28"/>
          <w:szCs w:val="28"/>
          <w:highlight w:val="none"/>
        </w:rPr>
        <w:t>权</w:t>
      </w:r>
      <w:r>
        <w:rPr>
          <w:rFonts w:ascii="宋体" w:hAnsi="宋体"/>
          <w:sz w:val="28"/>
          <w:szCs w:val="28"/>
          <w:highlight w:val="none"/>
        </w:rPr>
        <w:t>转让合同》</w:t>
      </w:r>
      <w:r>
        <w:rPr>
          <w:rFonts w:hint="eastAsia" w:ascii="宋体" w:hAnsi="宋体"/>
          <w:sz w:val="28"/>
          <w:szCs w:val="28"/>
          <w:highlight w:val="none"/>
        </w:rPr>
        <w:t>的</w:t>
      </w:r>
      <w:r>
        <w:rPr>
          <w:rFonts w:ascii="宋体" w:hAnsi="宋体"/>
          <w:sz w:val="28"/>
          <w:szCs w:val="28"/>
          <w:highlight w:val="none"/>
        </w:rPr>
        <w:t>约定</w:t>
      </w:r>
      <w:r>
        <w:rPr>
          <w:rFonts w:hint="eastAsia" w:ascii="宋体" w:hAnsi="宋体"/>
          <w:sz w:val="28"/>
          <w:szCs w:val="28"/>
          <w:highlight w:val="none"/>
        </w:rPr>
        <w:t>付清，且提供银行保函或符合转让方要求的合法有效担保，受让方先期缴纳的竞买保证金可抵作部分转让价款。上述竞买保证金应缴入台州市产权交易所有限公司</w:t>
      </w:r>
      <w:r>
        <w:rPr>
          <w:rFonts w:hint="eastAsia" w:ascii="宋体" w:hAnsi="宋体"/>
          <w:sz w:val="28"/>
          <w:szCs w:val="28"/>
          <w:highlight w:val="none"/>
          <w:lang w:val="en-US" w:eastAsia="zh-CN"/>
        </w:rPr>
        <w:t>以下账号：</w:t>
      </w:r>
    </w:p>
    <w:p>
      <w:pPr>
        <w:ind w:firstLine="560"/>
        <w:jc w:val="left"/>
        <w:rPr>
          <w:rFonts w:hint="eastAsia" w:ascii="宋体" w:hAnsi="宋体"/>
          <w:bCs/>
          <w:sz w:val="28"/>
          <w:szCs w:val="28"/>
          <w:highlight w:val="none"/>
        </w:rPr>
      </w:pPr>
      <w:r>
        <w:rPr>
          <w:rFonts w:hint="eastAsia" w:ascii="宋体" w:hAnsi="宋体"/>
          <w:bCs/>
          <w:sz w:val="28"/>
          <w:szCs w:val="28"/>
          <w:highlight w:val="none"/>
        </w:rPr>
        <w:t>(1) 投资方为境内主体适用：单位名称：台州市产权交易所有限公司，开户行：浙江民泰商业银行台州椒江支行，帐号：5830162608000</w:t>
      </w:r>
      <w:r>
        <w:rPr>
          <w:rFonts w:hint="eastAsia" w:ascii="宋体" w:hAnsi="宋体"/>
          <w:bCs/>
          <w:sz w:val="28"/>
          <w:szCs w:val="28"/>
          <w:highlight w:val="none"/>
          <w:lang w:val="en-US" w:eastAsia="zh-CN"/>
        </w:rPr>
        <w:t>15</w:t>
      </w:r>
      <w:r>
        <w:rPr>
          <w:rFonts w:hint="eastAsia" w:ascii="宋体" w:hAnsi="宋体"/>
          <w:bCs/>
          <w:sz w:val="28"/>
          <w:szCs w:val="28"/>
          <w:highlight w:val="none"/>
        </w:rPr>
        <w:t>。</w:t>
      </w:r>
    </w:p>
    <w:p>
      <w:pPr>
        <w:ind w:firstLine="560"/>
        <w:jc w:val="left"/>
        <w:rPr>
          <w:rFonts w:hint="eastAsia" w:ascii="宋体" w:hAnsi="宋体"/>
          <w:bCs/>
          <w:sz w:val="28"/>
          <w:szCs w:val="28"/>
          <w:highlight w:val="none"/>
        </w:rPr>
      </w:pPr>
      <w:r>
        <w:rPr>
          <w:rFonts w:hint="eastAsia" w:ascii="宋体" w:hAnsi="宋体"/>
          <w:bCs/>
          <w:sz w:val="28"/>
          <w:szCs w:val="28"/>
          <w:highlight w:val="none"/>
        </w:rPr>
        <w:t>(2) 投资方为境外主体适用：单位名称：台州市产权交易所有限公司，开户行：中国农业银行台州市经济开发区支行，帐号：19900101040022292。</w:t>
      </w:r>
    </w:p>
    <w:p>
      <w:pPr>
        <w:spacing w:line="360" w:lineRule="auto"/>
        <w:ind w:firstLine="560"/>
        <w:rPr>
          <w:rFonts w:ascii="宋体" w:hAnsi="宋体"/>
          <w:bCs/>
          <w:sz w:val="28"/>
          <w:szCs w:val="28"/>
          <w:highlight w:val="none"/>
        </w:rPr>
      </w:pPr>
      <w:r>
        <w:rPr>
          <w:rFonts w:hint="eastAsia" w:ascii="宋体" w:hAnsi="宋体"/>
          <w:sz w:val="28"/>
          <w:szCs w:val="28"/>
          <w:highlight w:val="none"/>
        </w:rPr>
        <w:t>四、受让方成交后拒绝签署《成交确认书》、《股权转让合同》</w:t>
      </w:r>
      <w:r>
        <w:rPr>
          <w:rFonts w:hint="eastAsia" w:ascii="宋体" w:hAnsi="宋体"/>
          <w:bCs/>
          <w:sz w:val="28"/>
          <w:szCs w:val="28"/>
          <w:highlight w:val="none"/>
        </w:rPr>
        <w:t>，视为其毁约，产交所有权追究其违约责任；受让方逾期支付首期股权转让成交款项的，视为受让方根本违约；出让方有权解除《股权转让合同》，产权交易所有权解除《成交确认书》，保证金不予退还。</w:t>
      </w:r>
    </w:p>
    <w:p>
      <w:pPr>
        <w:spacing w:line="360" w:lineRule="auto"/>
        <w:ind w:firstLine="560"/>
        <w:rPr>
          <w:rFonts w:ascii="宋体" w:hAnsi="宋体"/>
          <w:sz w:val="28"/>
          <w:szCs w:val="28"/>
          <w:highlight w:val="none"/>
        </w:rPr>
      </w:pPr>
      <w:r>
        <w:rPr>
          <w:rFonts w:hint="eastAsia" w:ascii="宋体" w:hAnsi="宋体"/>
          <w:sz w:val="28"/>
          <w:szCs w:val="28"/>
          <w:highlight w:val="none"/>
        </w:rPr>
        <w:t>五、受让方凭本《成交确认书》于两日</w:t>
      </w:r>
      <w:r>
        <w:rPr>
          <w:rFonts w:ascii="宋体" w:hAnsi="宋体"/>
          <w:sz w:val="28"/>
          <w:szCs w:val="28"/>
          <w:highlight w:val="none"/>
        </w:rPr>
        <w:t>内</w:t>
      </w:r>
      <w:r>
        <w:rPr>
          <w:rFonts w:hint="eastAsia" w:ascii="宋体" w:hAnsi="宋体"/>
          <w:sz w:val="28"/>
          <w:szCs w:val="28"/>
          <w:highlight w:val="none"/>
        </w:rPr>
        <w:t>与转让方签订《股权转让合同》，并按股权转让合同进行履约。</w:t>
      </w:r>
    </w:p>
    <w:p>
      <w:pPr>
        <w:spacing w:line="360" w:lineRule="auto"/>
        <w:ind w:firstLine="560"/>
        <w:rPr>
          <w:rFonts w:ascii="宋体" w:hAnsi="宋体"/>
          <w:sz w:val="28"/>
          <w:szCs w:val="28"/>
          <w:highlight w:val="none"/>
        </w:rPr>
      </w:pPr>
      <w:r>
        <w:rPr>
          <w:rFonts w:hint="eastAsia" w:ascii="宋体" w:hAnsi="宋体"/>
          <w:sz w:val="28"/>
          <w:szCs w:val="28"/>
          <w:highlight w:val="none"/>
        </w:rPr>
        <w:t>六、确定本次挂牌转让活动各方当事人权利义务的依据：</w:t>
      </w:r>
    </w:p>
    <w:p>
      <w:pPr>
        <w:spacing w:line="360" w:lineRule="auto"/>
        <w:ind w:firstLine="560"/>
        <w:rPr>
          <w:rFonts w:ascii="宋体" w:hAnsi="宋体"/>
          <w:sz w:val="28"/>
          <w:szCs w:val="28"/>
          <w:highlight w:val="none"/>
        </w:rPr>
      </w:pPr>
      <w:r>
        <w:rPr>
          <w:rFonts w:hint="eastAsia" w:ascii="宋体" w:hAnsi="宋体"/>
          <w:sz w:val="28"/>
          <w:szCs w:val="28"/>
          <w:highlight w:val="none"/>
        </w:rPr>
        <w:t>1、《产权转让委托协议书》；</w:t>
      </w:r>
    </w:p>
    <w:p>
      <w:pPr>
        <w:spacing w:line="360" w:lineRule="auto"/>
        <w:ind w:firstLine="560"/>
        <w:rPr>
          <w:rFonts w:ascii="宋体" w:hAnsi="宋体"/>
          <w:sz w:val="28"/>
          <w:szCs w:val="28"/>
          <w:highlight w:val="none"/>
        </w:rPr>
      </w:pPr>
      <w:r>
        <w:rPr>
          <w:rFonts w:hint="eastAsia" w:ascii="宋体" w:hAnsi="宋体"/>
          <w:sz w:val="28"/>
          <w:szCs w:val="28"/>
          <w:highlight w:val="none"/>
        </w:rPr>
        <w:t>2、《股权转让合同》及</w:t>
      </w:r>
      <w:r>
        <w:rPr>
          <w:rFonts w:ascii="宋体" w:hAnsi="宋体"/>
          <w:sz w:val="28"/>
          <w:szCs w:val="28"/>
          <w:highlight w:val="none"/>
        </w:rPr>
        <w:t>其补充协议（如有）</w:t>
      </w:r>
      <w:r>
        <w:rPr>
          <w:rFonts w:hint="eastAsia" w:ascii="宋体" w:hAnsi="宋体"/>
          <w:sz w:val="28"/>
          <w:szCs w:val="28"/>
          <w:highlight w:val="none"/>
        </w:rPr>
        <w:t>；</w:t>
      </w:r>
    </w:p>
    <w:p>
      <w:pPr>
        <w:spacing w:line="360" w:lineRule="auto"/>
        <w:ind w:firstLine="560"/>
        <w:rPr>
          <w:rFonts w:ascii="宋体" w:hAnsi="宋体"/>
          <w:sz w:val="28"/>
          <w:szCs w:val="28"/>
          <w:highlight w:val="none"/>
        </w:rPr>
      </w:pPr>
      <w:r>
        <w:rPr>
          <w:rFonts w:hint="eastAsia" w:ascii="宋体" w:hAnsi="宋体"/>
          <w:sz w:val="28"/>
          <w:szCs w:val="28"/>
          <w:highlight w:val="none"/>
        </w:rPr>
        <w:t>3、《转让须知》；</w:t>
      </w:r>
    </w:p>
    <w:p>
      <w:pPr>
        <w:spacing w:line="360" w:lineRule="auto"/>
        <w:ind w:firstLine="560"/>
        <w:rPr>
          <w:rFonts w:ascii="宋体" w:hAnsi="宋体"/>
          <w:sz w:val="28"/>
          <w:szCs w:val="28"/>
          <w:highlight w:val="none"/>
        </w:rPr>
      </w:pPr>
      <w:r>
        <w:rPr>
          <w:rFonts w:hint="eastAsia" w:ascii="宋体" w:hAnsi="宋体"/>
          <w:sz w:val="28"/>
          <w:szCs w:val="28"/>
          <w:highlight w:val="none"/>
        </w:rPr>
        <w:t>4、受让方办理的竞买申请手续及提供的有关文件和资料；</w:t>
      </w:r>
    </w:p>
    <w:p>
      <w:pPr>
        <w:spacing w:line="360" w:lineRule="auto"/>
        <w:ind w:firstLine="560"/>
        <w:rPr>
          <w:rFonts w:ascii="宋体" w:hAnsi="宋体"/>
          <w:sz w:val="28"/>
          <w:szCs w:val="28"/>
          <w:highlight w:val="none"/>
        </w:rPr>
      </w:pPr>
      <w:r>
        <w:rPr>
          <w:rFonts w:hint="eastAsia" w:ascii="宋体" w:hAnsi="宋体"/>
          <w:sz w:val="28"/>
          <w:szCs w:val="28"/>
          <w:highlight w:val="none"/>
        </w:rPr>
        <w:t>5、其他本次挂牌转让有关的</w:t>
      </w:r>
      <w:r>
        <w:rPr>
          <w:rFonts w:ascii="宋体" w:hAnsi="宋体"/>
          <w:sz w:val="28"/>
          <w:szCs w:val="28"/>
          <w:highlight w:val="none"/>
        </w:rPr>
        <w:t>文件及</w:t>
      </w:r>
      <w:r>
        <w:rPr>
          <w:rFonts w:hint="eastAsia" w:ascii="宋体" w:hAnsi="宋体"/>
          <w:sz w:val="28"/>
          <w:szCs w:val="28"/>
          <w:highlight w:val="none"/>
        </w:rPr>
        <w:t>内容。</w:t>
      </w:r>
    </w:p>
    <w:p>
      <w:pPr>
        <w:spacing w:line="360" w:lineRule="auto"/>
        <w:ind w:firstLine="420" w:firstLineChars="150"/>
        <w:rPr>
          <w:rFonts w:ascii="宋体" w:hAnsi="宋体"/>
          <w:sz w:val="28"/>
          <w:szCs w:val="28"/>
          <w:highlight w:val="none"/>
        </w:rPr>
      </w:pPr>
      <w:r>
        <w:rPr>
          <w:rFonts w:hint="eastAsia" w:ascii="宋体" w:hAnsi="宋体"/>
          <w:sz w:val="28"/>
          <w:szCs w:val="28"/>
          <w:highlight w:val="none"/>
        </w:rPr>
        <w:t>七、本确认书在履行中若发生争议，双方应协商解决，协商不成的，可向人民法院以起诉方式解决。</w:t>
      </w:r>
    </w:p>
    <w:p>
      <w:pPr>
        <w:spacing w:line="360" w:lineRule="auto"/>
        <w:ind w:firstLine="560"/>
        <w:rPr>
          <w:rFonts w:ascii="宋体" w:hAnsi="宋体"/>
          <w:sz w:val="28"/>
          <w:szCs w:val="28"/>
          <w:highlight w:val="none"/>
        </w:rPr>
      </w:pPr>
      <w:r>
        <w:rPr>
          <w:rFonts w:hint="eastAsia" w:ascii="宋体" w:hAnsi="宋体"/>
          <w:sz w:val="28"/>
          <w:szCs w:val="28"/>
          <w:highlight w:val="none"/>
        </w:rPr>
        <w:t>八、本《成交确认书》一式陆份。主持人、受让方各执二份，委托人、监管部门各执一份。</w:t>
      </w:r>
    </w:p>
    <w:p>
      <w:pPr>
        <w:spacing w:line="360" w:lineRule="auto"/>
        <w:ind w:firstLine="560"/>
        <w:rPr>
          <w:rFonts w:ascii="宋体" w:hAnsi="宋体"/>
          <w:sz w:val="28"/>
          <w:szCs w:val="28"/>
          <w:highlight w:val="none"/>
        </w:rPr>
      </w:pPr>
    </w:p>
    <w:p>
      <w:pPr>
        <w:spacing w:line="360" w:lineRule="auto"/>
        <w:ind w:firstLine="560"/>
        <w:rPr>
          <w:rFonts w:ascii="宋体" w:hAnsi="宋体"/>
          <w:sz w:val="28"/>
          <w:szCs w:val="28"/>
          <w:highlight w:val="none"/>
        </w:rPr>
      </w:pPr>
      <w:r>
        <w:rPr>
          <w:rFonts w:hint="eastAsia" w:ascii="宋体" w:hAnsi="宋体"/>
          <w:sz w:val="28"/>
          <w:szCs w:val="28"/>
          <w:highlight w:val="none"/>
        </w:rPr>
        <w:t>挂牌方（盖章）：     　　　　　　 受让方（盖章）：</w:t>
      </w:r>
    </w:p>
    <w:p>
      <w:pPr>
        <w:tabs>
          <w:tab w:val="left" w:pos="5210"/>
        </w:tabs>
        <w:spacing w:line="360" w:lineRule="auto"/>
        <w:ind w:firstLine="560"/>
        <w:rPr>
          <w:rFonts w:ascii="宋体" w:hAnsi="宋体"/>
          <w:sz w:val="28"/>
          <w:szCs w:val="28"/>
          <w:highlight w:val="none"/>
        </w:rPr>
      </w:pPr>
      <w:r>
        <w:rPr>
          <w:rFonts w:hint="eastAsia" w:ascii="宋体" w:hAnsi="宋体"/>
          <w:sz w:val="28"/>
          <w:szCs w:val="28"/>
          <w:highlight w:val="none"/>
        </w:rPr>
        <w:t>法定代表人：</w:t>
      </w:r>
      <w:r>
        <w:rPr>
          <w:rFonts w:ascii="宋体" w:hAnsi="宋体"/>
          <w:sz w:val="28"/>
          <w:szCs w:val="28"/>
          <w:highlight w:val="none"/>
        </w:rPr>
        <w:tab/>
      </w:r>
      <w:r>
        <w:rPr>
          <w:rFonts w:hint="eastAsia" w:ascii="宋体" w:hAnsi="宋体"/>
          <w:sz w:val="28"/>
          <w:szCs w:val="28"/>
          <w:highlight w:val="none"/>
        </w:rPr>
        <w:t>法定代表人：</w:t>
      </w:r>
    </w:p>
    <w:p>
      <w:pPr>
        <w:tabs>
          <w:tab w:val="left" w:pos="5210"/>
        </w:tabs>
        <w:spacing w:line="360" w:lineRule="auto"/>
        <w:ind w:firstLine="560"/>
        <w:rPr>
          <w:rFonts w:ascii="宋体" w:hAnsi="宋体"/>
          <w:sz w:val="28"/>
          <w:szCs w:val="28"/>
          <w:highlight w:val="none"/>
        </w:rPr>
      </w:pPr>
      <w:r>
        <w:rPr>
          <w:rFonts w:hint="eastAsia" w:ascii="宋体" w:hAnsi="宋体"/>
          <w:sz w:val="28"/>
          <w:szCs w:val="28"/>
          <w:highlight w:val="none"/>
        </w:rPr>
        <w:t>委托代理人：</w:t>
      </w:r>
      <w:r>
        <w:rPr>
          <w:rFonts w:ascii="宋体" w:hAnsi="宋体"/>
          <w:sz w:val="28"/>
          <w:szCs w:val="28"/>
          <w:highlight w:val="none"/>
        </w:rPr>
        <w:tab/>
      </w:r>
      <w:r>
        <w:rPr>
          <w:rFonts w:hint="eastAsia" w:ascii="宋体" w:hAnsi="宋体"/>
          <w:sz w:val="28"/>
          <w:szCs w:val="28"/>
          <w:highlight w:val="none"/>
        </w:rPr>
        <w:t>委托代理人：</w:t>
      </w:r>
    </w:p>
    <w:p>
      <w:pPr>
        <w:tabs>
          <w:tab w:val="left" w:pos="5210"/>
        </w:tabs>
        <w:spacing w:line="360" w:lineRule="auto"/>
        <w:ind w:firstLine="560"/>
        <w:rPr>
          <w:rFonts w:ascii="宋体" w:hAnsi="宋体"/>
          <w:sz w:val="28"/>
          <w:szCs w:val="28"/>
          <w:highlight w:val="none"/>
        </w:rPr>
      </w:pPr>
      <w:r>
        <w:rPr>
          <w:rFonts w:hint="eastAsia" w:ascii="宋体" w:hAnsi="宋体"/>
          <w:sz w:val="28"/>
          <w:szCs w:val="28"/>
          <w:highlight w:val="none"/>
        </w:rPr>
        <w:t>签订日期：    年   月  日        签订日期：    年   月  日</w:t>
      </w:r>
    </w:p>
    <w:p>
      <w:pPr>
        <w:spacing w:line="360" w:lineRule="auto"/>
        <w:ind w:right="-395" w:rightChars="-188" w:firstLine="0" w:firstLineChars="0"/>
        <w:jc w:val="center"/>
        <w:rPr>
          <w:rFonts w:ascii="宋体" w:hAnsi="宋体"/>
          <w:b/>
          <w:sz w:val="48"/>
          <w:szCs w:val="48"/>
          <w:highlight w:val="none"/>
        </w:rPr>
      </w:pPr>
      <w:r>
        <w:rPr>
          <w:rFonts w:hint="eastAsia" w:ascii="宋体" w:hAnsi="宋体"/>
          <w:b/>
          <w:sz w:val="48"/>
          <w:szCs w:val="48"/>
          <w:highlight w:val="none"/>
        </w:rPr>
        <w:br w:type="page"/>
      </w:r>
    </w:p>
    <w:p>
      <w:pPr>
        <w:spacing w:line="360" w:lineRule="auto"/>
        <w:ind w:right="-395" w:rightChars="-188" w:firstLine="0" w:firstLineChars="0"/>
        <w:jc w:val="center"/>
        <w:rPr>
          <w:rFonts w:ascii="宋体" w:hAnsi="宋体"/>
          <w:b/>
          <w:sz w:val="48"/>
          <w:szCs w:val="48"/>
          <w:highlight w:val="none"/>
        </w:rPr>
      </w:pPr>
    </w:p>
    <w:p>
      <w:pPr>
        <w:spacing w:line="360" w:lineRule="auto"/>
        <w:ind w:right="-395" w:rightChars="-188" w:firstLine="0" w:firstLineChars="0"/>
        <w:jc w:val="center"/>
        <w:rPr>
          <w:rFonts w:ascii="宋体" w:hAnsi="宋体"/>
          <w:b/>
          <w:sz w:val="48"/>
          <w:szCs w:val="48"/>
          <w:highlight w:val="none"/>
        </w:rPr>
      </w:pPr>
    </w:p>
    <w:p>
      <w:pPr>
        <w:spacing w:line="360" w:lineRule="auto"/>
        <w:ind w:right="-395" w:rightChars="-188" w:firstLine="0" w:firstLineChars="0"/>
        <w:jc w:val="center"/>
        <w:rPr>
          <w:rFonts w:ascii="宋体" w:hAnsi="宋体"/>
          <w:b/>
          <w:sz w:val="48"/>
          <w:szCs w:val="48"/>
          <w:highlight w:val="none"/>
        </w:rPr>
      </w:pPr>
    </w:p>
    <w:p>
      <w:pPr>
        <w:spacing w:line="360" w:lineRule="auto"/>
        <w:ind w:right="-395" w:rightChars="-188" w:firstLine="0" w:firstLineChars="0"/>
        <w:jc w:val="center"/>
        <w:rPr>
          <w:rFonts w:ascii="宋体" w:hAnsi="宋体"/>
          <w:b/>
          <w:sz w:val="48"/>
          <w:szCs w:val="48"/>
          <w:highlight w:val="none"/>
        </w:rPr>
      </w:pPr>
    </w:p>
    <w:p>
      <w:pPr>
        <w:spacing w:line="360" w:lineRule="auto"/>
        <w:ind w:left="4" w:leftChars="-200" w:right="-615" w:rightChars="-293" w:hanging="424" w:hangingChars="88"/>
        <w:jc w:val="center"/>
        <w:rPr>
          <w:rFonts w:ascii="宋体" w:hAnsi="宋体"/>
          <w:b/>
          <w:sz w:val="48"/>
          <w:szCs w:val="48"/>
          <w:highlight w:val="none"/>
        </w:rPr>
      </w:pPr>
      <w:r>
        <w:rPr>
          <w:rFonts w:hint="eastAsia" w:ascii="宋体" w:hAnsi="宋体"/>
          <w:b/>
          <w:sz w:val="48"/>
          <w:szCs w:val="48"/>
          <w:highlight w:val="none"/>
        </w:rPr>
        <w:t>浙江海正博锐生物制药有限公司股权</w:t>
      </w:r>
    </w:p>
    <w:p>
      <w:pPr>
        <w:spacing w:line="360" w:lineRule="auto"/>
        <w:ind w:firstLine="723"/>
        <w:jc w:val="center"/>
        <w:rPr>
          <w:rFonts w:ascii="宋体" w:hAnsi="宋体"/>
          <w:b/>
          <w:sz w:val="36"/>
          <w:szCs w:val="36"/>
          <w:highlight w:val="none"/>
        </w:rPr>
      </w:pPr>
    </w:p>
    <w:p>
      <w:pPr>
        <w:pStyle w:val="2"/>
        <w:spacing w:before="100" w:beforeAutospacing="1" w:after="100" w:afterAutospacing="1" w:line="360" w:lineRule="auto"/>
        <w:jc w:val="center"/>
        <w:rPr>
          <w:sz w:val="36"/>
          <w:highlight w:val="none"/>
        </w:rPr>
      </w:pPr>
      <w:bookmarkStart w:id="28" w:name="_Toc17355"/>
      <w:bookmarkStart w:id="29" w:name="_Toc528773695"/>
      <w:bookmarkStart w:id="30" w:name="_Toc10080"/>
      <w:r>
        <w:rPr>
          <w:rFonts w:hint="eastAsia"/>
          <w:sz w:val="36"/>
          <w:highlight w:val="none"/>
        </w:rPr>
        <w:t>转让合同</w:t>
      </w:r>
      <w:bookmarkEnd w:id="28"/>
      <w:bookmarkEnd w:id="29"/>
      <w:bookmarkEnd w:id="30"/>
    </w:p>
    <w:p>
      <w:pPr>
        <w:spacing w:line="360" w:lineRule="auto"/>
        <w:ind w:firstLine="0" w:firstLineChars="0"/>
        <w:jc w:val="center"/>
        <w:rPr>
          <w:rFonts w:ascii="宋体" w:hAnsi="宋体"/>
          <w:b/>
          <w:sz w:val="70"/>
          <w:szCs w:val="70"/>
          <w:highlight w:val="none"/>
        </w:rPr>
      </w:pPr>
    </w:p>
    <w:p>
      <w:pPr>
        <w:spacing w:line="360" w:lineRule="auto"/>
        <w:ind w:firstLine="0" w:firstLineChars="0"/>
        <w:jc w:val="center"/>
        <w:rPr>
          <w:rFonts w:ascii="宋体" w:hAnsi="宋体"/>
          <w:b/>
          <w:sz w:val="56"/>
          <w:szCs w:val="56"/>
          <w:highlight w:val="none"/>
        </w:rPr>
      </w:pPr>
      <w:r>
        <w:rPr>
          <w:rFonts w:hint="eastAsia" w:ascii="宋体" w:hAnsi="宋体"/>
          <w:b/>
          <w:sz w:val="56"/>
          <w:szCs w:val="56"/>
          <w:highlight w:val="none"/>
        </w:rPr>
        <w:t>（样稿）</w:t>
      </w:r>
    </w:p>
    <w:p>
      <w:pPr>
        <w:spacing w:line="360" w:lineRule="auto"/>
        <w:ind w:firstLine="720"/>
        <w:rPr>
          <w:rFonts w:ascii="宋体" w:hAnsi="宋体"/>
          <w:sz w:val="36"/>
          <w:szCs w:val="36"/>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560"/>
        <w:rPr>
          <w:rFonts w:ascii="宋体" w:hAnsi="宋体"/>
          <w:sz w:val="28"/>
          <w:szCs w:val="28"/>
          <w:highlight w:val="none"/>
        </w:rPr>
      </w:pPr>
    </w:p>
    <w:p>
      <w:pPr>
        <w:ind w:firstLine="2800" w:firstLineChars="1000"/>
        <w:rPr>
          <w:rFonts w:ascii="宋体" w:hAnsi="宋体"/>
          <w:sz w:val="28"/>
          <w:szCs w:val="28"/>
          <w:highlight w:val="none"/>
        </w:rPr>
      </w:pPr>
      <w:r>
        <w:rPr>
          <w:rFonts w:hint="eastAsia" w:ascii="宋体" w:hAnsi="宋体"/>
          <w:sz w:val="28"/>
          <w:szCs w:val="28"/>
          <w:highlight w:val="none"/>
        </w:rPr>
        <w:t>台州市产权交易所有限公司   编制</w:t>
      </w:r>
    </w:p>
    <w:p>
      <w:pPr>
        <w:spacing w:line="360" w:lineRule="auto"/>
        <w:ind w:firstLine="562"/>
        <w:jc w:val="center"/>
        <w:outlineLvl w:val="0"/>
        <w:rPr>
          <w:rFonts w:ascii="宋体" w:hAnsi="宋体"/>
          <w:b/>
          <w:sz w:val="28"/>
          <w:szCs w:val="28"/>
          <w:highlight w:val="none"/>
        </w:rPr>
      </w:pPr>
    </w:p>
    <w:p>
      <w:pPr>
        <w:pStyle w:val="5"/>
        <w:jc w:val="center"/>
        <w:rPr>
          <w:b/>
          <w:sz w:val="28"/>
          <w:szCs w:val="28"/>
          <w:highlight w:val="none"/>
        </w:rPr>
      </w:pPr>
    </w:p>
    <w:p>
      <w:pPr>
        <w:pStyle w:val="5"/>
        <w:jc w:val="center"/>
        <w:rPr>
          <w:b/>
          <w:sz w:val="28"/>
          <w:szCs w:val="28"/>
          <w:highlight w:val="none"/>
        </w:rPr>
      </w:pPr>
      <w:r>
        <w:rPr>
          <w:rFonts w:hint="eastAsia"/>
          <w:b/>
          <w:sz w:val="28"/>
          <w:szCs w:val="28"/>
          <w:highlight w:val="none"/>
        </w:rPr>
        <w:t>本合同的当事人</w:t>
      </w:r>
    </w:p>
    <w:p>
      <w:pPr>
        <w:spacing w:line="560" w:lineRule="exact"/>
        <w:ind w:firstLine="560"/>
        <w:rPr>
          <w:rFonts w:ascii="宋体" w:hAnsi="宋体"/>
          <w:sz w:val="28"/>
          <w:szCs w:val="28"/>
          <w:highlight w:val="none"/>
        </w:rPr>
      </w:pPr>
    </w:p>
    <w:p>
      <w:pPr>
        <w:spacing w:line="432" w:lineRule="auto"/>
        <w:ind w:firstLine="560"/>
        <w:rPr>
          <w:rFonts w:ascii="宋体" w:hAnsi="宋体"/>
          <w:sz w:val="28"/>
          <w:szCs w:val="28"/>
          <w:highlight w:val="none"/>
        </w:rPr>
      </w:pPr>
      <w:r>
        <w:rPr>
          <w:rFonts w:hint="eastAsia" w:ascii="宋体" w:hAnsi="宋体"/>
          <w:sz w:val="28"/>
          <w:szCs w:val="28"/>
          <w:highlight w:val="none"/>
        </w:rPr>
        <w:t>出让人（以下简称甲方）：</w:t>
      </w:r>
      <w:r>
        <w:rPr>
          <w:rFonts w:ascii="宋体" w:hAnsi="宋体"/>
          <w:sz w:val="28"/>
          <w:szCs w:val="28"/>
          <w:highlight w:val="none"/>
        </w:rPr>
        <w:t>海正药业(杭州)有限公司</w:t>
      </w:r>
    </w:p>
    <w:p>
      <w:pPr>
        <w:spacing w:line="432" w:lineRule="auto"/>
        <w:ind w:firstLine="560"/>
        <w:rPr>
          <w:rFonts w:ascii="宋体" w:hAnsi="宋体"/>
          <w:sz w:val="28"/>
          <w:szCs w:val="28"/>
          <w:highlight w:val="none"/>
        </w:rPr>
      </w:pPr>
      <w:r>
        <w:rPr>
          <w:rFonts w:hint="eastAsia" w:ascii="宋体" w:hAnsi="宋体"/>
          <w:sz w:val="28"/>
          <w:szCs w:val="28"/>
          <w:highlight w:val="none"/>
        </w:rPr>
        <w:t>主体资格证号：</w:t>
      </w:r>
      <w:r>
        <w:rPr>
          <w:rFonts w:ascii="宋体" w:hAnsi="宋体"/>
          <w:sz w:val="28"/>
          <w:szCs w:val="28"/>
          <w:highlight w:val="none"/>
        </w:rPr>
        <w:t>913301837766242917</w:t>
      </w:r>
    </w:p>
    <w:p>
      <w:pPr>
        <w:spacing w:line="432" w:lineRule="auto"/>
        <w:ind w:firstLine="560"/>
        <w:rPr>
          <w:rFonts w:ascii="宋体" w:hAnsi="宋体"/>
          <w:sz w:val="28"/>
          <w:szCs w:val="28"/>
          <w:highlight w:val="none"/>
        </w:rPr>
      </w:pPr>
      <w:r>
        <w:rPr>
          <w:rFonts w:hint="eastAsia" w:ascii="宋体" w:hAnsi="宋体"/>
          <w:sz w:val="28"/>
          <w:szCs w:val="28"/>
          <w:highlight w:val="none"/>
        </w:rPr>
        <w:t>注册地址/住所：</w:t>
      </w:r>
      <w:r>
        <w:rPr>
          <w:rFonts w:ascii="宋体" w:hAnsi="宋体"/>
          <w:sz w:val="28"/>
          <w:szCs w:val="28"/>
          <w:highlight w:val="none"/>
        </w:rPr>
        <w:t>浙江省杭州市富阳区胥口镇下练村</w:t>
      </w:r>
    </w:p>
    <w:p>
      <w:pPr>
        <w:spacing w:line="432" w:lineRule="auto"/>
        <w:ind w:firstLine="560"/>
        <w:rPr>
          <w:rFonts w:ascii="宋体" w:hAnsi="宋体"/>
          <w:sz w:val="28"/>
          <w:szCs w:val="28"/>
          <w:highlight w:val="none"/>
        </w:rPr>
      </w:pPr>
      <w:r>
        <w:rPr>
          <w:rFonts w:hint="eastAsia" w:ascii="宋体" w:hAnsi="宋体"/>
          <w:sz w:val="28"/>
          <w:szCs w:val="28"/>
          <w:highlight w:val="none"/>
        </w:rPr>
        <w:t>经济性质：其他有限责任公司   注册资本：9</w:t>
      </w:r>
      <w:r>
        <w:rPr>
          <w:rFonts w:ascii="宋体" w:hAnsi="宋体"/>
          <w:sz w:val="28"/>
          <w:szCs w:val="28"/>
          <w:highlight w:val="none"/>
        </w:rPr>
        <w:t>3742</w:t>
      </w:r>
      <w:r>
        <w:rPr>
          <w:rFonts w:hint="eastAsia" w:ascii="宋体" w:hAnsi="宋体"/>
          <w:sz w:val="28"/>
          <w:szCs w:val="28"/>
          <w:highlight w:val="none"/>
        </w:rPr>
        <w:t>万元人民币</w:t>
      </w:r>
    </w:p>
    <w:p>
      <w:pPr>
        <w:spacing w:line="432" w:lineRule="auto"/>
        <w:ind w:firstLine="560"/>
        <w:rPr>
          <w:rFonts w:ascii="宋体" w:hAnsi="宋体"/>
          <w:sz w:val="28"/>
          <w:szCs w:val="28"/>
          <w:highlight w:val="none"/>
        </w:rPr>
      </w:pPr>
      <w:r>
        <w:rPr>
          <w:rFonts w:hint="eastAsia" w:ascii="宋体" w:hAnsi="宋体"/>
          <w:sz w:val="28"/>
          <w:szCs w:val="28"/>
          <w:highlight w:val="none"/>
        </w:rPr>
        <w:t>法定代表人：蒋国平          职务：执行董事</w:t>
      </w:r>
    </w:p>
    <w:p>
      <w:pPr>
        <w:spacing w:line="432" w:lineRule="auto"/>
        <w:ind w:left="6817" w:leftChars="266" w:hanging="6258" w:hangingChars="2235"/>
        <w:rPr>
          <w:rFonts w:ascii="宋体" w:hAnsi="宋体"/>
          <w:sz w:val="28"/>
          <w:szCs w:val="28"/>
          <w:highlight w:val="none"/>
        </w:rPr>
      </w:pPr>
      <w:r>
        <w:rPr>
          <w:rFonts w:hint="eastAsia" w:ascii="宋体" w:hAnsi="宋体"/>
          <w:sz w:val="28"/>
          <w:szCs w:val="28"/>
          <w:highlight w:val="none"/>
        </w:rPr>
        <w:t xml:space="preserve">开户银行：浙江省建行富阳新登支行 </w:t>
      </w:r>
      <w:r>
        <w:rPr>
          <w:rFonts w:ascii="宋体" w:hAnsi="宋体"/>
          <w:sz w:val="28"/>
          <w:szCs w:val="28"/>
          <w:highlight w:val="none"/>
        </w:rPr>
        <w:t xml:space="preserve"> </w:t>
      </w:r>
    </w:p>
    <w:p>
      <w:pPr>
        <w:spacing w:line="432" w:lineRule="auto"/>
        <w:ind w:left="6817" w:leftChars="266" w:hanging="6258" w:hangingChars="2235"/>
        <w:rPr>
          <w:rFonts w:ascii="宋体" w:hAnsi="宋体"/>
          <w:sz w:val="28"/>
          <w:szCs w:val="28"/>
          <w:highlight w:val="none"/>
        </w:rPr>
      </w:pPr>
      <w:r>
        <w:rPr>
          <w:rFonts w:hint="eastAsia" w:ascii="宋体" w:hAnsi="宋体"/>
          <w:sz w:val="28"/>
          <w:szCs w:val="28"/>
          <w:highlight w:val="none"/>
        </w:rPr>
        <w:t>帐号：</w:t>
      </w:r>
      <w:r>
        <w:rPr>
          <w:rFonts w:ascii="宋体" w:hAnsi="宋体"/>
          <w:sz w:val="28"/>
          <w:szCs w:val="28"/>
          <w:highlight w:val="none"/>
        </w:rPr>
        <w:t>3300 1617 2810 5958 8688</w:t>
      </w:r>
    </w:p>
    <w:p>
      <w:pPr>
        <w:spacing w:line="432" w:lineRule="auto"/>
        <w:ind w:firstLine="560"/>
        <w:rPr>
          <w:rFonts w:ascii="宋体" w:hAnsi="宋体"/>
          <w:sz w:val="28"/>
          <w:szCs w:val="28"/>
          <w:highlight w:val="none"/>
        </w:rPr>
      </w:pPr>
      <w:r>
        <w:rPr>
          <w:rFonts w:hint="eastAsia" w:ascii="宋体" w:hAnsi="宋体"/>
          <w:sz w:val="28"/>
          <w:szCs w:val="28"/>
          <w:highlight w:val="none"/>
        </w:rPr>
        <w:t>邮编：</w:t>
      </w:r>
      <w:r>
        <w:rPr>
          <w:rFonts w:ascii="宋体" w:hAnsi="宋体"/>
          <w:sz w:val="28"/>
          <w:szCs w:val="28"/>
          <w:highlight w:val="none"/>
        </w:rPr>
        <w:t>311404</w:t>
      </w:r>
      <w:r>
        <w:rPr>
          <w:rFonts w:hint="eastAsia" w:ascii="宋体" w:hAnsi="宋体"/>
          <w:sz w:val="28"/>
          <w:szCs w:val="28"/>
          <w:highlight w:val="none"/>
        </w:rPr>
        <w:t xml:space="preserve">               </w:t>
      </w:r>
      <w:r>
        <w:rPr>
          <w:rFonts w:ascii="宋体" w:hAnsi="宋体"/>
          <w:sz w:val="28"/>
          <w:szCs w:val="28"/>
          <w:highlight w:val="none"/>
        </w:rPr>
        <w:t xml:space="preserve">  </w:t>
      </w:r>
      <w:r>
        <w:rPr>
          <w:rFonts w:hint="eastAsia" w:ascii="宋体" w:hAnsi="宋体"/>
          <w:sz w:val="28"/>
          <w:szCs w:val="28"/>
          <w:highlight w:val="none"/>
        </w:rPr>
        <w:t>电话：0571-63280820</w:t>
      </w:r>
    </w:p>
    <w:p>
      <w:pPr>
        <w:spacing w:line="432" w:lineRule="auto"/>
        <w:ind w:firstLine="560"/>
        <w:rPr>
          <w:rFonts w:ascii="宋体" w:hAnsi="宋体"/>
          <w:sz w:val="28"/>
          <w:szCs w:val="28"/>
          <w:highlight w:val="none"/>
        </w:rPr>
      </w:pPr>
    </w:p>
    <w:p>
      <w:pPr>
        <w:spacing w:line="432" w:lineRule="auto"/>
        <w:ind w:firstLine="560"/>
        <w:rPr>
          <w:rFonts w:ascii="宋体" w:hAnsi="宋体"/>
          <w:sz w:val="28"/>
          <w:szCs w:val="28"/>
          <w:highlight w:val="none"/>
        </w:rPr>
      </w:pPr>
    </w:p>
    <w:p>
      <w:pPr>
        <w:spacing w:line="432" w:lineRule="auto"/>
        <w:ind w:firstLine="560"/>
        <w:rPr>
          <w:rFonts w:ascii="宋体" w:hAnsi="宋体"/>
          <w:sz w:val="28"/>
          <w:szCs w:val="28"/>
          <w:highlight w:val="none"/>
        </w:rPr>
      </w:pPr>
    </w:p>
    <w:p>
      <w:pPr>
        <w:spacing w:line="432" w:lineRule="auto"/>
        <w:ind w:firstLine="560"/>
        <w:rPr>
          <w:rFonts w:ascii="宋体" w:hAnsi="宋体"/>
          <w:sz w:val="28"/>
          <w:szCs w:val="28"/>
          <w:highlight w:val="none"/>
        </w:rPr>
      </w:pPr>
      <w:r>
        <w:rPr>
          <w:rFonts w:hint="eastAsia" w:ascii="宋体" w:hAnsi="宋体"/>
          <w:sz w:val="28"/>
          <w:szCs w:val="28"/>
          <w:highlight w:val="none"/>
        </w:rPr>
        <w:t>受让人（以下简称乙方）：</w:t>
      </w:r>
    </w:p>
    <w:p>
      <w:pPr>
        <w:spacing w:line="432" w:lineRule="auto"/>
        <w:ind w:firstLine="560"/>
        <w:rPr>
          <w:rFonts w:ascii="宋体" w:hAnsi="宋体"/>
          <w:sz w:val="28"/>
          <w:szCs w:val="28"/>
          <w:highlight w:val="none"/>
        </w:rPr>
      </w:pPr>
      <w:r>
        <w:rPr>
          <w:rFonts w:hint="eastAsia" w:ascii="宋体" w:hAnsi="宋体"/>
          <w:sz w:val="28"/>
          <w:szCs w:val="28"/>
          <w:highlight w:val="none"/>
        </w:rPr>
        <w:t>主体资格证号或身份证号：</w:t>
      </w:r>
    </w:p>
    <w:p>
      <w:pPr>
        <w:spacing w:line="432" w:lineRule="auto"/>
        <w:ind w:firstLine="560"/>
        <w:rPr>
          <w:rFonts w:ascii="宋体" w:hAnsi="宋体"/>
          <w:sz w:val="28"/>
          <w:szCs w:val="28"/>
          <w:highlight w:val="none"/>
        </w:rPr>
      </w:pPr>
      <w:r>
        <w:rPr>
          <w:rFonts w:hint="eastAsia" w:ascii="宋体" w:hAnsi="宋体"/>
          <w:sz w:val="28"/>
          <w:szCs w:val="28"/>
          <w:highlight w:val="none"/>
        </w:rPr>
        <w:t>注册地址/住所：</w:t>
      </w:r>
    </w:p>
    <w:p>
      <w:pPr>
        <w:tabs>
          <w:tab w:val="left" w:pos="4640"/>
        </w:tabs>
        <w:spacing w:line="432" w:lineRule="auto"/>
        <w:ind w:left="6817" w:leftChars="266" w:hanging="6258" w:hangingChars="2235"/>
        <w:rPr>
          <w:rFonts w:ascii="宋体" w:hAnsi="宋体"/>
          <w:sz w:val="28"/>
          <w:szCs w:val="28"/>
          <w:highlight w:val="none"/>
        </w:rPr>
      </w:pPr>
      <w:r>
        <w:rPr>
          <w:rFonts w:hint="eastAsia" w:ascii="宋体" w:hAnsi="宋体"/>
          <w:sz w:val="28"/>
          <w:szCs w:val="28"/>
          <w:highlight w:val="none"/>
        </w:rPr>
        <w:t xml:space="preserve">经济性质：                         </w:t>
      </w:r>
      <w:r>
        <w:rPr>
          <w:rFonts w:ascii="宋体" w:hAnsi="宋体"/>
          <w:sz w:val="28"/>
          <w:szCs w:val="28"/>
          <w:highlight w:val="none"/>
        </w:rPr>
        <w:t xml:space="preserve"> </w:t>
      </w:r>
      <w:r>
        <w:rPr>
          <w:rFonts w:hint="eastAsia" w:ascii="宋体" w:hAnsi="宋体"/>
          <w:sz w:val="28"/>
          <w:szCs w:val="28"/>
          <w:highlight w:val="none"/>
        </w:rPr>
        <w:t>注册资本：</w:t>
      </w:r>
    </w:p>
    <w:p>
      <w:pPr>
        <w:tabs>
          <w:tab w:val="left" w:pos="6705"/>
        </w:tabs>
        <w:spacing w:line="432" w:lineRule="auto"/>
        <w:ind w:left="6817" w:leftChars="266" w:hanging="6258" w:hangingChars="2235"/>
        <w:rPr>
          <w:rFonts w:ascii="宋体" w:hAnsi="宋体"/>
          <w:sz w:val="28"/>
          <w:szCs w:val="28"/>
          <w:highlight w:val="none"/>
        </w:rPr>
      </w:pPr>
      <w:r>
        <w:rPr>
          <w:rFonts w:hint="eastAsia" w:ascii="宋体" w:hAnsi="宋体"/>
          <w:sz w:val="28"/>
          <w:szCs w:val="28"/>
          <w:highlight w:val="none"/>
        </w:rPr>
        <w:t>法定代表人：                        职务：</w:t>
      </w:r>
      <w:r>
        <w:rPr>
          <w:rFonts w:ascii="宋体" w:hAnsi="宋体"/>
          <w:sz w:val="28"/>
          <w:szCs w:val="28"/>
          <w:highlight w:val="none"/>
        </w:rPr>
        <w:tab/>
      </w:r>
    </w:p>
    <w:p>
      <w:pPr>
        <w:tabs>
          <w:tab w:val="left" w:pos="4320"/>
          <w:tab w:val="left" w:pos="4680"/>
          <w:tab w:val="left" w:pos="5220"/>
          <w:tab w:val="left" w:pos="6900"/>
          <w:tab w:val="left" w:pos="8190"/>
        </w:tabs>
        <w:spacing w:line="432" w:lineRule="auto"/>
        <w:ind w:firstLine="560"/>
        <w:rPr>
          <w:rFonts w:ascii="宋体" w:hAnsi="宋体"/>
          <w:sz w:val="28"/>
          <w:szCs w:val="28"/>
          <w:highlight w:val="none"/>
        </w:rPr>
      </w:pPr>
      <w:r>
        <w:rPr>
          <w:rFonts w:hint="eastAsia" w:ascii="宋体" w:hAnsi="宋体"/>
          <w:sz w:val="28"/>
          <w:szCs w:val="28"/>
          <w:highlight w:val="none"/>
        </w:rPr>
        <w:t>开户银行：                          帐号：</w:t>
      </w:r>
      <w:r>
        <w:rPr>
          <w:rFonts w:ascii="宋体" w:hAnsi="宋体"/>
          <w:sz w:val="28"/>
          <w:szCs w:val="28"/>
          <w:highlight w:val="none"/>
        </w:rPr>
        <w:tab/>
      </w:r>
    </w:p>
    <w:p>
      <w:pPr>
        <w:tabs>
          <w:tab w:val="left" w:pos="5040"/>
        </w:tabs>
        <w:spacing w:line="432" w:lineRule="auto"/>
        <w:ind w:firstLine="560"/>
        <w:rPr>
          <w:rFonts w:ascii="宋体" w:hAnsi="宋体"/>
          <w:sz w:val="28"/>
          <w:szCs w:val="28"/>
          <w:highlight w:val="none"/>
        </w:rPr>
      </w:pPr>
      <w:r>
        <w:rPr>
          <w:rFonts w:hint="eastAsia" w:ascii="宋体" w:hAnsi="宋体"/>
          <w:sz w:val="28"/>
          <w:szCs w:val="28"/>
          <w:highlight w:val="none"/>
        </w:rPr>
        <w:t>邮编：                              电话：</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br w:type="page"/>
      </w:r>
      <w:r>
        <w:rPr>
          <w:rFonts w:hint="eastAsia" w:ascii="宋体" w:hAnsi="宋体"/>
          <w:sz w:val="28"/>
          <w:szCs w:val="28"/>
          <w:highlight w:val="none"/>
        </w:rPr>
        <w:t>根据《中华人民共和国合同法》和《企业国有资产交易监督管理办法》以及《企业国有产权交易操作规则》等相关法律、法规、规章及有关单位批准，甲方将持有的浙江海正博锐生物制药有限公司（下称“海正博锐” 或</w:t>
      </w:r>
      <w:r>
        <w:rPr>
          <w:rFonts w:ascii="宋体" w:hAnsi="宋体"/>
          <w:sz w:val="28"/>
          <w:szCs w:val="28"/>
          <w:highlight w:val="none"/>
        </w:rPr>
        <w:t>“标的企业”</w:t>
      </w:r>
      <w:r>
        <w:rPr>
          <w:rFonts w:hint="eastAsia" w:ascii="宋体" w:hAnsi="宋体"/>
          <w:sz w:val="28"/>
          <w:szCs w:val="28"/>
          <w:highlight w:val="none"/>
        </w:rPr>
        <w:t>）股权转让给乙方。为此，甲、乙双方遵循自愿、公平、诚实信用的原则及转让相关规定订立本合同，以致共同遵守。</w:t>
      </w:r>
    </w:p>
    <w:p>
      <w:pPr>
        <w:tabs>
          <w:tab w:val="left" w:pos="3780"/>
        </w:tabs>
        <w:spacing w:line="360" w:lineRule="auto"/>
        <w:ind w:firstLine="562"/>
        <w:jc w:val="left"/>
        <w:rPr>
          <w:rFonts w:ascii="宋体" w:hAnsi="宋体"/>
          <w:b/>
          <w:sz w:val="28"/>
          <w:szCs w:val="28"/>
          <w:highlight w:val="none"/>
        </w:rPr>
      </w:pPr>
      <w:r>
        <w:rPr>
          <w:rFonts w:hint="eastAsia" w:ascii="宋体" w:hAnsi="宋体"/>
          <w:b/>
          <w:sz w:val="28"/>
          <w:szCs w:val="28"/>
          <w:highlight w:val="none"/>
        </w:rPr>
        <w:t>鉴于：</w:t>
      </w:r>
    </w:p>
    <w:p>
      <w:pPr>
        <w:pStyle w:val="34"/>
        <w:numPr>
          <w:ilvl w:val="0"/>
          <w:numId w:val="4"/>
        </w:numPr>
        <w:ind w:left="0" w:firstLine="567" w:firstLineChars="0"/>
        <w:rPr>
          <w:rFonts w:ascii="宋体" w:hAnsi="宋体" w:cs="宋体"/>
          <w:sz w:val="28"/>
          <w:szCs w:val="28"/>
          <w:highlight w:val="none"/>
        </w:rPr>
      </w:pPr>
      <w:r>
        <w:rPr>
          <w:rFonts w:hint="eastAsia" w:ascii="宋体" w:hAnsi="宋体"/>
          <w:sz w:val="28"/>
          <w:szCs w:val="28"/>
          <w:highlight w:val="none"/>
        </w:rPr>
        <w:t>海正博锐是一家专注于生物药品领域的专业化公司。组建于201</w:t>
      </w:r>
      <w:r>
        <w:rPr>
          <w:rFonts w:ascii="宋体" w:hAnsi="宋体"/>
          <w:sz w:val="28"/>
          <w:szCs w:val="28"/>
          <w:highlight w:val="none"/>
        </w:rPr>
        <w:t>9</w:t>
      </w:r>
      <w:r>
        <w:rPr>
          <w:rFonts w:hint="eastAsia" w:ascii="宋体" w:hAnsi="宋体"/>
          <w:sz w:val="28"/>
          <w:szCs w:val="28"/>
          <w:highlight w:val="none"/>
        </w:rPr>
        <w:t>年</w:t>
      </w:r>
      <w:r>
        <w:rPr>
          <w:rFonts w:ascii="宋体" w:hAnsi="宋体"/>
          <w:sz w:val="28"/>
          <w:szCs w:val="28"/>
          <w:highlight w:val="none"/>
        </w:rPr>
        <w:t>1</w:t>
      </w:r>
      <w:r>
        <w:rPr>
          <w:rFonts w:hint="eastAsia" w:ascii="宋体" w:hAnsi="宋体"/>
          <w:sz w:val="28"/>
          <w:szCs w:val="28"/>
          <w:highlight w:val="none"/>
        </w:rPr>
        <w:t>月，注册资本</w:t>
      </w:r>
      <w:r>
        <w:rPr>
          <w:rFonts w:ascii="宋体" w:hAnsi="宋体"/>
          <w:sz w:val="28"/>
          <w:szCs w:val="28"/>
          <w:highlight w:val="none"/>
        </w:rPr>
        <w:t>5</w:t>
      </w:r>
      <w:r>
        <w:rPr>
          <w:rFonts w:hint="eastAsia" w:ascii="宋体" w:hAnsi="宋体"/>
          <w:sz w:val="28"/>
          <w:szCs w:val="28"/>
          <w:highlight w:val="none"/>
        </w:rPr>
        <w:t>亿元，统一社会信用代码为</w:t>
      </w:r>
      <w:r>
        <w:rPr>
          <w:rFonts w:ascii="宋体" w:hAnsi="宋体"/>
          <w:sz w:val="28"/>
          <w:szCs w:val="28"/>
          <w:highlight w:val="none"/>
        </w:rPr>
        <w:t>91331002MA2DTHGU4M</w:t>
      </w:r>
      <w:r>
        <w:rPr>
          <w:rFonts w:hint="eastAsia" w:ascii="宋体" w:hAnsi="宋体"/>
          <w:sz w:val="28"/>
          <w:szCs w:val="28"/>
          <w:highlight w:val="none"/>
        </w:rPr>
        <w:t>，法定代表人蒋国平。经营范围：生物药品的生产、销售及研发;生物技术推广服务;货物及技术进出口业务。(依法须经批准的项目,经相关部门批准后方可开展经营活动)。</w:t>
      </w:r>
    </w:p>
    <w:p>
      <w:pPr>
        <w:pStyle w:val="34"/>
        <w:numPr>
          <w:ilvl w:val="0"/>
          <w:numId w:val="4"/>
        </w:numPr>
        <w:ind w:left="0" w:firstLine="567" w:firstLineChars="0"/>
        <w:rPr>
          <w:rFonts w:ascii="宋体" w:hAnsi="宋体"/>
          <w:sz w:val="28"/>
          <w:szCs w:val="28"/>
          <w:highlight w:val="none"/>
        </w:rPr>
      </w:pPr>
      <w:r>
        <w:rPr>
          <w:rFonts w:hint="eastAsia" w:ascii="宋体" w:hAnsi="宋体"/>
          <w:sz w:val="28"/>
          <w:szCs w:val="28"/>
          <w:highlight w:val="none"/>
        </w:rPr>
        <w:t>转让标的（</w:t>
      </w:r>
      <w:r>
        <w:rPr>
          <w:rFonts w:ascii="宋体" w:hAnsi="宋体"/>
          <w:sz w:val="28"/>
          <w:szCs w:val="28"/>
          <w:highlight w:val="none"/>
        </w:rPr>
        <w:t>定义见下文）</w:t>
      </w:r>
      <w:r>
        <w:rPr>
          <w:rFonts w:hint="eastAsia" w:ascii="宋体" w:hAnsi="宋体"/>
          <w:sz w:val="28"/>
          <w:szCs w:val="28"/>
          <w:highlight w:val="none"/>
        </w:rPr>
        <w:t>经有资质的坤元资产评估有限公司评估，出具了以</w:t>
      </w:r>
      <w:r>
        <w:rPr>
          <w:rFonts w:ascii="宋体" w:hAnsi="宋体"/>
          <w:sz w:val="28"/>
          <w:szCs w:val="28"/>
          <w:highlight w:val="none"/>
        </w:rPr>
        <w:t>2019</w:t>
      </w:r>
      <w:r>
        <w:rPr>
          <w:rFonts w:hint="eastAsia" w:ascii="宋体" w:hAnsi="宋体"/>
          <w:sz w:val="28"/>
          <w:szCs w:val="28"/>
          <w:highlight w:val="none"/>
        </w:rPr>
        <w:t>年</w:t>
      </w:r>
      <w:r>
        <w:rPr>
          <w:rFonts w:ascii="宋体" w:hAnsi="宋体"/>
          <w:sz w:val="28"/>
          <w:szCs w:val="28"/>
          <w:highlight w:val="none"/>
        </w:rPr>
        <w:t>4</w:t>
      </w:r>
      <w:r>
        <w:rPr>
          <w:rFonts w:hint="eastAsia" w:ascii="宋体" w:hAnsi="宋体"/>
          <w:sz w:val="28"/>
          <w:szCs w:val="28"/>
          <w:highlight w:val="none"/>
        </w:rPr>
        <w:t>月3</w:t>
      </w:r>
      <w:r>
        <w:rPr>
          <w:rFonts w:ascii="宋体" w:hAnsi="宋体"/>
          <w:sz w:val="28"/>
          <w:szCs w:val="28"/>
          <w:highlight w:val="none"/>
        </w:rPr>
        <w:t>0</w:t>
      </w:r>
      <w:r>
        <w:rPr>
          <w:rFonts w:hint="eastAsia" w:ascii="宋体" w:hAnsi="宋体"/>
          <w:sz w:val="28"/>
          <w:szCs w:val="28"/>
          <w:highlight w:val="none"/>
        </w:rPr>
        <w:t>日为评估基准日的坤元评报【201</w:t>
      </w:r>
      <w:r>
        <w:rPr>
          <w:rFonts w:ascii="宋体" w:hAnsi="宋体"/>
          <w:sz w:val="28"/>
          <w:szCs w:val="28"/>
          <w:highlight w:val="none"/>
        </w:rPr>
        <w:t>9</w:t>
      </w:r>
      <w:r>
        <w:rPr>
          <w:rFonts w:hint="eastAsia" w:ascii="宋体" w:hAnsi="宋体"/>
          <w:sz w:val="28"/>
          <w:szCs w:val="28"/>
          <w:highlight w:val="none"/>
        </w:rPr>
        <w:t>】2</w:t>
      </w:r>
      <w:r>
        <w:rPr>
          <w:rFonts w:ascii="宋体" w:hAnsi="宋体"/>
          <w:sz w:val="28"/>
          <w:szCs w:val="28"/>
          <w:highlight w:val="none"/>
        </w:rPr>
        <w:t>7</w:t>
      </w:r>
      <w:r>
        <w:rPr>
          <w:rFonts w:hint="eastAsia" w:ascii="宋体" w:hAnsi="宋体"/>
          <w:sz w:val="28"/>
          <w:szCs w:val="28"/>
          <w:highlight w:val="none"/>
        </w:rPr>
        <w:t>1号《</w:t>
      </w:r>
      <w:r>
        <w:rPr>
          <w:rFonts w:ascii="宋体" w:hAnsi="宋体"/>
          <w:sz w:val="28"/>
          <w:szCs w:val="28"/>
          <w:highlight w:val="none"/>
        </w:rPr>
        <w:t>浙江海正药业股份有限公司</w:t>
      </w:r>
      <w:r>
        <w:rPr>
          <w:rFonts w:hint="eastAsia" w:ascii="宋体" w:hAnsi="宋体"/>
          <w:sz w:val="28"/>
          <w:szCs w:val="28"/>
          <w:highlight w:val="none"/>
        </w:rPr>
        <w:t>拟为浙江海正博锐生物</w:t>
      </w:r>
      <w:r>
        <w:rPr>
          <w:rFonts w:ascii="宋体" w:hAnsi="宋体"/>
          <w:sz w:val="28"/>
          <w:szCs w:val="28"/>
          <w:highlight w:val="none"/>
        </w:rPr>
        <w:t>制药</w:t>
      </w:r>
      <w:r>
        <w:rPr>
          <w:rFonts w:hint="eastAsia" w:ascii="宋体" w:hAnsi="宋体"/>
          <w:sz w:val="28"/>
          <w:szCs w:val="28"/>
          <w:highlight w:val="none"/>
        </w:rPr>
        <w:t>有限公司引进投资涉及的</w:t>
      </w:r>
      <w:r>
        <w:rPr>
          <w:rFonts w:ascii="宋体" w:hAnsi="宋体"/>
          <w:sz w:val="28"/>
          <w:szCs w:val="28"/>
          <w:highlight w:val="none"/>
        </w:rPr>
        <w:t>该公司</w:t>
      </w:r>
      <w:r>
        <w:rPr>
          <w:rFonts w:hint="eastAsia" w:ascii="宋体" w:hAnsi="宋体"/>
          <w:sz w:val="28"/>
          <w:szCs w:val="28"/>
          <w:highlight w:val="none"/>
        </w:rPr>
        <w:t>股东全部权益价值资产评估报告》。</w:t>
      </w:r>
    </w:p>
    <w:p>
      <w:pPr>
        <w:pStyle w:val="34"/>
        <w:numPr>
          <w:ilvl w:val="0"/>
          <w:numId w:val="4"/>
        </w:numPr>
        <w:ind w:left="0" w:firstLine="567" w:firstLineChars="0"/>
        <w:rPr>
          <w:rFonts w:ascii="宋体" w:hAnsi="宋体"/>
          <w:sz w:val="28"/>
          <w:szCs w:val="28"/>
          <w:highlight w:val="none"/>
        </w:rPr>
      </w:pPr>
      <w:bookmarkStart w:id="31" w:name="待定09"/>
      <w:r>
        <w:rPr>
          <w:rFonts w:hint="eastAsia" w:ascii="宋体" w:hAnsi="宋体"/>
          <w:sz w:val="28"/>
          <w:szCs w:val="28"/>
          <w:highlight w:val="none"/>
        </w:rPr>
        <w:t>本次股权转让（</w:t>
      </w:r>
      <w:r>
        <w:rPr>
          <w:rFonts w:ascii="宋体" w:hAnsi="宋体"/>
          <w:sz w:val="28"/>
          <w:szCs w:val="28"/>
          <w:highlight w:val="none"/>
        </w:rPr>
        <w:t>定义见下文）</w:t>
      </w:r>
      <w:r>
        <w:rPr>
          <w:rFonts w:hint="eastAsia" w:ascii="宋体" w:hAnsi="宋体"/>
          <w:sz w:val="28"/>
          <w:szCs w:val="28"/>
          <w:highlight w:val="none"/>
        </w:rPr>
        <w:t>已经必要的内部决策和批准程序，资产评估报告已经椒江区国资委备案。</w:t>
      </w:r>
    </w:p>
    <w:bookmarkEnd w:id="31"/>
    <w:p>
      <w:pPr>
        <w:pStyle w:val="34"/>
        <w:numPr>
          <w:ilvl w:val="0"/>
          <w:numId w:val="4"/>
        </w:numPr>
        <w:ind w:left="0" w:firstLine="567" w:firstLineChars="0"/>
        <w:rPr>
          <w:rFonts w:ascii="宋体" w:hAnsi="宋体"/>
          <w:sz w:val="28"/>
          <w:szCs w:val="28"/>
          <w:highlight w:val="none"/>
        </w:rPr>
      </w:pPr>
      <w:r>
        <w:rPr>
          <w:rFonts w:hint="eastAsia" w:ascii="宋体" w:hAnsi="宋体"/>
          <w:sz w:val="28"/>
          <w:szCs w:val="28"/>
          <w:highlight w:val="none"/>
        </w:rPr>
        <w:t>甲、乙双方当事人对上述情况及本次股权转让的相关资料均已进行全面详细的了解。</w:t>
      </w:r>
    </w:p>
    <w:p>
      <w:pPr>
        <w:pStyle w:val="34"/>
        <w:numPr>
          <w:ilvl w:val="0"/>
          <w:numId w:val="4"/>
        </w:numPr>
        <w:ind w:left="0" w:firstLine="567" w:firstLineChars="0"/>
        <w:rPr>
          <w:rFonts w:ascii="宋体" w:hAnsi="宋体"/>
          <w:sz w:val="28"/>
          <w:szCs w:val="28"/>
          <w:highlight w:val="none"/>
        </w:rPr>
      </w:pPr>
      <w:r>
        <w:rPr>
          <w:rFonts w:hint="eastAsia" w:ascii="宋体" w:hAnsi="宋体"/>
          <w:sz w:val="28"/>
          <w:szCs w:val="28"/>
          <w:highlight w:val="none"/>
        </w:rPr>
        <w:t>本次股权转让，双方当事人均已被授权。</w:t>
      </w:r>
    </w:p>
    <w:p>
      <w:pPr>
        <w:tabs>
          <w:tab w:val="left" w:pos="3780"/>
        </w:tabs>
        <w:spacing w:line="360" w:lineRule="auto"/>
        <w:ind w:firstLine="560"/>
        <w:jc w:val="left"/>
        <w:rPr>
          <w:rFonts w:ascii="宋体" w:hAnsi="宋体"/>
          <w:sz w:val="28"/>
          <w:szCs w:val="28"/>
          <w:highlight w:val="none"/>
        </w:rPr>
      </w:pP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转让的标的</w:t>
      </w:r>
    </w:p>
    <w:p>
      <w:pPr>
        <w:tabs>
          <w:tab w:val="left" w:pos="3780"/>
        </w:tabs>
        <w:spacing w:line="360" w:lineRule="auto"/>
        <w:ind w:firstLine="560"/>
        <w:jc w:val="left"/>
        <w:rPr>
          <w:rFonts w:ascii="宋体" w:hAnsi="宋体"/>
          <w:i/>
          <w:sz w:val="28"/>
          <w:szCs w:val="28"/>
          <w:highlight w:val="none"/>
        </w:rPr>
      </w:pPr>
      <w:r>
        <w:rPr>
          <w:rFonts w:hint="eastAsia" w:ascii="宋体" w:hAnsi="宋体"/>
          <w:sz w:val="28"/>
          <w:szCs w:val="28"/>
          <w:highlight w:val="none"/>
        </w:rPr>
        <w:t>甲方将持有的海正博锐</w:t>
      </w:r>
      <w:r>
        <w:rPr>
          <w:rFonts w:ascii="宋体" w:hAnsi="宋体"/>
          <w:sz w:val="28"/>
          <w:szCs w:val="28"/>
          <w:highlight w:val="none"/>
        </w:rPr>
        <w:t>40.3410%</w:t>
      </w:r>
      <w:r>
        <w:rPr>
          <w:rFonts w:hint="eastAsia" w:ascii="宋体" w:hAnsi="宋体"/>
          <w:sz w:val="28"/>
          <w:szCs w:val="28"/>
          <w:highlight w:val="none"/>
        </w:rPr>
        <w:t>股权（对应注册资本人民币</w:t>
      </w:r>
      <w:r>
        <w:rPr>
          <w:rFonts w:ascii="宋体" w:hAnsi="宋体"/>
          <w:sz w:val="28"/>
          <w:szCs w:val="28"/>
          <w:highlight w:val="none"/>
        </w:rPr>
        <w:t>201,705,000</w:t>
      </w:r>
      <w:r>
        <w:rPr>
          <w:rFonts w:hint="eastAsia" w:ascii="宋体" w:hAnsi="宋体"/>
          <w:sz w:val="28"/>
          <w:szCs w:val="28"/>
          <w:highlight w:val="none"/>
        </w:rPr>
        <w:t>元，“转让标的”）有偿转让给乙方（</w:t>
      </w:r>
      <w:r>
        <w:rPr>
          <w:rFonts w:ascii="宋体" w:hAnsi="宋体"/>
          <w:sz w:val="28"/>
          <w:szCs w:val="28"/>
          <w:highlight w:val="none"/>
        </w:rPr>
        <w:t>“本次股权转让”）</w:t>
      </w:r>
      <w:r>
        <w:rPr>
          <w:rFonts w:hint="eastAsia" w:ascii="宋体" w:hAnsi="宋体"/>
          <w:sz w:val="28"/>
          <w:szCs w:val="28"/>
          <w:highlight w:val="none"/>
        </w:rPr>
        <w:t>。</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转让标的企业涉及的职工安置</w:t>
      </w:r>
    </w:p>
    <w:p>
      <w:pPr>
        <w:tabs>
          <w:tab w:val="left" w:pos="3780"/>
        </w:tabs>
        <w:spacing w:line="360" w:lineRule="auto"/>
        <w:ind w:firstLine="560"/>
        <w:jc w:val="left"/>
        <w:rPr>
          <w:rFonts w:ascii="宋体" w:hAnsi="宋体"/>
          <w:b/>
          <w:sz w:val="28"/>
          <w:szCs w:val="28"/>
          <w:highlight w:val="none"/>
        </w:rPr>
      </w:pPr>
      <w:r>
        <w:rPr>
          <w:rFonts w:hint="eastAsia" w:ascii="宋体" w:hAnsi="宋体"/>
          <w:sz w:val="28"/>
          <w:szCs w:val="28"/>
          <w:highlight w:val="none"/>
        </w:rPr>
        <w:t>本次股权转让完成后，职工的劳动合同继续有效，其劳动关系、社会保险及住房公积金关系保持不变。</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转让标的企业涉及的债权、债务的承继和清偿办法。</w:t>
      </w:r>
    </w:p>
    <w:p>
      <w:pPr>
        <w:tabs>
          <w:tab w:val="left" w:pos="1620"/>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本次股权转让后，海正博锐的法人主体未发生变化，为依法存续的有限责任公司。故此，其所有债权、债务依然由海正博锐承继。</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股权转让方式</w:t>
      </w:r>
    </w:p>
    <w:p>
      <w:pPr>
        <w:tabs>
          <w:tab w:val="left" w:pos="3780"/>
        </w:tabs>
        <w:spacing w:line="360" w:lineRule="auto"/>
        <w:ind w:firstLine="560"/>
        <w:jc w:val="left"/>
        <w:rPr>
          <w:rFonts w:ascii="宋体" w:hAnsi="宋体"/>
          <w:sz w:val="28"/>
          <w:szCs w:val="28"/>
          <w:highlight w:val="none"/>
        </w:rPr>
      </w:pPr>
      <w:bookmarkStart w:id="32" w:name="待定10"/>
      <w:r>
        <w:rPr>
          <w:rFonts w:hint="eastAsia" w:ascii="宋体" w:hAnsi="宋体"/>
          <w:sz w:val="28"/>
          <w:szCs w:val="28"/>
          <w:highlight w:val="none"/>
        </w:rPr>
        <w:t>本次</w:t>
      </w:r>
      <w:r>
        <w:rPr>
          <w:rFonts w:ascii="宋体" w:hAnsi="宋体"/>
          <w:sz w:val="28"/>
          <w:szCs w:val="28"/>
          <w:highlight w:val="none"/>
        </w:rPr>
        <w:t>股权转让</w:t>
      </w:r>
      <w:r>
        <w:rPr>
          <w:rFonts w:hint="eastAsia" w:ascii="宋体" w:hAnsi="宋体"/>
          <w:sz w:val="28"/>
          <w:szCs w:val="28"/>
          <w:highlight w:val="none"/>
        </w:rPr>
        <w:t>按照海正博锐同步挂牌的增资项目（</w:t>
      </w:r>
      <w:r>
        <w:rPr>
          <w:rFonts w:ascii="宋体" w:hAnsi="宋体"/>
          <w:sz w:val="28"/>
          <w:szCs w:val="28"/>
          <w:highlight w:val="none"/>
        </w:rPr>
        <w:t>“本次增资”）</w:t>
      </w:r>
      <w:r>
        <w:rPr>
          <w:rFonts w:hint="eastAsia" w:ascii="宋体" w:hAnsi="宋体"/>
          <w:sz w:val="28"/>
          <w:szCs w:val="28"/>
          <w:highlight w:val="none"/>
        </w:rPr>
        <w:t>交易价格同步转让并</w:t>
      </w:r>
      <w:r>
        <w:rPr>
          <w:rFonts w:ascii="宋体" w:hAnsi="宋体"/>
          <w:sz w:val="28"/>
          <w:szCs w:val="28"/>
          <w:highlight w:val="none"/>
        </w:rPr>
        <w:t>同</w:t>
      </w:r>
      <w:r>
        <w:rPr>
          <w:rFonts w:hint="eastAsia" w:ascii="宋体" w:hAnsi="宋体"/>
          <w:sz w:val="28"/>
          <w:szCs w:val="28"/>
          <w:highlight w:val="none"/>
        </w:rPr>
        <w:t>时</w:t>
      </w:r>
      <w:r>
        <w:rPr>
          <w:rFonts w:ascii="宋体" w:hAnsi="宋体"/>
          <w:sz w:val="28"/>
          <w:szCs w:val="28"/>
          <w:highlight w:val="none"/>
        </w:rPr>
        <w:t>交割</w:t>
      </w:r>
      <w:r>
        <w:rPr>
          <w:rFonts w:hint="eastAsia" w:ascii="宋体" w:hAnsi="宋体"/>
          <w:sz w:val="28"/>
          <w:szCs w:val="28"/>
          <w:highlight w:val="none"/>
        </w:rPr>
        <w:t>。</w:t>
      </w:r>
    </w:p>
    <w:bookmarkEnd w:id="32"/>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股权转让价格</w:t>
      </w:r>
    </w:p>
    <w:p>
      <w:pPr>
        <w:tabs>
          <w:tab w:val="left" w:pos="3780"/>
        </w:tabs>
        <w:spacing w:line="360" w:lineRule="auto"/>
        <w:ind w:left="1" w:firstLine="537" w:firstLineChars="192"/>
        <w:jc w:val="left"/>
        <w:rPr>
          <w:rFonts w:ascii="宋体" w:hAnsi="宋体"/>
          <w:sz w:val="28"/>
          <w:szCs w:val="28"/>
          <w:highlight w:val="none"/>
        </w:rPr>
      </w:pPr>
      <w:r>
        <w:rPr>
          <w:rFonts w:hint="eastAsia" w:ascii="宋体" w:hAnsi="宋体"/>
          <w:sz w:val="28"/>
          <w:szCs w:val="28"/>
          <w:highlight w:val="none"/>
        </w:rPr>
        <w:t>甲方将本合同第一条规定的转让标的以人民币（大写）</w:t>
      </w:r>
      <w:r>
        <w:rPr>
          <w:rFonts w:hint="eastAsia" w:ascii="宋体" w:hAnsi="宋体"/>
          <w:sz w:val="28"/>
          <w:szCs w:val="28"/>
          <w:highlight w:val="none"/>
          <w:u w:val="single"/>
        </w:rPr>
        <w:t>【*】</w:t>
      </w:r>
      <w:r>
        <w:rPr>
          <w:rFonts w:ascii="宋体" w:hAnsi="宋体"/>
          <w:sz w:val="28"/>
          <w:szCs w:val="28"/>
          <w:highlight w:val="none"/>
          <w:u w:val="single"/>
        </w:rPr>
        <w:t>元</w:t>
      </w:r>
      <w:r>
        <w:rPr>
          <w:rFonts w:hint="eastAsia" w:ascii="宋体" w:hAnsi="宋体"/>
          <w:sz w:val="28"/>
          <w:szCs w:val="28"/>
          <w:highlight w:val="none"/>
        </w:rPr>
        <w:t>，（小写）￥</w:t>
      </w:r>
      <w:r>
        <w:rPr>
          <w:rFonts w:hint="eastAsia" w:ascii="宋体" w:hAnsi="宋体"/>
          <w:sz w:val="28"/>
          <w:szCs w:val="28"/>
          <w:highlight w:val="none"/>
          <w:u w:val="single"/>
        </w:rPr>
        <w:t>【*】</w:t>
      </w:r>
      <w:r>
        <w:rPr>
          <w:rFonts w:hint="eastAsia" w:ascii="宋体" w:hAnsi="宋体"/>
          <w:sz w:val="28"/>
          <w:szCs w:val="28"/>
          <w:highlight w:val="none"/>
        </w:rPr>
        <w:t>元转让给乙方。</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股权转让价款的支付方式、期限及付款条件</w:t>
      </w:r>
    </w:p>
    <w:p>
      <w:pPr>
        <w:spacing w:line="360" w:lineRule="auto"/>
        <w:ind w:firstLine="560"/>
        <w:rPr>
          <w:rFonts w:ascii="宋体" w:hAnsi="宋体"/>
          <w:bCs/>
          <w:sz w:val="28"/>
          <w:szCs w:val="28"/>
          <w:highlight w:val="none"/>
        </w:rPr>
      </w:pPr>
      <w:r>
        <w:rPr>
          <w:rFonts w:hint="eastAsia" w:ascii="宋体" w:hAnsi="宋体"/>
          <w:sz w:val="28"/>
          <w:szCs w:val="28"/>
          <w:highlight w:val="none"/>
        </w:rPr>
        <w:t>1、乙方于本</w:t>
      </w:r>
      <w:r>
        <w:rPr>
          <w:rFonts w:ascii="宋体" w:hAnsi="宋体"/>
          <w:sz w:val="28"/>
          <w:szCs w:val="28"/>
          <w:highlight w:val="none"/>
        </w:rPr>
        <w:t>合同生效后</w:t>
      </w:r>
      <w:r>
        <w:rPr>
          <w:rFonts w:hint="eastAsia" w:ascii="宋体" w:hAnsi="宋体"/>
          <w:sz w:val="28"/>
          <w:szCs w:val="28"/>
          <w:highlight w:val="none"/>
        </w:rPr>
        <w:t>（如需相关政府主管部门批准、登记及/或备案的，则在政府主管部门批准、登记及/或备案完成后)五个工作日内，</w:t>
      </w:r>
      <w:r>
        <w:rPr>
          <w:rFonts w:ascii="宋体" w:hAnsi="宋体"/>
          <w:sz w:val="28"/>
          <w:szCs w:val="28"/>
          <w:highlight w:val="none"/>
        </w:rPr>
        <w:t>向甲方支付相当于</w:t>
      </w:r>
      <w:r>
        <w:rPr>
          <w:rFonts w:hint="eastAsia" w:ascii="宋体" w:hAnsi="宋体"/>
          <w:sz w:val="28"/>
          <w:szCs w:val="28"/>
          <w:highlight w:val="none"/>
        </w:rPr>
        <w:t>股权转让价格30% 且不</w:t>
      </w:r>
      <w:r>
        <w:rPr>
          <w:rFonts w:ascii="宋体" w:hAnsi="宋体"/>
          <w:sz w:val="28"/>
          <w:szCs w:val="28"/>
          <w:highlight w:val="none"/>
        </w:rPr>
        <w:t>低于人民币</w:t>
      </w:r>
      <w:r>
        <w:rPr>
          <w:rFonts w:hint="eastAsia" w:ascii="宋体" w:hAnsi="宋体"/>
          <w:sz w:val="28"/>
          <w:szCs w:val="28"/>
          <w:highlight w:val="none"/>
        </w:rPr>
        <w:t>758,890,099元（两者按照孰高者执行） 的首期付款；乙方先期缴纳的竞买保证金可抵作相应金额的股权转让价款。上述竞买保证金应缴入</w:t>
      </w:r>
      <w:r>
        <w:rPr>
          <w:rFonts w:hint="eastAsia" w:ascii="宋体" w:hAnsi="宋体"/>
          <w:bCs/>
          <w:sz w:val="28"/>
          <w:szCs w:val="28"/>
          <w:highlight w:val="none"/>
        </w:rPr>
        <w:t>台州市产权交易所有限公司（“产交所”）的</w:t>
      </w:r>
      <w:r>
        <w:rPr>
          <w:rFonts w:ascii="宋体" w:hAnsi="宋体"/>
          <w:bCs/>
          <w:sz w:val="28"/>
          <w:szCs w:val="28"/>
          <w:highlight w:val="none"/>
        </w:rPr>
        <w:t>以下账户：</w:t>
      </w:r>
    </w:p>
    <w:p>
      <w:pPr>
        <w:spacing w:line="360" w:lineRule="auto"/>
        <w:ind w:firstLine="560"/>
        <w:rPr>
          <w:rFonts w:ascii="宋体" w:hAnsi="宋体"/>
          <w:bCs/>
          <w:sz w:val="28"/>
          <w:szCs w:val="28"/>
          <w:highlight w:val="none"/>
        </w:rPr>
      </w:pPr>
      <w:r>
        <w:rPr>
          <w:rFonts w:hint="eastAsia" w:ascii="宋体" w:hAnsi="宋体"/>
          <w:bCs/>
          <w:sz w:val="28"/>
          <w:szCs w:val="28"/>
          <w:highlight w:val="none"/>
        </w:rPr>
        <w:t>(1)乙方</w:t>
      </w:r>
      <w:r>
        <w:rPr>
          <w:rFonts w:ascii="宋体" w:hAnsi="宋体"/>
          <w:bCs/>
          <w:sz w:val="28"/>
          <w:szCs w:val="28"/>
          <w:highlight w:val="none"/>
        </w:rPr>
        <w:t>为境内主体适用：</w:t>
      </w:r>
      <w:r>
        <w:rPr>
          <w:rFonts w:hint="eastAsia" w:ascii="宋体" w:hAnsi="宋体"/>
          <w:bCs/>
          <w:sz w:val="28"/>
          <w:szCs w:val="28"/>
          <w:highlight w:val="none"/>
        </w:rPr>
        <w:t>单位名称：台州市产权交易所有限公司，开户行：</w:t>
      </w:r>
      <w:r>
        <w:rPr>
          <w:rFonts w:ascii="宋体" w:hAnsi="宋体"/>
          <w:bCs/>
          <w:sz w:val="28"/>
          <w:szCs w:val="28"/>
          <w:highlight w:val="none"/>
        </w:rPr>
        <w:t>浙江民泰商业银行台州椒江支行</w:t>
      </w:r>
      <w:r>
        <w:rPr>
          <w:rFonts w:hint="eastAsia" w:ascii="宋体" w:hAnsi="宋体"/>
          <w:bCs/>
          <w:sz w:val="28"/>
          <w:szCs w:val="28"/>
          <w:highlight w:val="none"/>
        </w:rPr>
        <w:t>，帐号：</w:t>
      </w:r>
      <w:r>
        <w:rPr>
          <w:rFonts w:ascii="宋体" w:hAnsi="宋体"/>
          <w:bCs/>
          <w:sz w:val="28"/>
          <w:szCs w:val="28"/>
          <w:highlight w:val="none"/>
        </w:rPr>
        <w:t>5830162608000</w:t>
      </w:r>
      <w:r>
        <w:rPr>
          <w:rFonts w:hint="eastAsia" w:ascii="宋体" w:hAnsi="宋体"/>
          <w:bCs/>
          <w:sz w:val="28"/>
          <w:szCs w:val="28"/>
          <w:highlight w:val="none"/>
          <w:lang w:val="en-US" w:eastAsia="zh-CN"/>
        </w:rPr>
        <w:t>15</w:t>
      </w:r>
      <w:r>
        <w:rPr>
          <w:rFonts w:ascii="宋体" w:hAnsi="宋体"/>
          <w:bCs/>
          <w:sz w:val="28"/>
          <w:szCs w:val="28"/>
          <w:highlight w:val="none"/>
        </w:rPr>
        <w:t>。</w:t>
      </w:r>
    </w:p>
    <w:p>
      <w:pPr>
        <w:spacing w:line="360" w:lineRule="auto"/>
        <w:ind w:firstLine="560"/>
        <w:rPr>
          <w:rFonts w:ascii="宋体" w:hAnsi="宋体"/>
          <w:bCs/>
          <w:sz w:val="28"/>
          <w:szCs w:val="28"/>
          <w:highlight w:val="none"/>
        </w:rPr>
      </w:pPr>
      <w:r>
        <w:rPr>
          <w:rFonts w:hint="eastAsia" w:ascii="宋体" w:hAnsi="宋体"/>
          <w:bCs/>
          <w:sz w:val="28"/>
          <w:szCs w:val="28"/>
          <w:highlight w:val="none"/>
        </w:rPr>
        <w:t>(2)乙方</w:t>
      </w:r>
      <w:r>
        <w:rPr>
          <w:rFonts w:ascii="宋体" w:hAnsi="宋体"/>
          <w:bCs/>
          <w:sz w:val="28"/>
          <w:szCs w:val="28"/>
          <w:highlight w:val="none"/>
        </w:rPr>
        <w:t>为境外主体适用：</w:t>
      </w:r>
      <w:r>
        <w:rPr>
          <w:rFonts w:hint="eastAsia" w:ascii="宋体" w:hAnsi="宋体"/>
          <w:bCs/>
          <w:sz w:val="28"/>
          <w:szCs w:val="28"/>
          <w:highlight w:val="none"/>
        </w:rPr>
        <w:t>单位名称：台州市产权交易所有限公司，开户行：中国农业银行台州市经济开发区支行，帐号：19900101040022292。</w:t>
      </w:r>
    </w:p>
    <w:p>
      <w:pPr>
        <w:spacing w:line="360" w:lineRule="auto"/>
        <w:ind w:firstLine="560"/>
        <w:rPr>
          <w:rFonts w:ascii="宋体" w:hAnsi="宋体"/>
          <w:sz w:val="28"/>
          <w:szCs w:val="28"/>
          <w:highlight w:val="none"/>
        </w:rPr>
      </w:pPr>
      <w:r>
        <w:rPr>
          <w:rFonts w:hint="eastAsia" w:ascii="宋体" w:hAnsi="宋体"/>
          <w:sz w:val="28"/>
          <w:szCs w:val="28"/>
          <w:highlight w:val="none"/>
        </w:rPr>
        <w:t>2、甲、乙双方在本合同签订生效后五个工作日内应向台州市产权交易所有限公司的以下账户分别支付其各自应付的交易佣金：</w:t>
      </w:r>
    </w:p>
    <w:p>
      <w:pPr>
        <w:tabs>
          <w:tab w:val="left" w:pos="993"/>
        </w:tabs>
        <w:spacing w:line="360" w:lineRule="auto"/>
        <w:ind w:firstLine="565" w:firstLineChars="202"/>
        <w:rPr>
          <w:rFonts w:ascii="宋体" w:hAnsi="宋体"/>
          <w:sz w:val="28"/>
          <w:szCs w:val="28"/>
          <w:highlight w:val="none"/>
        </w:rPr>
      </w:pPr>
      <w:r>
        <w:rPr>
          <w:rFonts w:hint="eastAsia" w:ascii="宋体" w:hAnsi="宋体"/>
          <w:sz w:val="28"/>
          <w:szCs w:val="28"/>
          <w:highlight w:val="none"/>
        </w:rPr>
        <w:t>开户单位：台州市产权交易所有限公司</w:t>
      </w:r>
    </w:p>
    <w:p>
      <w:pPr>
        <w:tabs>
          <w:tab w:val="left" w:pos="993"/>
        </w:tabs>
        <w:spacing w:line="360" w:lineRule="auto"/>
        <w:ind w:firstLine="565" w:firstLineChars="202"/>
        <w:rPr>
          <w:rFonts w:ascii="宋体" w:hAnsi="宋体"/>
          <w:sz w:val="28"/>
          <w:szCs w:val="28"/>
          <w:highlight w:val="none"/>
        </w:rPr>
      </w:pPr>
      <w:r>
        <w:rPr>
          <w:rFonts w:hint="eastAsia" w:ascii="宋体" w:hAnsi="宋体"/>
          <w:sz w:val="28"/>
          <w:szCs w:val="28"/>
          <w:highlight w:val="none"/>
        </w:rPr>
        <w:t>开户行：浙江民泰商业银行台州椒江支行</w:t>
      </w:r>
    </w:p>
    <w:p>
      <w:pPr>
        <w:tabs>
          <w:tab w:val="left" w:pos="993"/>
        </w:tabs>
        <w:spacing w:line="360" w:lineRule="auto"/>
        <w:ind w:firstLine="565" w:firstLineChars="202"/>
        <w:rPr>
          <w:rFonts w:ascii="宋体" w:hAnsi="宋体"/>
          <w:sz w:val="28"/>
          <w:szCs w:val="28"/>
          <w:highlight w:val="none"/>
        </w:rPr>
      </w:pPr>
      <w:r>
        <w:rPr>
          <w:rFonts w:hint="eastAsia" w:ascii="宋体" w:hAnsi="宋体"/>
          <w:sz w:val="28"/>
          <w:szCs w:val="28"/>
          <w:highlight w:val="none"/>
        </w:rPr>
        <w:t>账号：583016260800028。</w:t>
      </w:r>
    </w:p>
    <w:p>
      <w:pPr>
        <w:spacing w:line="360" w:lineRule="auto"/>
        <w:ind w:firstLine="560"/>
        <w:rPr>
          <w:rFonts w:ascii="宋体" w:hAnsi="宋体"/>
          <w:bCs/>
          <w:sz w:val="28"/>
          <w:szCs w:val="28"/>
          <w:highlight w:val="none"/>
        </w:rPr>
      </w:pPr>
      <w:r>
        <w:rPr>
          <w:rFonts w:hint="eastAsia" w:ascii="宋体" w:hAnsi="宋体"/>
          <w:sz w:val="28"/>
          <w:szCs w:val="28"/>
          <w:highlight w:val="none"/>
        </w:rPr>
        <w:t>3、双方同意</w:t>
      </w:r>
      <w:r>
        <w:rPr>
          <w:rFonts w:ascii="宋体" w:hAnsi="宋体"/>
          <w:sz w:val="28"/>
          <w:szCs w:val="28"/>
          <w:highlight w:val="none"/>
        </w:rPr>
        <w:t>将促使</w:t>
      </w:r>
      <w:r>
        <w:rPr>
          <w:rFonts w:hint="eastAsia" w:ascii="宋体" w:hAnsi="宋体"/>
          <w:bCs/>
          <w:sz w:val="28"/>
          <w:szCs w:val="28"/>
          <w:highlight w:val="none"/>
        </w:rPr>
        <w:t>台州市产权交易所有限公司在本次股权</w:t>
      </w:r>
      <w:r>
        <w:rPr>
          <w:rFonts w:ascii="宋体" w:hAnsi="宋体"/>
          <w:bCs/>
          <w:sz w:val="28"/>
          <w:szCs w:val="28"/>
          <w:highlight w:val="none"/>
        </w:rPr>
        <w:t>转让及本次增资的</w:t>
      </w:r>
      <w:r>
        <w:rPr>
          <w:rFonts w:hint="eastAsia" w:ascii="宋体" w:hAnsi="宋体"/>
          <w:bCs/>
          <w:sz w:val="28"/>
          <w:szCs w:val="28"/>
          <w:highlight w:val="none"/>
        </w:rPr>
        <w:t>交割同时完成后五</w:t>
      </w:r>
      <w:r>
        <w:rPr>
          <w:rFonts w:ascii="宋体" w:hAnsi="宋体"/>
          <w:bCs/>
          <w:sz w:val="28"/>
          <w:szCs w:val="28"/>
          <w:highlight w:val="none"/>
        </w:rPr>
        <w:t>个工作日内向甲方汇出</w:t>
      </w:r>
      <w:r>
        <w:rPr>
          <w:rFonts w:hint="eastAsia" w:ascii="宋体" w:hAnsi="宋体"/>
          <w:bCs/>
          <w:sz w:val="28"/>
          <w:szCs w:val="28"/>
          <w:highlight w:val="none"/>
        </w:rPr>
        <w:t>竞买保证金作为</w:t>
      </w:r>
      <w:r>
        <w:rPr>
          <w:rFonts w:ascii="宋体" w:hAnsi="宋体"/>
          <w:bCs/>
          <w:sz w:val="28"/>
          <w:szCs w:val="28"/>
          <w:highlight w:val="none"/>
        </w:rPr>
        <w:t>首期付款</w:t>
      </w:r>
      <w:r>
        <w:rPr>
          <w:rFonts w:hint="eastAsia" w:ascii="宋体" w:hAnsi="宋体"/>
          <w:bCs/>
          <w:sz w:val="28"/>
          <w:szCs w:val="28"/>
          <w:highlight w:val="none"/>
        </w:rPr>
        <w:t>的</w:t>
      </w:r>
      <w:r>
        <w:rPr>
          <w:rFonts w:ascii="宋体" w:hAnsi="宋体"/>
          <w:bCs/>
          <w:sz w:val="28"/>
          <w:szCs w:val="28"/>
          <w:highlight w:val="none"/>
        </w:rPr>
        <w:t>一部分</w:t>
      </w:r>
      <w:r>
        <w:rPr>
          <w:rFonts w:hint="eastAsia" w:ascii="宋体" w:hAnsi="宋体"/>
          <w:bCs/>
          <w:sz w:val="28"/>
          <w:szCs w:val="28"/>
          <w:highlight w:val="none"/>
        </w:rPr>
        <w:t>。</w:t>
      </w:r>
    </w:p>
    <w:p>
      <w:pPr>
        <w:spacing w:line="360" w:lineRule="auto"/>
        <w:ind w:firstLine="560"/>
        <w:rPr>
          <w:rFonts w:ascii="宋体" w:hAnsi="宋体"/>
          <w:sz w:val="28"/>
          <w:szCs w:val="28"/>
          <w:highlight w:val="none"/>
        </w:rPr>
      </w:pPr>
      <w:r>
        <w:rPr>
          <w:rFonts w:hint="eastAsia" w:ascii="宋体" w:hAnsi="宋体"/>
          <w:sz w:val="28"/>
          <w:szCs w:val="28"/>
          <w:highlight w:val="none"/>
        </w:rPr>
        <w:t>4、</w:t>
      </w:r>
      <w:r>
        <w:rPr>
          <w:rFonts w:ascii="宋体" w:hAnsi="宋体"/>
          <w:sz w:val="28"/>
          <w:szCs w:val="28"/>
          <w:highlight w:val="none"/>
        </w:rPr>
        <w:t>乙方将在</w:t>
      </w:r>
      <w:r>
        <w:rPr>
          <w:rFonts w:hint="eastAsia" w:ascii="宋体" w:hAnsi="宋体"/>
          <w:sz w:val="28"/>
          <w:szCs w:val="28"/>
          <w:highlight w:val="none"/>
        </w:rPr>
        <w:t>海正博锐</w:t>
      </w:r>
      <w:r>
        <w:rPr>
          <w:rFonts w:ascii="宋体" w:hAnsi="宋体"/>
          <w:sz w:val="28"/>
          <w:szCs w:val="28"/>
          <w:highlight w:val="none"/>
        </w:rPr>
        <w:t>或其全资子公司依法获发其名下的</w:t>
      </w:r>
      <w:r>
        <w:rPr>
          <w:rFonts w:hint="eastAsia" w:ascii="宋体" w:hAnsi="宋体"/>
          <w:sz w:val="28"/>
          <w:szCs w:val="28"/>
          <w:highlight w:val="none"/>
        </w:rPr>
        <w:t>药品生产许可证及</w:t>
      </w:r>
      <w:r>
        <w:rPr>
          <w:rFonts w:ascii="宋体" w:hAnsi="宋体"/>
          <w:sz w:val="28"/>
          <w:szCs w:val="28"/>
          <w:highlight w:val="none"/>
        </w:rPr>
        <w:t>安佰诺药品注册证且收到</w:t>
      </w:r>
      <w:r>
        <w:rPr>
          <w:rFonts w:hint="eastAsia" w:ascii="宋体" w:hAnsi="宋体"/>
          <w:sz w:val="28"/>
          <w:szCs w:val="28"/>
          <w:highlight w:val="none"/>
        </w:rPr>
        <w:t>海正博锐</w:t>
      </w:r>
      <w:r>
        <w:rPr>
          <w:rFonts w:ascii="宋体" w:hAnsi="宋体"/>
          <w:sz w:val="28"/>
          <w:szCs w:val="28"/>
          <w:highlight w:val="none"/>
        </w:rPr>
        <w:t>书面通知后10个工作日内，向甲方支付第二期股权转让价款</w:t>
      </w:r>
      <w:r>
        <w:rPr>
          <w:rFonts w:hint="eastAsia" w:ascii="宋体" w:hAnsi="宋体"/>
          <w:sz w:val="28"/>
          <w:szCs w:val="28"/>
          <w:highlight w:val="none"/>
        </w:rPr>
        <w:t>，第二期股权转让价款</w:t>
      </w:r>
      <w:r>
        <w:rPr>
          <w:rFonts w:ascii="宋体" w:hAnsi="宋体"/>
          <w:sz w:val="28"/>
          <w:szCs w:val="28"/>
          <w:highlight w:val="none"/>
        </w:rPr>
        <w:t>为人民币998,539,604元（减）首期付款，但如果首期付款已经超过人民币998,539,604元，则第二期股权转让价款应等同于零</w:t>
      </w:r>
      <w:r>
        <w:rPr>
          <w:rFonts w:hint="eastAsia" w:ascii="宋体" w:hAnsi="宋体"/>
          <w:sz w:val="28"/>
          <w:szCs w:val="28"/>
          <w:highlight w:val="none"/>
        </w:rPr>
        <w:t>元</w:t>
      </w:r>
      <w:r>
        <w:rPr>
          <w:rFonts w:ascii="宋体" w:hAnsi="宋体"/>
          <w:sz w:val="28"/>
          <w:szCs w:val="28"/>
          <w:highlight w:val="none"/>
        </w:rPr>
        <w:t>。</w:t>
      </w:r>
    </w:p>
    <w:p>
      <w:pPr>
        <w:spacing w:line="360" w:lineRule="auto"/>
        <w:ind w:firstLine="560"/>
        <w:rPr>
          <w:rFonts w:ascii="宋体" w:hAnsi="宋体"/>
          <w:sz w:val="28"/>
          <w:szCs w:val="28"/>
          <w:highlight w:val="none"/>
        </w:rPr>
      </w:pPr>
      <w:r>
        <w:rPr>
          <w:rFonts w:hint="eastAsia" w:ascii="宋体" w:hAnsi="宋体"/>
          <w:sz w:val="28"/>
          <w:szCs w:val="28"/>
          <w:highlight w:val="none"/>
        </w:rPr>
        <w:t>5、乙方将在海正</w:t>
      </w:r>
      <w:r>
        <w:rPr>
          <w:rFonts w:ascii="宋体" w:hAnsi="宋体"/>
          <w:sz w:val="28"/>
          <w:szCs w:val="28"/>
          <w:highlight w:val="none"/>
        </w:rPr>
        <w:t>博锐或其全资子公司</w:t>
      </w:r>
      <w:r>
        <w:rPr>
          <w:rFonts w:hint="eastAsia" w:ascii="宋体" w:hAnsi="宋体"/>
          <w:sz w:val="28"/>
          <w:szCs w:val="28"/>
          <w:highlight w:val="none"/>
        </w:rPr>
        <w:t>依法获发其名下的阿达木单抗药品注册证且收到海正</w:t>
      </w:r>
      <w:r>
        <w:rPr>
          <w:rFonts w:ascii="宋体" w:hAnsi="宋体"/>
          <w:sz w:val="28"/>
          <w:szCs w:val="28"/>
          <w:highlight w:val="none"/>
        </w:rPr>
        <w:t>博锐</w:t>
      </w:r>
      <w:r>
        <w:rPr>
          <w:rFonts w:hint="eastAsia" w:ascii="宋体" w:hAnsi="宋体"/>
          <w:sz w:val="28"/>
          <w:szCs w:val="28"/>
          <w:highlight w:val="none"/>
        </w:rPr>
        <w:t>书面通知后20个工作日内，向甲方支付第三期股权转让价款，第三期股权转让价款应等同于人民币1,397,955,446元（减）首期付款及第二期付款，但如果首期付款及第二期付款已经超过人民币1,397,955,446元，则第三期股权转让价款应等同于零元。</w:t>
      </w:r>
    </w:p>
    <w:p>
      <w:pPr>
        <w:spacing w:line="360" w:lineRule="auto"/>
        <w:ind w:firstLine="560"/>
        <w:rPr>
          <w:rFonts w:ascii="宋体" w:hAnsi="宋体"/>
          <w:sz w:val="28"/>
          <w:szCs w:val="28"/>
          <w:highlight w:val="none"/>
        </w:rPr>
      </w:pPr>
      <w:r>
        <w:rPr>
          <w:rFonts w:hint="eastAsia" w:ascii="宋体" w:hAnsi="宋体"/>
          <w:sz w:val="28"/>
          <w:szCs w:val="28"/>
          <w:highlight w:val="none"/>
        </w:rPr>
        <w:t>6、其余价款应在产权交易合同生效后届满1周年的</w:t>
      </w:r>
      <w:r>
        <w:rPr>
          <w:rFonts w:ascii="宋体" w:hAnsi="宋体"/>
          <w:sz w:val="28"/>
          <w:szCs w:val="28"/>
          <w:highlight w:val="none"/>
        </w:rPr>
        <w:t>当日(如果当日为非工作日的，则自动提前到</w:t>
      </w:r>
      <w:r>
        <w:rPr>
          <w:rFonts w:hint="eastAsia" w:ascii="宋体" w:hAnsi="宋体"/>
          <w:sz w:val="28"/>
          <w:szCs w:val="28"/>
          <w:highlight w:val="none"/>
        </w:rPr>
        <w:t>产权交易</w:t>
      </w:r>
      <w:r>
        <w:rPr>
          <w:rFonts w:ascii="宋体" w:hAnsi="宋体"/>
          <w:sz w:val="28"/>
          <w:szCs w:val="28"/>
          <w:highlight w:val="none"/>
        </w:rPr>
        <w:t>合同生效日届满一周年前的最后一个工作日)</w:t>
      </w:r>
      <w:r>
        <w:rPr>
          <w:rFonts w:hint="eastAsia" w:ascii="宋体" w:hAnsi="宋体"/>
          <w:sz w:val="28"/>
          <w:szCs w:val="28"/>
          <w:highlight w:val="none"/>
        </w:rPr>
        <w:t>付清。</w:t>
      </w:r>
    </w:p>
    <w:p>
      <w:pPr>
        <w:spacing w:line="360" w:lineRule="auto"/>
        <w:ind w:firstLine="560"/>
        <w:rPr>
          <w:rFonts w:ascii="宋体" w:hAnsi="宋体"/>
          <w:bCs/>
          <w:sz w:val="28"/>
          <w:szCs w:val="28"/>
          <w:highlight w:val="none"/>
        </w:rPr>
      </w:pPr>
      <w:r>
        <w:rPr>
          <w:rFonts w:hint="eastAsia" w:ascii="宋体" w:hAnsi="宋体"/>
          <w:bCs/>
          <w:sz w:val="28"/>
          <w:szCs w:val="28"/>
          <w:highlight w:val="none"/>
        </w:rPr>
        <w:t>7、乙方在向甲方支付第二期股权转让价款、第三期股权转让价款及至第四期股权转让价款时，应当按照中国人民银行同期贷款利率向甲方支付该笔延期付款期间的相应股权转让价款的利息（自首期付款之日起至乙方支付该笔股权转让价款之日止）。</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股权交割事项</w:t>
      </w:r>
    </w:p>
    <w:p>
      <w:pPr>
        <w:pStyle w:val="34"/>
        <w:numPr>
          <w:ilvl w:val="0"/>
          <w:numId w:val="6"/>
        </w:numPr>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双方应当促使</w:t>
      </w:r>
      <w:r>
        <w:rPr>
          <w:rFonts w:ascii="宋体" w:hAnsi="宋体"/>
          <w:sz w:val="28"/>
          <w:szCs w:val="28"/>
          <w:highlight w:val="none"/>
        </w:rPr>
        <w:t>海正博锐</w:t>
      </w:r>
      <w:r>
        <w:rPr>
          <w:rFonts w:hint="eastAsia" w:ascii="宋体" w:hAnsi="宋体"/>
          <w:sz w:val="28"/>
          <w:szCs w:val="28"/>
          <w:highlight w:val="none"/>
        </w:rPr>
        <w:t>在乙方向产交所缴纳竞买保证金，且产交所出具本次股权</w:t>
      </w:r>
      <w:r>
        <w:rPr>
          <w:rFonts w:ascii="宋体" w:hAnsi="宋体"/>
          <w:sz w:val="28"/>
          <w:szCs w:val="28"/>
          <w:highlight w:val="none"/>
        </w:rPr>
        <w:t>转让及</w:t>
      </w:r>
      <w:r>
        <w:rPr>
          <w:rFonts w:hint="eastAsia" w:ascii="宋体" w:hAnsi="宋体"/>
          <w:sz w:val="28"/>
          <w:szCs w:val="28"/>
          <w:highlight w:val="none"/>
        </w:rPr>
        <w:t>本次</w:t>
      </w:r>
      <w:r>
        <w:rPr>
          <w:rFonts w:ascii="宋体" w:hAnsi="宋体"/>
          <w:sz w:val="28"/>
          <w:szCs w:val="28"/>
          <w:highlight w:val="none"/>
        </w:rPr>
        <w:t>增资的</w:t>
      </w:r>
      <w:r>
        <w:rPr>
          <w:rFonts w:hint="eastAsia" w:ascii="宋体" w:hAnsi="宋体"/>
          <w:sz w:val="28"/>
          <w:szCs w:val="28"/>
          <w:highlight w:val="none"/>
        </w:rPr>
        <w:t>《产权交易凭证》后五个工作日内同时办理本次股权</w:t>
      </w:r>
      <w:r>
        <w:rPr>
          <w:rFonts w:ascii="宋体" w:hAnsi="宋体"/>
          <w:sz w:val="28"/>
          <w:szCs w:val="28"/>
          <w:highlight w:val="none"/>
        </w:rPr>
        <w:t>转让及本次增资的</w:t>
      </w:r>
      <w:r>
        <w:rPr>
          <w:rFonts w:hint="eastAsia" w:ascii="宋体" w:hAnsi="宋体"/>
          <w:sz w:val="28"/>
          <w:szCs w:val="28"/>
          <w:highlight w:val="none"/>
        </w:rPr>
        <w:t>权证变更</w:t>
      </w:r>
      <w:r>
        <w:rPr>
          <w:rFonts w:ascii="宋体" w:hAnsi="宋体"/>
          <w:sz w:val="28"/>
          <w:szCs w:val="28"/>
          <w:highlight w:val="none"/>
        </w:rPr>
        <w:t>手续，</w:t>
      </w:r>
      <w:r>
        <w:rPr>
          <w:rFonts w:hint="eastAsia" w:ascii="宋体" w:hAnsi="宋体"/>
          <w:sz w:val="28"/>
          <w:szCs w:val="28"/>
          <w:highlight w:val="none"/>
        </w:rPr>
        <w:t>双方</w:t>
      </w:r>
      <w:r>
        <w:rPr>
          <w:rFonts w:ascii="宋体" w:hAnsi="宋体"/>
          <w:sz w:val="28"/>
          <w:szCs w:val="28"/>
          <w:highlight w:val="none"/>
        </w:rPr>
        <w:t>并在获发</w:t>
      </w:r>
      <w:r>
        <w:rPr>
          <w:rFonts w:hint="eastAsia" w:ascii="宋体" w:hAnsi="宋体"/>
          <w:sz w:val="28"/>
          <w:szCs w:val="28"/>
          <w:highlight w:val="none"/>
        </w:rPr>
        <w:t>反映本次股权</w:t>
      </w:r>
      <w:r>
        <w:rPr>
          <w:rFonts w:ascii="宋体" w:hAnsi="宋体"/>
          <w:sz w:val="28"/>
          <w:szCs w:val="28"/>
          <w:highlight w:val="none"/>
        </w:rPr>
        <w:t>转让及本次增资的</w:t>
      </w:r>
      <w:r>
        <w:rPr>
          <w:rFonts w:hint="eastAsia" w:ascii="宋体" w:hAnsi="宋体"/>
          <w:sz w:val="28"/>
          <w:szCs w:val="28"/>
          <w:highlight w:val="none"/>
        </w:rPr>
        <w:t>新</w:t>
      </w:r>
      <w:r>
        <w:rPr>
          <w:rFonts w:ascii="宋体" w:hAnsi="宋体"/>
          <w:sz w:val="28"/>
          <w:szCs w:val="28"/>
          <w:highlight w:val="none"/>
        </w:rPr>
        <w:t>营业执照之日</w:t>
      </w:r>
      <w:r>
        <w:rPr>
          <w:rFonts w:hint="eastAsia" w:ascii="宋体" w:hAnsi="宋体"/>
          <w:sz w:val="28"/>
          <w:szCs w:val="28"/>
          <w:highlight w:val="none"/>
        </w:rPr>
        <w:t>（</w:t>
      </w:r>
      <w:r>
        <w:rPr>
          <w:rFonts w:ascii="宋体" w:hAnsi="宋体"/>
          <w:sz w:val="28"/>
          <w:szCs w:val="28"/>
          <w:highlight w:val="none"/>
        </w:rPr>
        <w:t>“交割日”）</w:t>
      </w:r>
      <w:r>
        <w:rPr>
          <w:rFonts w:hint="eastAsia" w:ascii="宋体" w:hAnsi="宋体"/>
          <w:sz w:val="28"/>
          <w:szCs w:val="28"/>
          <w:highlight w:val="none"/>
        </w:rPr>
        <w:t>后</w:t>
      </w:r>
      <w:r>
        <w:rPr>
          <w:rFonts w:ascii="宋体" w:hAnsi="宋体"/>
          <w:sz w:val="28"/>
          <w:szCs w:val="28"/>
          <w:highlight w:val="none"/>
        </w:rPr>
        <w:t>二个工作日内</w:t>
      </w:r>
      <w:r>
        <w:rPr>
          <w:rFonts w:hint="eastAsia" w:ascii="宋体" w:hAnsi="宋体"/>
          <w:sz w:val="28"/>
          <w:szCs w:val="28"/>
          <w:highlight w:val="none"/>
        </w:rPr>
        <w:t>，办理股权交接手续。</w:t>
      </w:r>
    </w:p>
    <w:p>
      <w:pPr>
        <w:pStyle w:val="34"/>
        <w:numPr>
          <w:ilvl w:val="0"/>
          <w:numId w:val="6"/>
        </w:numPr>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本次</w:t>
      </w:r>
      <w:r>
        <w:rPr>
          <w:rFonts w:hint="eastAsia" w:ascii="宋体" w:hAnsi="宋体"/>
          <w:bCs/>
          <w:sz w:val="28"/>
          <w:szCs w:val="28"/>
          <w:highlight w:val="none"/>
        </w:rPr>
        <w:t>股权转让评估基准日（201</w:t>
      </w:r>
      <w:r>
        <w:rPr>
          <w:rFonts w:ascii="宋体" w:hAnsi="宋体"/>
          <w:bCs/>
          <w:sz w:val="28"/>
          <w:szCs w:val="28"/>
          <w:highlight w:val="none"/>
        </w:rPr>
        <w:t>9</w:t>
      </w:r>
      <w:r>
        <w:rPr>
          <w:rFonts w:hint="eastAsia" w:ascii="宋体" w:hAnsi="宋体"/>
          <w:bCs/>
          <w:sz w:val="28"/>
          <w:szCs w:val="28"/>
          <w:highlight w:val="none"/>
        </w:rPr>
        <w:t>年4月30日）至本次股权转让交割日期间，标的企业经营损益不再进行审计清算，由乙方按股权比例享有或承担</w:t>
      </w:r>
      <w:r>
        <w:rPr>
          <w:rFonts w:hint="eastAsia" w:ascii="宋体" w:hAnsi="宋体"/>
          <w:sz w:val="28"/>
          <w:szCs w:val="28"/>
          <w:highlight w:val="none"/>
        </w:rPr>
        <w:t>。</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权证的变更</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甲乙双方协商和共同配合，由甲方促使</w:t>
      </w:r>
      <w:r>
        <w:rPr>
          <w:rFonts w:ascii="宋体" w:hAnsi="宋体"/>
          <w:sz w:val="28"/>
          <w:szCs w:val="28"/>
          <w:highlight w:val="none"/>
        </w:rPr>
        <w:t>海正博锐</w:t>
      </w:r>
      <w:r>
        <w:rPr>
          <w:rFonts w:hint="eastAsia" w:ascii="宋体" w:hAnsi="宋体"/>
          <w:sz w:val="28"/>
          <w:szCs w:val="28"/>
          <w:highlight w:val="none"/>
        </w:rPr>
        <w:t>完成本次股权转让及</w:t>
      </w:r>
      <w:r>
        <w:rPr>
          <w:rFonts w:ascii="宋体" w:hAnsi="宋体"/>
          <w:sz w:val="28"/>
          <w:szCs w:val="28"/>
          <w:highlight w:val="none"/>
        </w:rPr>
        <w:t>本次增资</w:t>
      </w:r>
      <w:r>
        <w:rPr>
          <w:rFonts w:hint="eastAsia" w:ascii="宋体" w:hAnsi="宋体"/>
          <w:sz w:val="28"/>
          <w:szCs w:val="28"/>
          <w:highlight w:val="none"/>
        </w:rPr>
        <w:t>的权证变更手续。</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股权转让的税收和费用</w:t>
      </w:r>
    </w:p>
    <w:p>
      <w:pPr>
        <w:pStyle w:val="34"/>
        <w:numPr>
          <w:ilvl w:val="0"/>
          <w:numId w:val="7"/>
        </w:numPr>
        <w:tabs>
          <w:tab w:val="left" w:pos="709"/>
        </w:tabs>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本次股权转让中涉及的有关税收，按照国家有关法律规定缴纳。</w:t>
      </w:r>
    </w:p>
    <w:p>
      <w:pPr>
        <w:pStyle w:val="34"/>
        <w:numPr>
          <w:ilvl w:val="0"/>
          <w:numId w:val="7"/>
        </w:numPr>
        <w:tabs>
          <w:tab w:val="left" w:pos="709"/>
        </w:tabs>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本次股权转让中涉及的交易佣金由甲、乙双方各自承担。</w:t>
      </w:r>
    </w:p>
    <w:p>
      <w:pPr>
        <w:pStyle w:val="34"/>
        <w:numPr>
          <w:ilvl w:val="0"/>
          <w:numId w:val="7"/>
        </w:numPr>
        <w:tabs>
          <w:tab w:val="left" w:pos="709"/>
        </w:tabs>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权证变更涉及的有关费用，由海正博锐承担。</w:t>
      </w:r>
    </w:p>
    <w:p>
      <w:pPr>
        <w:pStyle w:val="34"/>
        <w:numPr>
          <w:ilvl w:val="0"/>
          <w:numId w:val="5"/>
        </w:numPr>
        <w:tabs>
          <w:tab w:val="left" w:pos="3780"/>
        </w:tabs>
        <w:spacing w:line="360" w:lineRule="auto"/>
        <w:ind w:firstLineChars="0"/>
        <w:jc w:val="left"/>
        <w:rPr>
          <w:rFonts w:ascii="宋体" w:hAnsi="宋体"/>
          <w:b/>
          <w:sz w:val="28"/>
          <w:szCs w:val="28"/>
          <w:highlight w:val="none"/>
        </w:rPr>
      </w:pPr>
      <w:r>
        <w:rPr>
          <w:rFonts w:hint="eastAsia" w:ascii="宋体" w:hAnsi="宋体"/>
          <w:b/>
          <w:sz w:val="28"/>
          <w:szCs w:val="28"/>
          <w:highlight w:val="none"/>
        </w:rPr>
        <w:t>甲、乙双方的承诺</w:t>
      </w:r>
    </w:p>
    <w:p>
      <w:pPr>
        <w:pStyle w:val="34"/>
        <w:numPr>
          <w:ilvl w:val="0"/>
          <w:numId w:val="8"/>
        </w:numPr>
        <w:tabs>
          <w:tab w:val="left" w:pos="709"/>
        </w:tabs>
        <w:spacing w:line="360" w:lineRule="auto"/>
        <w:ind w:firstLineChars="0"/>
        <w:jc w:val="left"/>
        <w:rPr>
          <w:rFonts w:ascii="宋体" w:hAnsi="宋体"/>
          <w:sz w:val="28"/>
          <w:szCs w:val="28"/>
          <w:highlight w:val="none"/>
        </w:rPr>
      </w:pPr>
      <w:r>
        <w:rPr>
          <w:rFonts w:hint="eastAsia" w:ascii="宋体" w:hAnsi="宋体"/>
          <w:sz w:val="28"/>
          <w:szCs w:val="28"/>
          <w:highlight w:val="none"/>
        </w:rPr>
        <w:t>甲方的承诺：</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1）对转让标的拥有合法、有效的处分权，并按国家相关法律、法规取得有效转让批准；</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2）为签订本合同之前的所提交的各项证明文件及资料均为真实、完整的；</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3）签订本合同所需的包括但不限于授权、审批、公司内部决策等在内的一切批准手续均已合法取得，本合同成立的前提条件均已满足；</w:t>
      </w:r>
    </w:p>
    <w:p>
      <w:pPr>
        <w:pStyle w:val="34"/>
        <w:numPr>
          <w:ilvl w:val="0"/>
          <w:numId w:val="8"/>
        </w:numPr>
        <w:tabs>
          <w:tab w:val="left" w:pos="709"/>
        </w:tabs>
        <w:spacing w:line="360" w:lineRule="auto"/>
        <w:ind w:firstLineChars="0"/>
        <w:jc w:val="left"/>
        <w:rPr>
          <w:rFonts w:ascii="宋体" w:hAnsi="宋体"/>
          <w:sz w:val="28"/>
          <w:szCs w:val="28"/>
          <w:highlight w:val="none"/>
        </w:rPr>
      </w:pPr>
      <w:r>
        <w:rPr>
          <w:rFonts w:hint="eastAsia" w:ascii="宋体" w:hAnsi="宋体"/>
          <w:sz w:val="28"/>
          <w:szCs w:val="28"/>
          <w:highlight w:val="none"/>
        </w:rPr>
        <w:t>乙方的承诺：</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1）拥有完全的权利和行为能力进行股权受让，无欺诈行为；</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2）签订本合同所需的各项授权、审批以及内部决策等在内的一切批准手续均已合法取得；</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3）受让转让标的没有违反对受让方具有约束力的合同、协议等所有法律文书；</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4）乙方保证按本合同之约定支付股权转让价款。</w:t>
      </w:r>
    </w:p>
    <w:p>
      <w:pPr>
        <w:pStyle w:val="34"/>
        <w:numPr>
          <w:ilvl w:val="0"/>
          <w:numId w:val="5"/>
        </w:numPr>
        <w:tabs>
          <w:tab w:val="left" w:pos="3780"/>
        </w:tabs>
        <w:spacing w:line="360" w:lineRule="auto"/>
        <w:ind w:left="1843" w:hanging="1281" w:firstLineChars="0"/>
        <w:jc w:val="left"/>
        <w:rPr>
          <w:rFonts w:ascii="宋体" w:hAnsi="宋体"/>
          <w:b/>
          <w:sz w:val="28"/>
          <w:szCs w:val="28"/>
          <w:highlight w:val="none"/>
        </w:rPr>
      </w:pPr>
      <w:r>
        <w:rPr>
          <w:rFonts w:hint="eastAsia" w:ascii="宋体" w:hAnsi="宋体"/>
          <w:b/>
          <w:sz w:val="28"/>
          <w:szCs w:val="28"/>
          <w:highlight w:val="none"/>
        </w:rPr>
        <w:t>违约责任</w:t>
      </w:r>
    </w:p>
    <w:p>
      <w:pPr>
        <w:ind w:firstLine="560"/>
        <w:rPr>
          <w:rFonts w:ascii="宋体" w:hAnsi="宋体"/>
          <w:sz w:val="28"/>
          <w:szCs w:val="28"/>
          <w:highlight w:val="none"/>
        </w:rPr>
      </w:pPr>
      <w:r>
        <w:rPr>
          <w:rFonts w:hint="eastAsia" w:ascii="宋体" w:hAnsi="宋体"/>
          <w:sz w:val="28"/>
          <w:szCs w:val="28"/>
          <w:highlight w:val="none"/>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34"/>
        <w:numPr>
          <w:ilvl w:val="0"/>
          <w:numId w:val="9"/>
        </w:numPr>
        <w:tabs>
          <w:tab w:val="left" w:pos="709"/>
        </w:tabs>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甲方应按合同约定履行交付转让标的义务，涉及权属变更登记的应当及时协助并</w:t>
      </w:r>
      <w:r>
        <w:rPr>
          <w:rFonts w:ascii="宋体" w:hAnsi="宋体"/>
          <w:sz w:val="28"/>
          <w:szCs w:val="28"/>
          <w:highlight w:val="none"/>
        </w:rPr>
        <w:t>促使</w:t>
      </w:r>
      <w:r>
        <w:rPr>
          <w:rFonts w:hint="eastAsia" w:ascii="宋体" w:hAnsi="宋体"/>
          <w:sz w:val="28"/>
          <w:szCs w:val="28"/>
          <w:highlight w:val="none"/>
        </w:rPr>
        <w:t>海正博锐办理。如因甲方原因导致逾期交付或迟延办理权属变更登记的，则应自逾期之日起至实际交付或办理之日止按乙方已</w:t>
      </w:r>
      <w:r>
        <w:rPr>
          <w:rFonts w:ascii="宋体" w:hAnsi="宋体"/>
          <w:sz w:val="28"/>
          <w:szCs w:val="28"/>
          <w:highlight w:val="none"/>
        </w:rPr>
        <w:t>支付的股权</w:t>
      </w:r>
      <w:r>
        <w:rPr>
          <w:rFonts w:hint="eastAsia" w:ascii="宋体" w:hAnsi="宋体"/>
          <w:sz w:val="28"/>
          <w:szCs w:val="28"/>
          <w:highlight w:val="none"/>
        </w:rPr>
        <w:t>转让</w:t>
      </w:r>
      <w:r>
        <w:rPr>
          <w:rFonts w:ascii="宋体" w:hAnsi="宋体"/>
          <w:sz w:val="28"/>
          <w:szCs w:val="28"/>
          <w:highlight w:val="none"/>
        </w:rPr>
        <w:t>价款</w:t>
      </w:r>
      <w:r>
        <w:rPr>
          <w:rFonts w:hint="eastAsia" w:ascii="宋体" w:hAnsi="宋体"/>
          <w:sz w:val="28"/>
          <w:szCs w:val="28"/>
          <w:highlight w:val="none"/>
        </w:rPr>
        <w:t>的日</w:t>
      </w:r>
      <w:r>
        <w:rPr>
          <w:rFonts w:hint="eastAsia" w:ascii="宋体" w:hAnsi="宋体"/>
          <w:sz w:val="28"/>
          <w:szCs w:val="28"/>
          <w:highlight w:val="none"/>
          <w:u w:val="single"/>
        </w:rPr>
        <w:t>0.0</w:t>
      </w:r>
      <w:r>
        <w:rPr>
          <w:rFonts w:ascii="宋体" w:hAnsi="宋体"/>
          <w:sz w:val="28"/>
          <w:szCs w:val="28"/>
          <w:highlight w:val="none"/>
          <w:u w:val="single"/>
        </w:rPr>
        <w:t>3</w:t>
      </w:r>
      <w:r>
        <w:rPr>
          <w:rFonts w:hint="eastAsia" w:ascii="宋体" w:hAnsi="宋体"/>
          <w:sz w:val="28"/>
          <w:szCs w:val="28"/>
          <w:highlight w:val="none"/>
          <w:u w:val="single"/>
        </w:rPr>
        <w:t>%</w:t>
      </w:r>
      <w:r>
        <w:rPr>
          <w:rFonts w:hint="eastAsia" w:ascii="宋体" w:hAnsi="宋体"/>
          <w:sz w:val="28"/>
          <w:szCs w:val="28"/>
          <w:highlight w:val="none"/>
        </w:rPr>
        <w:t>向乙方支付违约金。</w:t>
      </w:r>
    </w:p>
    <w:p>
      <w:pPr>
        <w:pStyle w:val="34"/>
        <w:numPr>
          <w:ilvl w:val="0"/>
          <w:numId w:val="9"/>
        </w:numPr>
        <w:tabs>
          <w:tab w:val="left" w:pos="709"/>
        </w:tabs>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出现下列情形，视为根本性违约，守约方可解除合同并要求违约方承担股权转让价款30%的违约金，对所造成的实际损失违约方应当另行承担赔偿责任：</w:t>
      </w:r>
    </w:p>
    <w:p>
      <w:pPr>
        <w:tabs>
          <w:tab w:val="left" w:pos="3780"/>
        </w:tabs>
        <w:spacing w:line="360" w:lineRule="auto"/>
        <w:ind w:firstLine="560"/>
        <w:jc w:val="left"/>
        <w:rPr>
          <w:rFonts w:ascii="宋体" w:hAnsi="宋体"/>
          <w:i/>
          <w:sz w:val="28"/>
          <w:szCs w:val="28"/>
          <w:highlight w:val="none"/>
        </w:rPr>
      </w:pPr>
      <w:r>
        <w:rPr>
          <w:rFonts w:hint="eastAsia" w:ascii="宋体" w:hAnsi="宋体"/>
          <w:sz w:val="28"/>
          <w:szCs w:val="28"/>
          <w:highlight w:val="none"/>
        </w:rPr>
        <w:t>任何一方当事人违反法律或本合同约定导致本合同原先商业目的不能实现的。</w:t>
      </w:r>
    </w:p>
    <w:p>
      <w:pPr>
        <w:pStyle w:val="34"/>
        <w:numPr>
          <w:ilvl w:val="0"/>
          <w:numId w:val="9"/>
        </w:numPr>
        <w:tabs>
          <w:tab w:val="left" w:pos="709"/>
        </w:tabs>
        <w:spacing w:line="360" w:lineRule="auto"/>
        <w:ind w:left="0" w:firstLine="567" w:firstLineChars="0"/>
        <w:jc w:val="left"/>
        <w:rPr>
          <w:rFonts w:ascii="宋体" w:hAnsi="宋体"/>
          <w:sz w:val="28"/>
          <w:szCs w:val="28"/>
          <w:highlight w:val="none"/>
        </w:rPr>
      </w:pPr>
      <w:r>
        <w:rPr>
          <w:rFonts w:hint="eastAsia" w:ascii="宋体" w:hAnsi="宋体"/>
          <w:sz w:val="28"/>
          <w:szCs w:val="28"/>
          <w:highlight w:val="none"/>
        </w:rPr>
        <w:t>由于一方的过错造成本合同被认定为无效时，由过错的一方承担违约责任，双方均有过错，则由双方按责任大小承担各自相应的责任。</w:t>
      </w:r>
    </w:p>
    <w:p>
      <w:pPr>
        <w:pStyle w:val="34"/>
        <w:numPr>
          <w:ilvl w:val="0"/>
          <w:numId w:val="5"/>
        </w:numPr>
        <w:tabs>
          <w:tab w:val="left" w:pos="3780"/>
        </w:tabs>
        <w:spacing w:line="360" w:lineRule="auto"/>
        <w:ind w:left="1843" w:hanging="1281" w:firstLineChars="0"/>
        <w:jc w:val="left"/>
        <w:rPr>
          <w:rFonts w:ascii="宋体" w:hAnsi="宋体"/>
          <w:b/>
          <w:sz w:val="28"/>
          <w:szCs w:val="28"/>
          <w:highlight w:val="none"/>
        </w:rPr>
      </w:pPr>
      <w:r>
        <w:rPr>
          <w:rFonts w:hint="eastAsia" w:ascii="宋体" w:hAnsi="宋体"/>
          <w:b/>
          <w:sz w:val="28"/>
          <w:szCs w:val="28"/>
          <w:highlight w:val="none"/>
        </w:rPr>
        <w:t>争议的解决方式</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甲乙双方同意，因本合同而产生的任何争议应首先通过友好协商自行解决，协商未果的，本合同任何一方均可将该争议通过仲裁或向甲方所在地有管辖权的人民法院提起诉讼而解决。</w:t>
      </w:r>
    </w:p>
    <w:p>
      <w:pPr>
        <w:pStyle w:val="34"/>
        <w:numPr>
          <w:ilvl w:val="0"/>
          <w:numId w:val="5"/>
        </w:numPr>
        <w:tabs>
          <w:tab w:val="left" w:pos="3780"/>
        </w:tabs>
        <w:spacing w:line="360" w:lineRule="auto"/>
        <w:ind w:left="1843" w:hanging="1281" w:firstLineChars="0"/>
        <w:jc w:val="left"/>
        <w:rPr>
          <w:rFonts w:ascii="宋体" w:hAnsi="宋体"/>
          <w:b/>
          <w:sz w:val="28"/>
          <w:szCs w:val="28"/>
          <w:highlight w:val="none"/>
        </w:rPr>
      </w:pPr>
      <w:r>
        <w:rPr>
          <w:rFonts w:hint="eastAsia" w:ascii="宋体" w:hAnsi="宋体"/>
          <w:b/>
          <w:sz w:val="28"/>
          <w:szCs w:val="28"/>
          <w:highlight w:val="none"/>
        </w:rPr>
        <w:t>法律适用</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本合同的适用和解释均为中国法律。</w:t>
      </w:r>
    </w:p>
    <w:p>
      <w:pPr>
        <w:pStyle w:val="34"/>
        <w:numPr>
          <w:ilvl w:val="0"/>
          <w:numId w:val="5"/>
        </w:numPr>
        <w:tabs>
          <w:tab w:val="left" w:pos="3780"/>
        </w:tabs>
        <w:spacing w:line="360" w:lineRule="auto"/>
        <w:ind w:left="1843" w:hanging="1281" w:firstLineChars="0"/>
        <w:jc w:val="left"/>
        <w:rPr>
          <w:rFonts w:ascii="宋体" w:hAnsi="宋体"/>
          <w:b/>
          <w:sz w:val="28"/>
          <w:szCs w:val="28"/>
          <w:highlight w:val="none"/>
        </w:rPr>
      </w:pPr>
      <w:r>
        <w:rPr>
          <w:rFonts w:hint="eastAsia" w:ascii="宋体" w:hAnsi="宋体"/>
          <w:b/>
          <w:sz w:val="28"/>
          <w:szCs w:val="28"/>
          <w:highlight w:val="none"/>
        </w:rPr>
        <w:t>合同的生效</w:t>
      </w:r>
    </w:p>
    <w:p>
      <w:pPr>
        <w:tabs>
          <w:tab w:val="left" w:pos="3780"/>
        </w:tabs>
        <w:spacing w:line="360" w:lineRule="auto"/>
        <w:ind w:firstLine="560"/>
        <w:jc w:val="left"/>
        <w:rPr>
          <w:rFonts w:ascii="宋体" w:hAnsi="宋体"/>
          <w:sz w:val="28"/>
          <w:szCs w:val="28"/>
          <w:highlight w:val="none"/>
        </w:rPr>
      </w:pPr>
      <w:r>
        <w:rPr>
          <w:rFonts w:hint="eastAsia" w:ascii="宋体" w:hAnsi="宋体"/>
          <w:sz w:val="28"/>
          <w:szCs w:val="28"/>
          <w:highlight w:val="none"/>
        </w:rPr>
        <w:t>本合同自甲、乙双方的授权代表签字或加盖</w:t>
      </w:r>
      <w:r>
        <w:rPr>
          <w:rFonts w:ascii="宋体" w:hAnsi="宋体"/>
          <w:sz w:val="28"/>
          <w:szCs w:val="28"/>
          <w:highlight w:val="none"/>
        </w:rPr>
        <w:t>公章</w:t>
      </w:r>
      <w:r>
        <w:rPr>
          <w:rFonts w:hint="eastAsia" w:ascii="宋体" w:hAnsi="宋体"/>
          <w:sz w:val="28"/>
          <w:szCs w:val="28"/>
          <w:highlight w:val="none"/>
        </w:rPr>
        <w:t>后生效。（国家法律、法规对本合同生效另有规定的，从其规定）。本合同生效后，双方对本合同内容的变更或补充应采用书面形式订立，并作为本合同的附件。附件与本合同具有同等的法律效力。</w:t>
      </w:r>
    </w:p>
    <w:p>
      <w:pPr>
        <w:pStyle w:val="34"/>
        <w:numPr>
          <w:ilvl w:val="0"/>
          <w:numId w:val="5"/>
        </w:numPr>
        <w:tabs>
          <w:tab w:val="left" w:pos="3780"/>
        </w:tabs>
        <w:spacing w:line="360" w:lineRule="auto"/>
        <w:ind w:left="1843" w:hanging="1281" w:firstLineChars="0"/>
        <w:jc w:val="left"/>
        <w:rPr>
          <w:rFonts w:ascii="宋体" w:hAnsi="宋体"/>
          <w:b/>
          <w:sz w:val="28"/>
          <w:szCs w:val="28"/>
          <w:highlight w:val="none"/>
        </w:rPr>
      </w:pPr>
      <w:r>
        <w:rPr>
          <w:rFonts w:hint="eastAsia" w:ascii="宋体" w:hAnsi="宋体"/>
          <w:b/>
          <w:sz w:val="28"/>
          <w:szCs w:val="28"/>
          <w:highlight w:val="none"/>
        </w:rPr>
        <w:t>其他约定事项</w:t>
      </w:r>
    </w:p>
    <w:p>
      <w:pPr>
        <w:tabs>
          <w:tab w:val="left" w:pos="3780"/>
        </w:tabs>
        <w:ind w:firstLine="568" w:firstLineChars="203"/>
        <w:rPr>
          <w:rFonts w:ascii="宋体" w:hAnsi="宋体"/>
          <w:sz w:val="28"/>
          <w:szCs w:val="28"/>
          <w:highlight w:val="none"/>
        </w:rPr>
      </w:pPr>
      <w:r>
        <w:rPr>
          <w:rFonts w:hint="eastAsia" w:ascii="宋体" w:hAnsi="宋体"/>
          <w:sz w:val="28"/>
          <w:szCs w:val="28"/>
          <w:highlight w:val="none"/>
        </w:rPr>
        <w:t>本合同一式</w:t>
      </w:r>
      <w:r>
        <w:rPr>
          <w:rFonts w:hint="eastAsia" w:ascii="宋体" w:hAnsi="宋体"/>
          <w:sz w:val="28"/>
          <w:szCs w:val="28"/>
          <w:highlight w:val="none"/>
          <w:u w:val="single"/>
        </w:rPr>
        <w:t xml:space="preserve"> 陆 </w:t>
      </w:r>
      <w:r>
        <w:rPr>
          <w:rFonts w:hint="eastAsia" w:ascii="宋体" w:hAnsi="宋体"/>
          <w:sz w:val="28"/>
          <w:szCs w:val="28"/>
          <w:highlight w:val="none"/>
        </w:rPr>
        <w:t>份，甲、乙双方各执</w:t>
      </w:r>
      <w:r>
        <w:rPr>
          <w:rFonts w:hint="eastAsia" w:ascii="宋体" w:hAnsi="宋体"/>
          <w:sz w:val="28"/>
          <w:szCs w:val="28"/>
          <w:highlight w:val="none"/>
          <w:u w:val="single"/>
        </w:rPr>
        <w:t xml:space="preserve"> 壹 </w:t>
      </w:r>
      <w:r>
        <w:rPr>
          <w:rFonts w:hint="eastAsia" w:ascii="宋体" w:hAnsi="宋体"/>
          <w:sz w:val="28"/>
          <w:szCs w:val="28"/>
          <w:highlight w:val="none"/>
        </w:rPr>
        <w:t>份，标的企业执</w:t>
      </w:r>
      <w:r>
        <w:rPr>
          <w:rFonts w:hint="eastAsia" w:ascii="宋体" w:hAnsi="宋体"/>
          <w:sz w:val="28"/>
          <w:szCs w:val="28"/>
          <w:highlight w:val="none"/>
          <w:u w:val="single"/>
        </w:rPr>
        <w:t xml:space="preserve"> 壹 </w:t>
      </w:r>
      <w:r>
        <w:rPr>
          <w:rFonts w:hint="eastAsia" w:ascii="宋体" w:hAnsi="宋体"/>
          <w:sz w:val="28"/>
          <w:szCs w:val="28"/>
          <w:highlight w:val="none"/>
        </w:rPr>
        <w:t>份，台州市产权交易所有限公司执</w:t>
      </w:r>
      <w:r>
        <w:rPr>
          <w:rFonts w:hint="eastAsia" w:ascii="宋体" w:hAnsi="宋体"/>
          <w:sz w:val="28"/>
          <w:szCs w:val="28"/>
          <w:highlight w:val="none"/>
          <w:u w:val="single"/>
        </w:rPr>
        <w:t xml:space="preserve"> 壹 </w:t>
      </w:r>
      <w:r>
        <w:rPr>
          <w:rFonts w:hint="eastAsia" w:ascii="宋体" w:hAnsi="宋体"/>
          <w:sz w:val="28"/>
          <w:szCs w:val="28"/>
          <w:highlight w:val="none"/>
        </w:rPr>
        <w:t>份，其余</w:t>
      </w:r>
      <w:r>
        <w:rPr>
          <w:rFonts w:hint="eastAsia" w:ascii="宋体" w:hAnsi="宋体"/>
          <w:sz w:val="28"/>
          <w:szCs w:val="28"/>
          <w:highlight w:val="none"/>
          <w:u w:val="single"/>
        </w:rPr>
        <w:t>贰</w:t>
      </w:r>
      <w:r>
        <w:rPr>
          <w:rFonts w:hint="eastAsia" w:ascii="宋体" w:hAnsi="宋体"/>
          <w:sz w:val="28"/>
          <w:szCs w:val="28"/>
          <w:highlight w:val="none"/>
        </w:rPr>
        <w:t>份报相关部门。</w:t>
      </w:r>
    </w:p>
    <w:p>
      <w:pPr>
        <w:widowControl/>
        <w:ind w:firstLine="0" w:firstLineChars="0"/>
        <w:jc w:val="left"/>
        <w:rPr>
          <w:rFonts w:ascii="宋体" w:hAnsi="宋体"/>
          <w:sz w:val="28"/>
          <w:szCs w:val="28"/>
          <w:highlight w:val="none"/>
        </w:rPr>
      </w:pPr>
      <w:r>
        <w:rPr>
          <w:rFonts w:ascii="宋体" w:hAnsi="宋体"/>
          <w:sz w:val="28"/>
          <w:szCs w:val="28"/>
          <w:highlight w:val="none"/>
        </w:rPr>
        <w:br w:type="page"/>
      </w:r>
    </w:p>
    <w:p>
      <w:pPr>
        <w:spacing w:line="360" w:lineRule="exact"/>
        <w:ind w:firstLine="560"/>
        <w:rPr>
          <w:rFonts w:ascii="宋体" w:hAnsi="宋体"/>
          <w:sz w:val="28"/>
          <w:szCs w:val="28"/>
          <w:highlight w:val="none"/>
        </w:rPr>
      </w:pPr>
    </w:p>
    <w:p>
      <w:pPr>
        <w:spacing w:line="360" w:lineRule="exact"/>
        <w:ind w:firstLine="560"/>
        <w:rPr>
          <w:rFonts w:ascii="宋体" w:hAnsi="宋体"/>
          <w:sz w:val="28"/>
          <w:szCs w:val="28"/>
          <w:highlight w:val="none"/>
        </w:rPr>
      </w:pPr>
      <w:r>
        <w:rPr>
          <w:rFonts w:hint="eastAsia" w:ascii="宋体" w:hAnsi="宋体"/>
          <w:sz w:val="28"/>
          <w:szCs w:val="28"/>
          <w:highlight w:val="none"/>
        </w:rPr>
        <w:t>(此页无正文)</w:t>
      </w:r>
    </w:p>
    <w:p>
      <w:pPr>
        <w:spacing w:line="360" w:lineRule="exact"/>
        <w:ind w:firstLine="560"/>
        <w:rPr>
          <w:rFonts w:ascii="宋体" w:hAnsi="宋体"/>
          <w:sz w:val="28"/>
          <w:szCs w:val="28"/>
          <w:highlight w:val="none"/>
        </w:rPr>
      </w:pPr>
    </w:p>
    <w:p>
      <w:pPr>
        <w:spacing w:line="360" w:lineRule="exact"/>
        <w:ind w:firstLine="560"/>
        <w:rPr>
          <w:rFonts w:ascii="宋体" w:hAnsi="宋体"/>
          <w:sz w:val="28"/>
          <w:szCs w:val="28"/>
          <w:highlight w:val="none"/>
        </w:rPr>
      </w:pPr>
    </w:p>
    <w:tbl>
      <w:tblPr>
        <w:tblStyle w:val="15"/>
        <w:tblW w:w="9060" w:type="dxa"/>
        <w:tblInd w:w="0" w:type="dxa"/>
        <w:tblLayout w:type="fixed"/>
        <w:tblCellMar>
          <w:top w:w="0" w:type="dxa"/>
          <w:left w:w="108" w:type="dxa"/>
          <w:bottom w:w="0" w:type="dxa"/>
          <w:right w:w="108" w:type="dxa"/>
        </w:tblCellMar>
      </w:tblPr>
      <w:tblGrid>
        <w:gridCol w:w="4530"/>
        <w:gridCol w:w="4530"/>
      </w:tblGrid>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出让方（甲方）：</w:t>
            </w:r>
          </w:p>
          <w:p>
            <w:pPr>
              <w:spacing w:line="360" w:lineRule="exact"/>
              <w:ind w:firstLine="840" w:firstLineChars="300"/>
              <w:rPr>
                <w:rFonts w:ascii="宋体" w:hAnsi="宋体"/>
                <w:sz w:val="28"/>
                <w:szCs w:val="28"/>
                <w:highlight w:val="none"/>
              </w:rPr>
            </w:pPr>
            <w:r>
              <w:rPr>
                <w:rFonts w:hint="eastAsia" w:ascii="宋体" w:hAnsi="宋体"/>
                <w:sz w:val="28"/>
                <w:szCs w:val="28"/>
                <w:highlight w:val="none"/>
              </w:rPr>
              <w:t>（盖章）</w:t>
            </w:r>
          </w:p>
          <w:p>
            <w:pPr>
              <w:spacing w:line="360" w:lineRule="exact"/>
              <w:ind w:firstLine="840" w:firstLineChars="300"/>
              <w:rPr>
                <w:rFonts w:ascii="宋体" w:hAnsi="宋体"/>
                <w:sz w:val="28"/>
                <w:szCs w:val="28"/>
                <w:highlight w:val="none"/>
              </w:rPr>
            </w:pPr>
          </w:p>
        </w:tc>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受让方（乙方）：</w:t>
            </w:r>
          </w:p>
          <w:p>
            <w:pPr>
              <w:spacing w:line="360" w:lineRule="exact"/>
              <w:ind w:firstLine="840" w:firstLineChars="300"/>
              <w:rPr>
                <w:rFonts w:ascii="宋体" w:hAnsi="宋体"/>
                <w:sz w:val="28"/>
                <w:szCs w:val="28"/>
                <w:highlight w:val="none"/>
              </w:rPr>
            </w:pPr>
            <w:r>
              <w:rPr>
                <w:rFonts w:hint="eastAsia" w:ascii="宋体" w:hAnsi="宋体"/>
                <w:sz w:val="28"/>
                <w:szCs w:val="28"/>
                <w:highlight w:val="none"/>
              </w:rPr>
              <w:t>（盖章）</w:t>
            </w:r>
          </w:p>
          <w:p>
            <w:pPr>
              <w:spacing w:line="360" w:lineRule="exact"/>
              <w:ind w:firstLine="840" w:firstLineChars="300"/>
              <w:rPr>
                <w:rFonts w:ascii="宋体" w:hAnsi="宋体"/>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法定代表人（签字）：</w:t>
            </w:r>
          </w:p>
          <w:p>
            <w:pPr>
              <w:spacing w:line="360" w:lineRule="exact"/>
              <w:ind w:firstLine="0" w:firstLineChars="0"/>
              <w:rPr>
                <w:rFonts w:ascii="宋体" w:hAnsi="宋体"/>
                <w:sz w:val="28"/>
                <w:szCs w:val="28"/>
                <w:highlight w:val="none"/>
              </w:rPr>
            </w:pPr>
            <w:r>
              <w:rPr>
                <w:rFonts w:hint="eastAsia" w:ascii="宋体" w:hAnsi="宋体"/>
                <w:sz w:val="28"/>
                <w:szCs w:val="28"/>
                <w:highlight w:val="none"/>
              </w:rPr>
              <w:t>或授权代表：</w:t>
            </w:r>
          </w:p>
          <w:p>
            <w:pPr>
              <w:spacing w:line="360" w:lineRule="exact"/>
              <w:ind w:firstLine="0" w:firstLineChars="0"/>
              <w:rPr>
                <w:rFonts w:ascii="宋体" w:hAnsi="宋体"/>
                <w:sz w:val="28"/>
                <w:szCs w:val="28"/>
                <w:highlight w:val="none"/>
              </w:rPr>
            </w:pPr>
          </w:p>
        </w:tc>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法定代表人（签字）：</w:t>
            </w:r>
          </w:p>
          <w:p>
            <w:pPr>
              <w:spacing w:line="360" w:lineRule="exact"/>
              <w:ind w:firstLine="0" w:firstLineChars="0"/>
              <w:rPr>
                <w:rFonts w:ascii="宋体" w:hAnsi="宋体"/>
                <w:sz w:val="28"/>
                <w:szCs w:val="28"/>
                <w:highlight w:val="none"/>
              </w:rPr>
            </w:pPr>
            <w:r>
              <w:rPr>
                <w:rFonts w:hint="eastAsia" w:ascii="宋体" w:hAnsi="宋体"/>
                <w:sz w:val="28"/>
                <w:szCs w:val="28"/>
                <w:highlight w:val="none"/>
              </w:rPr>
              <w:t>或授权代表：</w:t>
            </w:r>
          </w:p>
          <w:p>
            <w:pPr>
              <w:spacing w:line="360" w:lineRule="exact"/>
              <w:ind w:firstLine="0" w:firstLineChars="0"/>
              <w:rPr>
                <w:rFonts w:ascii="宋体" w:hAnsi="宋体"/>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签订时间：    年    月   日</w:t>
            </w:r>
          </w:p>
        </w:tc>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签订时间：    年  月   日</w:t>
            </w: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签订地点：</w:t>
            </w:r>
          </w:p>
        </w:tc>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签订地点：</w:t>
            </w: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p>
        </w:tc>
        <w:tc>
          <w:tcPr>
            <w:tcW w:w="4530" w:type="dxa"/>
            <w:vAlign w:val="center"/>
          </w:tcPr>
          <w:p>
            <w:pPr>
              <w:spacing w:line="360" w:lineRule="exact"/>
              <w:ind w:firstLine="0" w:firstLineChars="0"/>
              <w:rPr>
                <w:rFonts w:ascii="宋体" w:hAnsi="宋体"/>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鉴证方：</w:t>
            </w:r>
          </w:p>
          <w:p>
            <w:pPr>
              <w:spacing w:line="360" w:lineRule="exact"/>
              <w:ind w:firstLine="0" w:firstLineChars="0"/>
              <w:rPr>
                <w:rFonts w:ascii="宋体" w:hAnsi="宋体"/>
                <w:sz w:val="28"/>
                <w:szCs w:val="28"/>
                <w:highlight w:val="none"/>
              </w:rPr>
            </w:pPr>
            <w:r>
              <w:rPr>
                <w:rFonts w:hint="eastAsia" w:ascii="宋体" w:hAnsi="宋体"/>
                <w:sz w:val="28"/>
                <w:szCs w:val="28"/>
                <w:highlight w:val="none"/>
              </w:rPr>
              <w:t>（盖章）</w:t>
            </w:r>
          </w:p>
          <w:p>
            <w:pPr>
              <w:spacing w:line="360" w:lineRule="exact"/>
              <w:ind w:firstLine="0" w:firstLineChars="0"/>
              <w:rPr>
                <w:rFonts w:ascii="宋体" w:hAnsi="宋体"/>
                <w:sz w:val="28"/>
                <w:szCs w:val="28"/>
                <w:highlight w:val="none"/>
              </w:rPr>
            </w:pPr>
          </w:p>
        </w:tc>
        <w:tc>
          <w:tcPr>
            <w:tcW w:w="4530" w:type="dxa"/>
            <w:vAlign w:val="center"/>
          </w:tcPr>
          <w:p>
            <w:pPr>
              <w:ind w:firstLine="0" w:firstLineChars="0"/>
              <w:rPr>
                <w:rFonts w:ascii="宋体" w:hAnsi="宋体"/>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代表人：</w:t>
            </w:r>
          </w:p>
          <w:p>
            <w:pPr>
              <w:spacing w:line="360" w:lineRule="exact"/>
              <w:ind w:firstLine="0" w:firstLineChars="0"/>
              <w:rPr>
                <w:rFonts w:ascii="宋体" w:hAnsi="宋体"/>
                <w:sz w:val="28"/>
                <w:szCs w:val="28"/>
                <w:highlight w:val="none"/>
              </w:rPr>
            </w:pPr>
            <w:r>
              <w:rPr>
                <w:rFonts w:hint="eastAsia" w:ascii="宋体" w:hAnsi="宋体"/>
                <w:sz w:val="28"/>
                <w:szCs w:val="28"/>
                <w:highlight w:val="none"/>
              </w:rPr>
              <w:t>（签字）</w:t>
            </w:r>
          </w:p>
          <w:p>
            <w:pPr>
              <w:spacing w:line="360" w:lineRule="exact"/>
              <w:ind w:firstLine="0" w:firstLineChars="0"/>
              <w:rPr>
                <w:rFonts w:ascii="宋体" w:hAnsi="宋体"/>
                <w:sz w:val="28"/>
                <w:szCs w:val="28"/>
                <w:highlight w:val="none"/>
              </w:rPr>
            </w:pPr>
          </w:p>
        </w:tc>
        <w:tc>
          <w:tcPr>
            <w:tcW w:w="4530" w:type="dxa"/>
            <w:vAlign w:val="center"/>
          </w:tcPr>
          <w:p>
            <w:pPr>
              <w:spacing w:line="360" w:lineRule="exact"/>
              <w:ind w:firstLine="0" w:firstLineChars="0"/>
              <w:rPr>
                <w:rFonts w:ascii="宋体" w:hAnsi="宋体"/>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highlight w:val="none"/>
              </w:rPr>
            </w:pPr>
            <w:r>
              <w:rPr>
                <w:rFonts w:hint="eastAsia" w:ascii="宋体" w:hAnsi="宋体"/>
                <w:sz w:val="28"/>
                <w:szCs w:val="28"/>
                <w:highlight w:val="none"/>
              </w:rPr>
              <w:t>鉴证日期：    年    月   日</w:t>
            </w:r>
          </w:p>
        </w:tc>
        <w:tc>
          <w:tcPr>
            <w:tcW w:w="4530" w:type="dxa"/>
            <w:vAlign w:val="center"/>
          </w:tcPr>
          <w:p>
            <w:pPr>
              <w:spacing w:line="360" w:lineRule="exact"/>
              <w:ind w:firstLine="0" w:firstLineChars="0"/>
              <w:rPr>
                <w:rFonts w:ascii="宋体" w:hAnsi="宋体"/>
                <w:sz w:val="28"/>
                <w:szCs w:val="28"/>
                <w:highlight w:val="none"/>
              </w:rPr>
            </w:pPr>
          </w:p>
        </w:tc>
      </w:tr>
    </w:tbl>
    <w:p>
      <w:pPr>
        <w:pStyle w:val="34"/>
        <w:tabs>
          <w:tab w:val="left" w:pos="709"/>
        </w:tabs>
        <w:spacing w:line="360" w:lineRule="auto"/>
        <w:ind w:left="567" w:firstLine="0" w:firstLineChars="0"/>
        <w:jc w:val="left"/>
        <w:rPr>
          <w:rFonts w:ascii="宋体" w:hAnsi="宋体"/>
          <w:sz w:val="28"/>
          <w:szCs w:val="28"/>
          <w:highlight w:val="none"/>
        </w:rPr>
      </w:pPr>
    </w:p>
    <w:p>
      <w:pPr>
        <w:widowControl/>
        <w:ind w:firstLine="0" w:firstLineChars="0"/>
        <w:jc w:val="left"/>
        <w:rPr>
          <w:rFonts w:ascii="Calibri" w:hAnsi="Calibri"/>
          <w:b/>
          <w:bCs/>
          <w:kern w:val="44"/>
          <w:sz w:val="36"/>
          <w:szCs w:val="44"/>
          <w:highlight w:val="none"/>
        </w:rPr>
      </w:pPr>
      <w:bookmarkStart w:id="33" w:name="_Toc14224"/>
      <w:bookmarkStart w:id="34" w:name="_Toc528773696"/>
      <w:r>
        <w:rPr>
          <w:sz w:val="36"/>
          <w:highlight w:val="none"/>
        </w:rPr>
        <w:br w:type="page"/>
      </w:r>
    </w:p>
    <w:p>
      <w:pPr>
        <w:pStyle w:val="2"/>
        <w:spacing w:before="100" w:beforeAutospacing="1" w:after="100" w:afterAutospacing="1" w:line="360" w:lineRule="auto"/>
        <w:jc w:val="center"/>
        <w:rPr>
          <w:sz w:val="36"/>
          <w:highlight w:val="none"/>
        </w:rPr>
      </w:pPr>
      <w:bookmarkStart w:id="35" w:name="_Toc20392"/>
      <w:r>
        <w:rPr>
          <w:rFonts w:hint="eastAsia"/>
          <w:sz w:val="36"/>
          <w:highlight w:val="none"/>
        </w:rPr>
        <w:t>转让股权相关信息</w:t>
      </w:r>
      <w:bookmarkEnd w:id="33"/>
      <w:bookmarkEnd w:id="34"/>
      <w:bookmarkEnd w:id="35"/>
    </w:p>
    <w:tbl>
      <w:tblPr>
        <w:tblStyle w:val="1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highlight w:val="none"/>
              </w:rPr>
            </w:pPr>
            <w:r>
              <w:rPr>
                <w:rFonts w:hint="eastAsia" w:ascii="宋体" w:hAnsi="宋体" w:cs="宋体"/>
                <w:szCs w:val="21"/>
                <w:highlight w:val="none"/>
              </w:rPr>
              <w:t>项目名称</w:t>
            </w:r>
          </w:p>
        </w:tc>
        <w:tc>
          <w:tcPr>
            <w:tcW w:w="7851" w:type="dxa"/>
          </w:tcPr>
          <w:p>
            <w:pPr>
              <w:ind w:left="512" w:leftChars="244" w:firstLine="1" w:firstLineChars="0"/>
              <w:rPr>
                <w:rFonts w:hint="eastAsia" w:ascii="宋体" w:hAnsi="宋体" w:cs="宋体"/>
                <w:szCs w:val="21"/>
                <w:highlight w:val="none"/>
              </w:rPr>
            </w:pPr>
            <w:r>
              <w:rPr>
                <w:rFonts w:hint="eastAsia" w:ascii="宋体" w:hAnsi="宋体" w:cs="宋体"/>
                <w:szCs w:val="21"/>
                <w:highlight w:val="none"/>
              </w:rPr>
              <w:t>浙江海正博锐生物制药有限公司20,170.50万元注册资本（代表浙江海正博锐生物制药有限公司40.3410%股权）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188" w:type="dxa"/>
          </w:tcPr>
          <w:p>
            <w:pPr>
              <w:ind w:firstLine="0" w:firstLineChars="0"/>
              <w:rPr>
                <w:rFonts w:ascii="宋体" w:hAnsi="宋体" w:cs="宋体"/>
                <w:szCs w:val="21"/>
                <w:highlight w:val="none"/>
              </w:rPr>
            </w:pPr>
            <w:r>
              <w:rPr>
                <w:rFonts w:hint="eastAsia" w:ascii="宋体" w:hAnsi="宋体" w:cs="宋体"/>
                <w:szCs w:val="21"/>
                <w:highlight w:val="none"/>
              </w:rPr>
              <w:t>项目编号</w:t>
            </w:r>
          </w:p>
        </w:tc>
        <w:tc>
          <w:tcPr>
            <w:tcW w:w="7851" w:type="dxa"/>
          </w:tcPr>
          <w:p>
            <w:pPr>
              <w:ind w:left="512" w:leftChars="244" w:firstLine="1" w:firstLineChars="0"/>
              <w:rPr>
                <w:rFonts w:hint="eastAsia" w:ascii="宋体" w:hAnsi="宋体" w:cs="宋体"/>
                <w:szCs w:val="21"/>
                <w:highlight w:val="none"/>
              </w:rPr>
            </w:pPr>
            <w:r>
              <w:rPr>
                <w:rFonts w:hint="eastAsia" w:ascii="宋体" w:hAnsi="宋体" w:cs="宋体"/>
                <w:szCs w:val="21"/>
                <w:highlight w:val="none"/>
              </w:rPr>
              <w:t>台交所挂〔2019〕</w:t>
            </w:r>
            <w:r>
              <w:rPr>
                <w:rFonts w:hint="eastAsia" w:ascii="宋体" w:hAnsi="宋体" w:cs="宋体"/>
                <w:szCs w:val="21"/>
                <w:highlight w:val="none"/>
                <w:lang w:val="en-US" w:eastAsia="zh-CN"/>
              </w:rPr>
              <w:t>17</w:t>
            </w:r>
            <w:r>
              <w:rPr>
                <w:rFonts w:hint="eastAsia" w:ascii="宋体" w:hAnsi="宋体" w:cs="宋体"/>
                <w:szCs w:val="21"/>
                <w:highlight w:val="non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highlight w:val="none"/>
              </w:rPr>
            </w:pPr>
            <w:r>
              <w:rPr>
                <w:rFonts w:hint="eastAsia" w:ascii="宋体" w:hAnsi="宋体" w:cs="宋体"/>
                <w:szCs w:val="21"/>
                <w:highlight w:val="none"/>
              </w:rPr>
              <w:t>转让底价</w:t>
            </w:r>
          </w:p>
        </w:tc>
        <w:tc>
          <w:tcPr>
            <w:tcW w:w="7851" w:type="dxa"/>
          </w:tcPr>
          <w:p>
            <w:pPr>
              <w:ind w:left="512" w:leftChars="244" w:firstLine="1" w:firstLineChars="0"/>
              <w:rPr>
                <w:rFonts w:hint="eastAsia" w:ascii="宋体" w:hAnsi="宋体" w:cs="宋体"/>
                <w:szCs w:val="21"/>
                <w:highlight w:val="none"/>
              </w:rPr>
            </w:pPr>
            <w:r>
              <w:rPr>
                <w:rFonts w:hint="eastAsia" w:ascii="宋体" w:hAnsi="宋体" w:cs="宋体"/>
                <w:szCs w:val="21"/>
                <w:highlight w:val="none"/>
              </w:rPr>
              <w:t>225,909.60万元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cs="宋体"/>
                <w:szCs w:val="21"/>
                <w:highlight w:val="none"/>
              </w:rPr>
            </w:pPr>
            <w:r>
              <w:rPr>
                <w:rFonts w:hint="eastAsia" w:ascii="宋体" w:hAnsi="宋体" w:cs="宋体"/>
                <w:szCs w:val="21"/>
                <w:highlight w:val="none"/>
              </w:rPr>
              <w:t>地域</w:t>
            </w:r>
          </w:p>
        </w:tc>
        <w:tc>
          <w:tcPr>
            <w:tcW w:w="7851" w:type="dxa"/>
          </w:tcPr>
          <w:p>
            <w:pPr>
              <w:ind w:left="512" w:leftChars="244" w:firstLine="1" w:firstLineChars="0"/>
              <w:rPr>
                <w:rFonts w:hint="eastAsia" w:ascii="宋体" w:hAnsi="宋体" w:cs="宋体"/>
                <w:szCs w:val="21"/>
                <w:highlight w:val="none"/>
              </w:rPr>
            </w:pPr>
            <w:r>
              <w:rPr>
                <w:rFonts w:hint="eastAsia" w:ascii="宋体" w:hAnsi="宋体" w:cs="宋体"/>
                <w:szCs w:val="21"/>
                <w:highlight w:val="none"/>
              </w:rPr>
              <w:t>台州市</w:t>
            </w:r>
          </w:p>
        </w:tc>
      </w:tr>
    </w:tbl>
    <w:p>
      <w:pPr>
        <w:ind w:firstLine="0" w:firstLineChars="0"/>
        <w:rPr>
          <w:rFonts w:ascii="宋体" w:hAnsi="宋体" w:cs="宋体"/>
          <w:szCs w:val="21"/>
          <w:highlight w:val="none"/>
        </w:rPr>
      </w:pPr>
    </w:p>
    <w:tbl>
      <w:tblPr>
        <w:tblStyle w:val="15"/>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1"/>
        <w:gridCol w:w="715"/>
        <w:gridCol w:w="1628"/>
        <w:gridCol w:w="1238"/>
        <w:gridCol w:w="3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trPr>
        <w:tc>
          <w:tcPr>
            <w:tcW w:w="1190" w:type="dxa"/>
            <w:vMerge w:val="restart"/>
            <w:vAlign w:val="center"/>
          </w:tcPr>
          <w:p>
            <w:pPr>
              <w:ind w:firstLine="0" w:firstLineChars="0"/>
              <w:jc w:val="center"/>
              <w:rPr>
                <w:rFonts w:ascii="宋体" w:hAnsi="宋体" w:cs="宋体"/>
                <w:color w:val="auto"/>
                <w:szCs w:val="21"/>
                <w:highlight w:val="none"/>
              </w:rPr>
            </w:pPr>
            <w:r>
              <w:rPr>
                <w:rFonts w:hint="eastAsia" w:ascii="宋体" w:hAnsi="宋体" w:cs="宋体"/>
                <w:color w:val="auto"/>
                <w:szCs w:val="21"/>
                <w:highlight w:val="none"/>
              </w:rPr>
              <w:t>基本情况</w:t>
            </w:r>
          </w:p>
        </w:tc>
        <w:tc>
          <w:tcPr>
            <w:tcW w:w="1616" w:type="dxa"/>
            <w:gridSpan w:val="2"/>
            <w:vAlign w:val="center"/>
          </w:tcPr>
          <w:p>
            <w:pPr>
              <w:ind w:firstLine="0" w:firstLineChars="0"/>
              <w:rPr>
                <w:rFonts w:ascii="宋体" w:hAnsi="宋体" w:cs="宋体"/>
                <w:color w:val="auto"/>
                <w:szCs w:val="21"/>
                <w:highlight w:val="none"/>
              </w:rPr>
            </w:pPr>
            <w:r>
              <w:rPr>
                <w:rFonts w:hint="eastAsia" w:ascii="宋体" w:hAnsi="宋体" w:cs="宋体"/>
                <w:color w:val="auto"/>
                <w:szCs w:val="21"/>
                <w:highlight w:val="none"/>
              </w:rPr>
              <w:t>申请人名称</w:t>
            </w:r>
          </w:p>
        </w:tc>
        <w:tc>
          <w:tcPr>
            <w:tcW w:w="6237" w:type="dxa"/>
            <w:gridSpan w:val="3"/>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海正药业（杭州）有限公司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标的企业名称</w:t>
            </w:r>
          </w:p>
        </w:tc>
        <w:tc>
          <w:tcPr>
            <w:tcW w:w="6237" w:type="dxa"/>
            <w:gridSpan w:val="3"/>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浙江海正博锐生物制药有限公司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企业类型</w:t>
            </w:r>
          </w:p>
        </w:tc>
        <w:tc>
          <w:tcPr>
            <w:tcW w:w="6237" w:type="dxa"/>
            <w:gridSpan w:val="3"/>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所属行业</w:t>
            </w:r>
          </w:p>
        </w:tc>
        <w:tc>
          <w:tcPr>
            <w:tcW w:w="6237" w:type="dxa"/>
            <w:gridSpan w:val="3"/>
          </w:tcPr>
          <w:p>
            <w:pPr>
              <w:ind w:firstLine="0" w:firstLineChars="0"/>
              <w:rPr>
                <w:rFonts w:ascii="宋体" w:hAnsi="宋体" w:cs="宋体"/>
                <w:color w:val="auto"/>
                <w:szCs w:val="21"/>
                <w:highlight w:val="none"/>
              </w:rPr>
            </w:pPr>
            <w:r>
              <w:rPr>
                <w:rFonts w:hint="eastAsia" w:ascii="宋体" w:hAnsi="宋体" w:cs="宋体"/>
                <w:color w:val="auto"/>
                <w:szCs w:val="21"/>
                <w:highlight w:val="none"/>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经营范围</w:t>
            </w:r>
          </w:p>
        </w:tc>
        <w:tc>
          <w:tcPr>
            <w:tcW w:w="6237" w:type="dxa"/>
            <w:gridSpan w:val="3"/>
          </w:tcPr>
          <w:p>
            <w:pPr>
              <w:ind w:firstLine="0" w:firstLineChars="0"/>
              <w:rPr>
                <w:rFonts w:ascii="宋体" w:hAnsi="宋体" w:cs="宋体"/>
                <w:color w:val="auto"/>
                <w:szCs w:val="21"/>
                <w:highlight w:val="none"/>
              </w:rPr>
            </w:pPr>
            <w:r>
              <w:rPr>
                <w:rFonts w:hint="eastAsia" w:ascii="宋体" w:hAnsi="宋体" w:cs="宋体"/>
                <w:color w:val="auto"/>
                <w:highlight w:val="none"/>
              </w:rPr>
              <w:t>生物药品的生产、销售及研发;生物技术推广服务;货物及技术进出口业务。(依法须经批准的项目,经相关部门批准后方可开展经营活动)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法定代表人</w:t>
            </w:r>
          </w:p>
        </w:tc>
        <w:tc>
          <w:tcPr>
            <w:tcW w:w="1628" w:type="dxa"/>
            <w:vAlign w:val="center"/>
          </w:tcPr>
          <w:p>
            <w:pPr>
              <w:ind w:firstLine="407" w:firstLineChars="194"/>
              <w:rPr>
                <w:rFonts w:ascii="宋体" w:hAnsi="宋体" w:cs="宋体"/>
                <w:color w:val="auto"/>
                <w:szCs w:val="21"/>
                <w:highlight w:val="none"/>
              </w:rPr>
            </w:pPr>
            <w:r>
              <w:rPr>
                <w:rFonts w:hint="eastAsia" w:ascii="宋体" w:hAnsi="宋体" w:cs="宋体"/>
                <w:color w:val="auto"/>
                <w:szCs w:val="21"/>
                <w:highlight w:val="none"/>
              </w:rPr>
              <w:t>蒋国平</w:t>
            </w:r>
          </w:p>
        </w:tc>
        <w:tc>
          <w:tcPr>
            <w:tcW w:w="1238" w:type="dxa"/>
            <w:vAlign w:val="center"/>
          </w:tcPr>
          <w:p>
            <w:pPr>
              <w:ind w:firstLine="0" w:firstLineChars="0"/>
              <w:jc w:val="center"/>
              <w:rPr>
                <w:rFonts w:ascii="宋体" w:hAnsi="宋体" w:cs="宋体"/>
                <w:color w:val="auto"/>
                <w:szCs w:val="21"/>
                <w:highlight w:val="none"/>
              </w:rPr>
            </w:pPr>
            <w:r>
              <w:rPr>
                <w:rFonts w:hint="eastAsia" w:ascii="宋体" w:hAnsi="宋体" w:cs="宋体"/>
                <w:color w:val="auto"/>
                <w:szCs w:val="21"/>
                <w:highlight w:val="none"/>
              </w:rPr>
              <w:t>成立日期</w:t>
            </w:r>
          </w:p>
        </w:tc>
        <w:tc>
          <w:tcPr>
            <w:tcW w:w="3371" w:type="dxa"/>
            <w:vAlign w:val="center"/>
          </w:tcPr>
          <w:p>
            <w:pPr>
              <w:ind w:firstLine="199" w:firstLineChars="95"/>
              <w:rPr>
                <w:rFonts w:ascii="宋体" w:hAnsi="宋体" w:cs="宋体"/>
                <w:color w:val="auto"/>
                <w:szCs w:val="21"/>
                <w:highlight w:val="none"/>
              </w:rPr>
            </w:pPr>
            <w:r>
              <w:rPr>
                <w:rFonts w:hint="eastAsia" w:ascii="宋体" w:hAnsi="宋体" w:cs="宋体"/>
                <w:color w:val="auto"/>
                <w:szCs w:val="21"/>
                <w:highlight w:val="none"/>
              </w:rPr>
              <w:t>20</w:t>
            </w:r>
            <w:r>
              <w:rPr>
                <w:rFonts w:ascii="宋体" w:hAnsi="宋体" w:cs="宋体"/>
                <w:color w:val="auto"/>
                <w:szCs w:val="21"/>
                <w:highlight w:val="none"/>
              </w:rPr>
              <w:t>19</w:t>
            </w:r>
            <w:r>
              <w:rPr>
                <w:rFonts w:hint="eastAsia" w:ascii="宋体" w:hAnsi="宋体" w:cs="宋体"/>
                <w:color w:val="auto"/>
                <w:szCs w:val="21"/>
                <w:highlight w:val="none"/>
              </w:rPr>
              <w:t>年</w:t>
            </w:r>
            <w:r>
              <w:rPr>
                <w:rFonts w:ascii="宋体" w:hAnsi="宋体" w:cs="宋体"/>
                <w:color w:val="auto"/>
                <w:szCs w:val="21"/>
                <w:highlight w:val="none"/>
              </w:rPr>
              <w:t>1</w:t>
            </w:r>
            <w:r>
              <w:rPr>
                <w:rFonts w:hint="eastAsia" w:ascii="宋体" w:hAnsi="宋体" w:cs="宋体"/>
                <w:color w:val="auto"/>
                <w:szCs w:val="21"/>
                <w:highlight w:val="none"/>
              </w:rPr>
              <w:t>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注册资本</w:t>
            </w:r>
          </w:p>
        </w:tc>
        <w:tc>
          <w:tcPr>
            <w:tcW w:w="1628" w:type="dxa"/>
            <w:vAlign w:val="center"/>
          </w:tcPr>
          <w:p>
            <w:pPr>
              <w:ind w:firstLine="0" w:firstLineChars="0"/>
              <w:jc w:val="center"/>
              <w:rPr>
                <w:rFonts w:ascii="宋体" w:hAnsi="宋体" w:cs="宋体"/>
                <w:color w:val="auto"/>
                <w:szCs w:val="21"/>
                <w:highlight w:val="none"/>
              </w:rPr>
            </w:pPr>
            <w:r>
              <w:rPr>
                <w:rFonts w:ascii="宋体" w:hAnsi="宋体" w:cs="宋体"/>
                <w:color w:val="auto"/>
                <w:szCs w:val="21"/>
                <w:highlight w:val="none"/>
              </w:rPr>
              <w:t>5</w:t>
            </w:r>
            <w:r>
              <w:rPr>
                <w:rFonts w:hint="eastAsia" w:ascii="宋体" w:hAnsi="宋体" w:cs="宋体"/>
                <w:color w:val="auto"/>
                <w:szCs w:val="21"/>
                <w:highlight w:val="none"/>
              </w:rPr>
              <w:t>亿元</w:t>
            </w:r>
            <w:r>
              <w:rPr>
                <w:rFonts w:ascii="宋体" w:hAnsi="宋体" w:cs="宋体"/>
                <w:color w:val="auto"/>
                <w:szCs w:val="21"/>
                <w:highlight w:val="none"/>
              </w:rPr>
              <w:t>人民币</w:t>
            </w:r>
          </w:p>
        </w:tc>
        <w:tc>
          <w:tcPr>
            <w:tcW w:w="1238" w:type="dxa"/>
            <w:vAlign w:val="center"/>
          </w:tcPr>
          <w:p>
            <w:pPr>
              <w:ind w:firstLine="0" w:firstLineChars="0"/>
              <w:jc w:val="center"/>
              <w:rPr>
                <w:rFonts w:ascii="宋体" w:hAnsi="宋体" w:cs="宋体"/>
                <w:color w:val="auto"/>
                <w:szCs w:val="21"/>
                <w:highlight w:val="none"/>
              </w:rPr>
            </w:pPr>
            <w:r>
              <w:rPr>
                <w:rFonts w:hint="eastAsia" w:ascii="宋体" w:hAnsi="宋体" w:cs="宋体"/>
                <w:color w:val="auto"/>
                <w:szCs w:val="21"/>
                <w:highlight w:val="none"/>
              </w:rPr>
              <w:t>注册地</w:t>
            </w:r>
          </w:p>
        </w:tc>
        <w:tc>
          <w:tcPr>
            <w:tcW w:w="3371" w:type="dxa"/>
            <w:vAlign w:val="center"/>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浙江省台州市椒江区疏港大道1号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color w:val="auto"/>
                <w:szCs w:val="21"/>
                <w:highlight w:val="none"/>
              </w:rPr>
            </w:pPr>
          </w:p>
        </w:tc>
        <w:tc>
          <w:tcPr>
            <w:tcW w:w="1616" w:type="dxa"/>
            <w:gridSpan w:val="2"/>
            <w:vMerge w:val="restart"/>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土地、建筑</w:t>
            </w:r>
          </w:p>
        </w:tc>
        <w:tc>
          <w:tcPr>
            <w:tcW w:w="1628" w:type="dxa"/>
          </w:tcPr>
          <w:p>
            <w:pPr>
              <w:ind w:firstLine="420"/>
              <w:rPr>
                <w:rFonts w:ascii="宋体" w:hAnsi="宋体" w:cs="宋体"/>
                <w:color w:val="auto"/>
                <w:szCs w:val="21"/>
                <w:highlight w:val="none"/>
              </w:rPr>
            </w:pPr>
            <w:r>
              <w:rPr>
                <w:rFonts w:hint="eastAsia" w:ascii="宋体" w:hAnsi="宋体" w:cs="宋体"/>
                <w:color w:val="auto"/>
                <w:szCs w:val="21"/>
                <w:highlight w:val="none"/>
              </w:rPr>
              <w:t>占地面积</w:t>
            </w:r>
          </w:p>
        </w:tc>
        <w:tc>
          <w:tcPr>
            <w:tcW w:w="4609" w:type="dxa"/>
            <w:gridSpan w:val="2"/>
            <w:vAlign w:val="center"/>
          </w:tcPr>
          <w:p>
            <w:pPr>
              <w:ind w:firstLine="0" w:firstLineChars="0"/>
              <w:jc w:val="center"/>
              <w:rPr>
                <w:rFonts w:ascii="宋体" w:hAnsi="宋体" w:cs="宋体"/>
                <w:color w:val="auto"/>
                <w:szCs w:val="21"/>
                <w:highlight w:val="none"/>
              </w:rPr>
            </w:pPr>
            <w:r>
              <w:rPr>
                <w:rFonts w:hint="eastAsia" w:ascii="宋体" w:hAnsi="宋体" w:cs="宋体"/>
                <w:color w:val="auto"/>
                <w:sz w:val="18"/>
                <w:szCs w:val="18"/>
                <w:highlight w:val="none"/>
              </w:rPr>
              <w:t>6</w:t>
            </w:r>
            <w:r>
              <w:rPr>
                <w:rFonts w:ascii="宋体" w:hAnsi="宋体" w:cs="宋体"/>
                <w:color w:val="auto"/>
                <w:sz w:val="18"/>
                <w:szCs w:val="18"/>
                <w:highlight w:val="none"/>
              </w:rPr>
              <w:t>746.79</w:t>
            </w:r>
            <w:r>
              <w:rPr>
                <w:rFonts w:hint="eastAsia" w:ascii="宋体" w:hAnsi="宋体" w:cs="宋体"/>
                <w:color w:val="auto"/>
                <w:sz w:val="18"/>
                <w:szCs w:val="18"/>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color w:val="auto"/>
                <w:szCs w:val="21"/>
                <w:highlight w:val="none"/>
              </w:rPr>
            </w:pPr>
          </w:p>
        </w:tc>
        <w:tc>
          <w:tcPr>
            <w:tcW w:w="1616" w:type="dxa"/>
            <w:gridSpan w:val="2"/>
            <w:vMerge w:val="continue"/>
            <w:vAlign w:val="center"/>
          </w:tcPr>
          <w:p>
            <w:pPr>
              <w:ind w:firstLine="420"/>
              <w:jc w:val="left"/>
              <w:rPr>
                <w:rFonts w:ascii="宋体" w:hAnsi="宋体" w:cs="宋体"/>
                <w:color w:val="auto"/>
                <w:szCs w:val="21"/>
                <w:highlight w:val="none"/>
              </w:rPr>
            </w:pPr>
          </w:p>
        </w:tc>
        <w:tc>
          <w:tcPr>
            <w:tcW w:w="1628" w:type="dxa"/>
          </w:tcPr>
          <w:p>
            <w:pPr>
              <w:ind w:firstLine="420"/>
              <w:rPr>
                <w:rFonts w:ascii="宋体" w:hAnsi="宋体" w:cs="宋体"/>
                <w:color w:val="auto"/>
                <w:szCs w:val="21"/>
                <w:highlight w:val="none"/>
              </w:rPr>
            </w:pPr>
            <w:r>
              <w:rPr>
                <w:rFonts w:hint="eastAsia" w:ascii="宋体" w:hAnsi="宋体" w:cs="宋体"/>
                <w:color w:val="auto"/>
                <w:szCs w:val="21"/>
                <w:highlight w:val="none"/>
              </w:rPr>
              <w:t>建筑面积</w:t>
            </w:r>
          </w:p>
        </w:tc>
        <w:tc>
          <w:tcPr>
            <w:tcW w:w="4609" w:type="dxa"/>
            <w:gridSpan w:val="2"/>
            <w:vAlign w:val="center"/>
          </w:tcPr>
          <w:p>
            <w:pPr>
              <w:ind w:firstLine="0" w:firstLineChars="0"/>
              <w:jc w:val="center"/>
              <w:rPr>
                <w:rFonts w:ascii="宋体" w:hAnsi="宋体" w:cs="宋体"/>
                <w:color w:val="auto"/>
                <w:szCs w:val="21"/>
                <w:highlight w:val="none"/>
              </w:rPr>
            </w:pPr>
            <w:r>
              <w:rPr>
                <w:rFonts w:ascii="宋体" w:hAnsi="宋体" w:cs="宋体"/>
                <w:color w:val="auto"/>
                <w:sz w:val="18"/>
                <w:szCs w:val="18"/>
                <w:highlight w:val="none"/>
              </w:rPr>
              <w:t>7161.76</w:t>
            </w:r>
            <w:r>
              <w:rPr>
                <w:rFonts w:hint="eastAsia" w:ascii="宋体" w:hAnsi="宋体" w:cs="宋体"/>
                <w:color w:val="auto"/>
                <w:sz w:val="18"/>
                <w:szCs w:val="18"/>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color w:val="auto"/>
                <w:szCs w:val="21"/>
                <w:highlight w:val="none"/>
              </w:rPr>
            </w:pPr>
          </w:p>
        </w:tc>
        <w:tc>
          <w:tcPr>
            <w:tcW w:w="1616" w:type="dxa"/>
            <w:gridSpan w:val="2"/>
            <w:vMerge w:val="continue"/>
            <w:vAlign w:val="center"/>
          </w:tcPr>
          <w:p>
            <w:pPr>
              <w:ind w:firstLine="420"/>
              <w:jc w:val="left"/>
              <w:rPr>
                <w:rFonts w:ascii="宋体" w:hAnsi="宋体" w:cs="宋体"/>
                <w:color w:val="auto"/>
                <w:szCs w:val="21"/>
                <w:highlight w:val="none"/>
              </w:rPr>
            </w:pPr>
          </w:p>
        </w:tc>
        <w:tc>
          <w:tcPr>
            <w:tcW w:w="1628" w:type="dxa"/>
          </w:tcPr>
          <w:p>
            <w:pPr>
              <w:ind w:firstLine="420"/>
              <w:rPr>
                <w:rFonts w:ascii="宋体" w:hAnsi="宋体" w:cs="宋体"/>
                <w:color w:val="auto"/>
                <w:szCs w:val="21"/>
                <w:highlight w:val="none"/>
              </w:rPr>
            </w:pPr>
            <w:r>
              <w:rPr>
                <w:rFonts w:hint="eastAsia" w:ascii="宋体" w:hAnsi="宋体" w:cs="宋体"/>
                <w:color w:val="auto"/>
                <w:szCs w:val="21"/>
                <w:highlight w:val="none"/>
              </w:rPr>
              <w:t>土地面积</w:t>
            </w:r>
          </w:p>
        </w:tc>
        <w:tc>
          <w:tcPr>
            <w:tcW w:w="4609" w:type="dxa"/>
            <w:gridSpan w:val="2"/>
          </w:tcPr>
          <w:p>
            <w:pPr>
              <w:ind w:firstLine="0" w:firstLineChars="0"/>
              <w:jc w:val="center"/>
              <w:rPr>
                <w:rFonts w:ascii="宋体" w:hAnsi="宋体" w:cs="宋体"/>
                <w:color w:val="auto"/>
                <w:szCs w:val="21"/>
                <w:highlight w:val="none"/>
              </w:rPr>
            </w:pPr>
            <w:r>
              <w:rPr>
                <w:rFonts w:hint="eastAsia" w:ascii="宋体" w:hAnsi="宋体" w:cs="宋体"/>
                <w:color w:val="auto"/>
                <w:sz w:val="18"/>
                <w:szCs w:val="18"/>
                <w:highlight w:val="none"/>
              </w:rPr>
              <w:t>6</w:t>
            </w:r>
            <w:r>
              <w:rPr>
                <w:rFonts w:ascii="宋体" w:hAnsi="宋体" w:cs="宋体"/>
                <w:color w:val="auto"/>
                <w:sz w:val="18"/>
                <w:szCs w:val="18"/>
                <w:highlight w:val="none"/>
              </w:rPr>
              <w:t>746.79</w:t>
            </w:r>
            <w:r>
              <w:rPr>
                <w:rFonts w:hint="eastAsia" w:ascii="宋体" w:hAnsi="宋体" w:cs="宋体"/>
                <w:color w:val="auto"/>
                <w:sz w:val="18"/>
                <w:szCs w:val="18"/>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人员情况</w:t>
            </w:r>
          </w:p>
        </w:tc>
        <w:tc>
          <w:tcPr>
            <w:tcW w:w="6237" w:type="dxa"/>
            <w:gridSpan w:val="3"/>
          </w:tcPr>
          <w:p>
            <w:pPr>
              <w:ind w:firstLine="420"/>
              <w:rPr>
                <w:rFonts w:ascii="宋体" w:hAnsi="宋体" w:cs="宋体"/>
                <w:color w:val="auto"/>
                <w:szCs w:val="21"/>
                <w:highlight w:val="none"/>
              </w:rPr>
            </w:pPr>
            <w:r>
              <w:rPr>
                <w:rFonts w:hint="eastAsia" w:ascii="宋体" w:hAnsi="宋体" w:cs="宋体"/>
                <w:color w:val="auto"/>
                <w:szCs w:val="21"/>
                <w:highlight w:val="none"/>
              </w:rPr>
              <w:t>职工人数：350人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14" w:hRule="atLeast"/>
        </w:trPr>
        <w:tc>
          <w:tcPr>
            <w:tcW w:w="1190" w:type="dxa"/>
            <w:vMerge w:val="continue"/>
          </w:tcPr>
          <w:p>
            <w:pPr>
              <w:ind w:firstLine="420"/>
              <w:rPr>
                <w:rFonts w:ascii="宋体" w:hAnsi="宋体" w:cs="宋体"/>
                <w:color w:val="auto"/>
                <w:szCs w:val="21"/>
                <w:highlight w:val="none"/>
              </w:rPr>
            </w:pPr>
          </w:p>
        </w:tc>
        <w:tc>
          <w:tcPr>
            <w:tcW w:w="1616"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标的企业概述</w:t>
            </w:r>
          </w:p>
        </w:tc>
        <w:tc>
          <w:tcPr>
            <w:tcW w:w="6237" w:type="dxa"/>
            <w:gridSpan w:val="3"/>
          </w:tcPr>
          <w:p>
            <w:pPr>
              <w:ind w:firstLine="420"/>
              <w:rPr>
                <w:rFonts w:ascii="宋体" w:hAnsi="宋体" w:cs="宋体"/>
                <w:color w:val="auto"/>
                <w:szCs w:val="21"/>
                <w:highlight w:val="none"/>
              </w:rPr>
            </w:pPr>
            <w:r>
              <w:rPr>
                <w:rFonts w:hint="eastAsia" w:ascii="宋体" w:hAnsi="宋体" w:cs="宋体"/>
                <w:color w:val="auto"/>
                <w:szCs w:val="21"/>
                <w:highlight w:val="none"/>
              </w:rPr>
              <w:t>1、标的企业股东持股情况如下（前十位）：浙江海正药业股份有限公司出资</w:t>
            </w:r>
            <w:r>
              <w:rPr>
                <w:rFonts w:ascii="宋体" w:hAnsi="宋体" w:cs="宋体"/>
                <w:color w:val="auto"/>
                <w:szCs w:val="21"/>
                <w:highlight w:val="none"/>
              </w:rPr>
              <w:t>29,829.50</w:t>
            </w:r>
            <w:r>
              <w:rPr>
                <w:rFonts w:hint="eastAsia" w:ascii="宋体" w:hAnsi="宋体" w:cs="宋体"/>
                <w:color w:val="auto"/>
                <w:szCs w:val="21"/>
                <w:highlight w:val="none"/>
              </w:rPr>
              <w:t>万元，占资比例</w:t>
            </w:r>
            <w:r>
              <w:rPr>
                <w:rFonts w:ascii="宋体" w:hAnsi="宋体" w:cs="宋体"/>
                <w:color w:val="auto"/>
                <w:szCs w:val="21"/>
                <w:highlight w:val="none"/>
              </w:rPr>
              <w:t>59.66</w:t>
            </w:r>
            <w:r>
              <w:rPr>
                <w:rFonts w:hint="eastAsia" w:ascii="宋体" w:hAnsi="宋体" w:cs="宋体"/>
                <w:color w:val="auto"/>
                <w:szCs w:val="21"/>
                <w:highlight w:val="none"/>
              </w:rPr>
              <w:t>%；海正药业（杭州）有限公司出资</w:t>
            </w:r>
            <w:r>
              <w:rPr>
                <w:rFonts w:ascii="宋体" w:hAnsi="宋体" w:cs="宋体"/>
                <w:color w:val="auto"/>
                <w:szCs w:val="21"/>
                <w:highlight w:val="none"/>
              </w:rPr>
              <w:t>20,170.50</w:t>
            </w:r>
            <w:r>
              <w:rPr>
                <w:rFonts w:hint="eastAsia" w:ascii="宋体" w:hAnsi="宋体" w:cs="宋体"/>
                <w:color w:val="auto"/>
                <w:szCs w:val="21"/>
                <w:highlight w:val="none"/>
              </w:rPr>
              <w:t>万元，占资比例</w:t>
            </w:r>
            <w:r>
              <w:rPr>
                <w:rFonts w:ascii="宋体" w:hAnsi="宋体" w:cs="宋体"/>
                <w:color w:val="auto"/>
                <w:szCs w:val="21"/>
                <w:highlight w:val="none"/>
              </w:rPr>
              <w:t>40.34</w:t>
            </w:r>
            <w:r>
              <w:rPr>
                <w:rFonts w:hint="eastAsia" w:ascii="宋体" w:hAnsi="宋体" w:cs="宋体"/>
                <w:color w:val="auto"/>
                <w:szCs w:val="21"/>
                <w:highlight w:val="none"/>
              </w:rPr>
              <w:t>%。</w:t>
            </w:r>
          </w:p>
          <w:p>
            <w:pPr>
              <w:ind w:firstLine="420"/>
              <w:rPr>
                <w:rFonts w:ascii="宋体" w:hAnsi="宋体" w:cs="宋体"/>
                <w:color w:val="auto"/>
                <w:szCs w:val="21"/>
                <w:highlight w:val="none"/>
              </w:rPr>
            </w:pPr>
            <w:r>
              <w:rPr>
                <w:rFonts w:hint="eastAsia" w:ascii="宋体" w:hAnsi="宋体" w:cs="宋体"/>
                <w:color w:val="auto"/>
                <w:szCs w:val="21"/>
                <w:highlight w:val="none"/>
              </w:rPr>
              <w:t>2、公司经营状况：截止2019年4月30日，公司账面总资产1,283,473,033.97元，账面总负债367,510,657.00元，账面净资产915,962,376.97元。</w:t>
            </w:r>
          </w:p>
          <w:p>
            <w:pPr>
              <w:ind w:firstLine="420"/>
              <w:rPr>
                <w:rFonts w:ascii="宋体" w:hAnsi="宋体" w:cs="宋体"/>
                <w:color w:val="auto"/>
                <w:szCs w:val="21"/>
                <w:highlight w:val="none"/>
                <w:u w:val="single"/>
              </w:rPr>
            </w:pPr>
            <w:r>
              <w:rPr>
                <w:rFonts w:hint="eastAsia" w:ascii="宋体" w:hAnsi="宋体" w:cs="宋体"/>
                <w:color w:val="auto"/>
                <w:szCs w:val="21"/>
                <w:highlight w:val="none"/>
              </w:rPr>
              <w:t>3、标的企业股东是否有优先购买权：</w:t>
            </w:r>
            <w:r>
              <w:rPr>
                <w:rFonts w:hint="eastAsia" w:ascii="宋体" w:hAnsi="宋体" w:cs="宋体"/>
                <w:color w:val="auto"/>
                <w:szCs w:val="21"/>
                <w:highlight w:val="none"/>
                <w:u w:val="single"/>
              </w:rPr>
              <w:t xml:space="preserve">已放弃 </w:t>
            </w:r>
          </w:p>
          <w:p>
            <w:pPr>
              <w:ind w:firstLine="420"/>
              <w:rPr>
                <w:rFonts w:ascii="宋体" w:hAnsi="宋体" w:cs="宋体"/>
                <w:color w:val="auto"/>
                <w:szCs w:val="21"/>
                <w:highlight w:val="none"/>
                <w:u w:val="single"/>
              </w:rPr>
            </w:pPr>
            <w:r>
              <w:rPr>
                <w:rFonts w:hint="eastAsia" w:ascii="宋体" w:hAnsi="宋体" w:cs="宋体"/>
                <w:color w:val="auto"/>
                <w:szCs w:val="21"/>
                <w:highlight w:val="none"/>
              </w:rPr>
              <w:t>4、企业管理层是否参与受让:</w:t>
            </w:r>
            <w:r>
              <w:rPr>
                <w:rFonts w:hint="eastAsia" w:ascii="宋体" w:hAnsi="宋体" w:cs="宋体"/>
                <w:color w:val="auto"/>
                <w:szCs w:val="21"/>
                <w:highlight w:val="none"/>
                <w:u w:val="single"/>
              </w:rPr>
              <w:t>否</w:t>
            </w:r>
          </w:p>
          <w:p>
            <w:pPr>
              <w:ind w:firstLine="420"/>
              <w:rPr>
                <w:rFonts w:ascii="宋体" w:hAnsi="宋体" w:cs="宋体"/>
                <w:color w:val="auto"/>
                <w:szCs w:val="21"/>
                <w:highlight w:val="none"/>
              </w:rPr>
            </w:pPr>
            <w:r>
              <w:rPr>
                <w:rFonts w:hint="eastAsia" w:ascii="宋体" w:hAnsi="宋体" w:cs="宋体"/>
                <w:color w:val="auto"/>
                <w:szCs w:val="21"/>
                <w:highlight w:val="none"/>
              </w:rPr>
              <w:t>5、其它信息披露：</w:t>
            </w:r>
          </w:p>
          <w:p>
            <w:pPr>
              <w:numPr>
                <w:ilvl w:val="0"/>
                <w:numId w:val="10"/>
              </w:numPr>
              <w:ind w:firstLine="420"/>
              <w:rPr>
                <w:rFonts w:ascii="宋体" w:hAnsi="宋体" w:cs="宋体"/>
                <w:color w:val="auto"/>
                <w:szCs w:val="21"/>
                <w:highlight w:val="none"/>
              </w:rPr>
            </w:pPr>
            <w:r>
              <w:rPr>
                <w:rFonts w:hint="eastAsia" w:ascii="宋体" w:hAnsi="宋体" w:cs="宋体"/>
                <w:color w:val="auto"/>
                <w:szCs w:val="21"/>
                <w:highlight w:val="none"/>
              </w:rPr>
              <w:t>本次股权转让完成后，标的企业职工的劳动合同继续有效，其劳动关系、社会保险及住房公积金关系保持不变。</w:t>
            </w:r>
          </w:p>
          <w:p>
            <w:pPr>
              <w:numPr>
                <w:ilvl w:val="0"/>
                <w:numId w:val="10"/>
              </w:numPr>
              <w:ind w:firstLine="420"/>
              <w:rPr>
                <w:rFonts w:ascii="宋体" w:hAnsi="宋体" w:cs="宋体"/>
                <w:color w:val="auto"/>
                <w:szCs w:val="21"/>
                <w:highlight w:val="none"/>
              </w:rPr>
            </w:pPr>
            <w:r>
              <w:rPr>
                <w:rFonts w:hint="eastAsia" w:ascii="宋体" w:hAnsi="宋体" w:cs="宋体"/>
                <w:color w:val="auto"/>
                <w:szCs w:val="21"/>
                <w:highlight w:val="none"/>
              </w:rPr>
              <w:t>本次股权转让完成后，标的企业所有债权、债务依然由标的企业承继。</w:t>
            </w:r>
          </w:p>
          <w:p>
            <w:pPr>
              <w:numPr>
                <w:ilvl w:val="0"/>
                <w:numId w:val="10"/>
              </w:numPr>
              <w:ind w:firstLine="420"/>
              <w:rPr>
                <w:rFonts w:ascii="宋体" w:hAnsi="宋体" w:cs="宋体"/>
                <w:color w:val="auto"/>
                <w:szCs w:val="21"/>
                <w:highlight w:val="none"/>
              </w:rPr>
            </w:pPr>
            <w:r>
              <w:rPr>
                <w:rFonts w:hint="eastAsia" w:ascii="宋体" w:hAnsi="宋体" w:cs="宋体"/>
                <w:color w:val="auto"/>
                <w:szCs w:val="21"/>
                <w:highlight w:val="none"/>
              </w:rPr>
              <w:t>股权转让评估基准日（2019年</w:t>
            </w:r>
            <w:r>
              <w:rPr>
                <w:rFonts w:ascii="宋体" w:hAnsi="宋体" w:cs="宋体"/>
                <w:color w:val="auto"/>
                <w:szCs w:val="21"/>
                <w:highlight w:val="none"/>
              </w:rPr>
              <w:t>4</w:t>
            </w:r>
            <w:r>
              <w:rPr>
                <w:rFonts w:hint="eastAsia" w:ascii="宋体" w:hAnsi="宋体" w:cs="宋体"/>
                <w:color w:val="auto"/>
                <w:szCs w:val="21"/>
                <w:highlight w:val="none"/>
              </w:rPr>
              <w:t>月</w:t>
            </w:r>
            <w:r>
              <w:rPr>
                <w:rFonts w:ascii="宋体" w:hAnsi="宋体" w:cs="宋体"/>
                <w:color w:val="auto"/>
                <w:szCs w:val="21"/>
                <w:highlight w:val="none"/>
              </w:rPr>
              <w:t>30</w:t>
            </w:r>
            <w:r>
              <w:rPr>
                <w:rFonts w:hint="eastAsia" w:ascii="宋体" w:hAnsi="宋体" w:cs="宋体"/>
                <w:color w:val="auto"/>
                <w:szCs w:val="21"/>
                <w:highlight w:val="none"/>
              </w:rPr>
              <w:t>日）至股权转让交割日期间，标的企业经营损益不再进行审计清算，由受让方按照</w:t>
            </w:r>
            <w:r>
              <w:rPr>
                <w:rFonts w:ascii="宋体" w:hAnsi="宋体" w:cs="宋体"/>
                <w:color w:val="auto"/>
                <w:szCs w:val="21"/>
                <w:highlight w:val="none"/>
              </w:rPr>
              <w:t>股权比例</w:t>
            </w:r>
            <w:r>
              <w:rPr>
                <w:rFonts w:hint="eastAsia" w:ascii="宋体" w:hAnsi="宋体" w:cs="宋体"/>
                <w:color w:val="auto"/>
                <w:szCs w:val="21"/>
                <w:highlight w:val="none"/>
              </w:rPr>
              <w:t>享有或承担。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9" w:hRule="atLeast"/>
        </w:trPr>
        <w:tc>
          <w:tcPr>
            <w:tcW w:w="2091" w:type="dxa"/>
            <w:gridSpan w:val="2"/>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公告挂牌</w:t>
            </w:r>
          </w:p>
        </w:tc>
        <w:tc>
          <w:tcPr>
            <w:tcW w:w="6952"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1、公告挂牌期：正式挂牌时间自2019年8月7日公告日（即挂牌起始日）至2019年</w:t>
            </w:r>
            <w:r>
              <w:rPr>
                <w:rFonts w:ascii="宋体" w:hAnsi="宋体" w:cs="宋体"/>
                <w:color w:val="auto"/>
                <w:szCs w:val="21"/>
                <w:highlight w:val="none"/>
              </w:rPr>
              <w:t>9</w:t>
            </w:r>
            <w:r>
              <w:rPr>
                <w:rFonts w:hint="eastAsia" w:ascii="宋体" w:hAnsi="宋体" w:cs="宋体"/>
                <w:color w:val="auto"/>
                <w:szCs w:val="21"/>
                <w:highlight w:val="none"/>
              </w:rPr>
              <w:t>月</w:t>
            </w:r>
            <w:r>
              <w:rPr>
                <w:rFonts w:ascii="宋体" w:hAnsi="宋体" w:cs="宋体"/>
                <w:color w:val="auto"/>
                <w:szCs w:val="21"/>
                <w:highlight w:val="none"/>
              </w:rPr>
              <w:t>3</w:t>
            </w:r>
            <w:r>
              <w:rPr>
                <w:rFonts w:hint="eastAsia" w:ascii="宋体" w:hAnsi="宋体" w:cs="宋体"/>
                <w:color w:val="auto"/>
                <w:szCs w:val="21"/>
                <w:highlight w:val="none"/>
              </w:rPr>
              <w:t>日下午4时整止。</w:t>
            </w:r>
          </w:p>
          <w:p>
            <w:pPr>
              <w:ind w:firstLine="0" w:firstLineChars="0"/>
              <w:rPr>
                <w:rFonts w:hint="eastAsia" w:ascii="宋体" w:hAnsi="宋体" w:cs="宋体"/>
                <w:color w:val="auto"/>
                <w:szCs w:val="21"/>
                <w:highlight w:val="none"/>
              </w:rPr>
            </w:pPr>
            <w:r>
              <w:rPr>
                <w:rFonts w:hint="eastAsia" w:ascii="宋体" w:hAnsi="宋体" w:cs="宋体"/>
                <w:color w:val="auto"/>
                <w:szCs w:val="21"/>
                <w:highlight w:val="none"/>
              </w:rPr>
              <w:t>2、本次股权转让公告发布的同时，标的公司浙江海正博锐生物制药有限公司同步发布增资项目公告（台交所挂〔2019〕</w:t>
            </w:r>
            <w:r>
              <w:rPr>
                <w:rFonts w:hint="eastAsia" w:ascii="宋体" w:hAnsi="宋体" w:cs="宋体"/>
                <w:color w:val="auto"/>
                <w:szCs w:val="21"/>
                <w:highlight w:val="none"/>
                <w:lang w:val="en-US" w:eastAsia="zh-CN"/>
              </w:rPr>
              <w:t>16</w:t>
            </w:r>
            <w:r>
              <w:rPr>
                <w:rFonts w:hint="eastAsia" w:ascii="宋体" w:hAnsi="宋体" w:cs="宋体"/>
                <w:color w:val="auto"/>
                <w:szCs w:val="21"/>
                <w:highlight w:val="none"/>
              </w:rPr>
              <w:t>号）,竞买人资格条件、交易条件、与转让相关的其他条件以增资公告为准，本转让项目不单独接受竞买人办理受让意向登记手续，竞买人须满足“浙江海正博锐生物制药有限公司增资项目”的资格条件，并承诺接受所有增资条件，成为增资项目的意向投资方。</w:t>
            </w:r>
          </w:p>
          <w:p>
            <w:pPr>
              <w:ind w:firstLine="0" w:firstLineChars="0"/>
              <w:rPr>
                <w:rFonts w:ascii="宋体" w:hAnsi="宋体" w:cs="宋体"/>
                <w:color w:val="auto"/>
                <w:szCs w:val="21"/>
                <w:highlight w:val="none"/>
              </w:rPr>
            </w:pPr>
            <w:r>
              <w:rPr>
                <w:rFonts w:hint="eastAsia" w:ascii="宋体" w:hAnsi="宋体" w:cs="宋体"/>
                <w:color w:val="auto"/>
                <w:szCs w:val="21"/>
                <w:highlight w:val="none"/>
              </w:rPr>
              <w:t>3、意向受让人应在报名期间2019年</w:t>
            </w:r>
            <w:r>
              <w:rPr>
                <w:rFonts w:ascii="宋体" w:hAnsi="宋体" w:cs="宋体"/>
                <w:color w:val="auto"/>
                <w:szCs w:val="21"/>
                <w:highlight w:val="none"/>
              </w:rPr>
              <w:t>8</w:t>
            </w:r>
            <w:r>
              <w:rPr>
                <w:rFonts w:hint="eastAsia" w:ascii="宋体" w:hAnsi="宋体" w:cs="宋体"/>
                <w:color w:val="auto"/>
                <w:szCs w:val="21"/>
                <w:highlight w:val="none"/>
              </w:rPr>
              <w:t>月7日至</w:t>
            </w:r>
            <w:r>
              <w:rPr>
                <w:rFonts w:ascii="宋体" w:hAnsi="宋体" w:cs="宋体"/>
                <w:color w:val="auto"/>
                <w:szCs w:val="21"/>
                <w:highlight w:val="none"/>
              </w:rPr>
              <w:t>9</w:t>
            </w:r>
            <w:r>
              <w:rPr>
                <w:rFonts w:hint="eastAsia" w:ascii="宋体" w:hAnsi="宋体" w:cs="宋体"/>
                <w:color w:val="auto"/>
                <w:szCs w:val="21"/>
                <w:highlight w:val="none"/>
              </w:rPr>
              <w:t>月</w:t>
            </w:r>
            <w:r>
              <w:rPr>
                <w:rFonts w:ascii="宋体" w:hAnsi="宋体" w:cs="宋体"/>
                <w:color w:val="auto"/>
                <w:szCs w:val="21"/>
                <w:highlight w:val="none"/>
              </w:rPr>
              <w:t>3</w:t>
            </w:r>
            <w:r>
              <w:rPr>
                <w:rFonts w:hint="eastAsia" w:ascii="宋体" w:hAnsi="宋体" w:cs="宋体"/>
                <w:color w:val="auto"/>
                <w:szCs w:val="21"/>
                <w:highlight w:val="none"/>
              </w:rPr>
              <w:t>日下午4：00（节假日除外）到台州市产权交易所办理意向受让登记手续</w:t>
            </w:r>
            <w:r>
              <w:rPr>
                <w:rFonts w:hint="eastAsia" w:ascii="宋体" w:hAnsi="宋体" w:cs="宋体"/>
                <w:color w:val="auto"/>
                <w:szCs w:val="21"/>
                <w:highlight w:val="none"/>
                <w:u w:val="single"/>
              </w:rPr>
              <w:t>。</w:t>
            </w:r>
            <w:r>
              <w:rPr>
                <w:rFonts w:hint="eastAsia" w:ascii="宋体" w:hAnsi="宋体" w:cs="宋体"/>
                <w:color w:val="auto"/>
                <w:szCs w:val="21"/>
                <w:highlight w:val="none"/>
                <w:u w:val="single"/>
              </w:rPr>
              <w:sym w:font="Times New Roman" w:char="0000"/>
            </w:r>
            <w:r>
              <w:rPr>
                <w:rFonts w:hint="eastAsia" w:ascii="宋体" w:hAnsi="宋体" w:cs="宋体"/>
                <w:color w:val="auto"/>
                <w:szCs w:val="21"/>
                <w:highlight w:val="none"/>
                <w:u w:val="single"/>
              </w:rPr>
              <w:t>企业（公司）法人主体资格证明文件，包含企业法人营业执照副本的复印件，法定代表人及授权委托人的身份证明及授权委托书、公司章程、相关决议等相关资料。</w:t>
            </w:r>
            <w:r>
              <w:rPr>
                <w:rFonts w:hint="eastAsia" w:ascii="宋体" w:hAnsi="宋体" w:cs="宋体"/>
                <w:color w:val="auto"/>
                <w:szCs w:val="21"/>
                <w:highlight w:val="none"/>
              </w:rPr>
              <w:sym w:font="Times New Roman" w:char="0000"/>
            </w:r>
            <w:r>
              <w:rPr>
                <w:rFonts w:hint="eastAsia" w:ascii="宋体" w:hAnsi="宋体" w:cs="宋体"/>
                <w:color w:val="auto"/>
                <w:szCs w:val="21"/>
                <w:highlight w:val="none"/>
              </w:rPr>
              <w:t>缴纳保证金 67,772.88 万元。</w:t>
            </w:r>
          </w:p>
        </w:tc>
      </w:tr>
    </w:tbl>
    <w:p>
      <w:pPr>
        <w:ind w:firstLine="0" w:firstLineChars="0"/>
        <w:rPr>
          <w:rFonts w:ascii="宋体" w:hAnsi="宋体" w:cs="宋体"/>
          <w:szCs w:val="21"/>
          <w:highlight w:val="none"/>
        </w:rPr>
      </w:pPr>
    </w:p>
    <w:tbl>
      <w:tblPr>
        <w:tblStyle w:val="15"/>
        <w:tblW w:w="90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exact"/>
          <w:jc w:val="center"/>
        </w:trPr>
        <w:tc>
          <w:tcPr>
            <w:tcW w:w="1961" w:type="dxa"/>
            <w:vMerge w:val="restart"/>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主要财务指标</w:t>
            </w:r>
          </w:p>
          <w:p>
            <w:pPr>
              <w:ind w:firstLine="0" w:firstLineChars="0"/>
              <w:jc w:val="center"/>
              <w:rPr>
                <w:rFonts w:ascii="宋体" w:hAnsi="宋体"/>
                <w:b/>
                <w:sz w:val="24"/>
                <w:szCs w:val="22"/>
                <w:highlight w:val="none"/>
              </w:rPr>
            </w:pPr>
            <w:r>
              <w:rPr>
                <w:rFonts w:hint="eastAsia" w:ascii="宋体" w:hAnsi="宋体"/>
                <w:b/>
                <w:sz w:val="24"/>
                <w:szCs w:val="22"/>
                <w:highlight w:val="none"/>
              </w:rPr>
              <w:t>（单位：人民币元）</w:t>
            </w:r>
          </w:p>
        </w:tc>
        <w:tc>
          <w:tcPr>
            <w:tcW w:w="7095" w:type="dxa"/>
            <w:gridSpan w:val="4"/>
            <w:vAlign w:val="center"/>
          </w:tcPr>
          <w:p>
            <w:pPr>
              <w:ind w:firstLine="480" w:firstLineChars="0"/>
              <w:jc w:val="center"/>
              <w:rPr>
                <w:rFonts w:ascii="宋体" w:hAnsi="宋体"/>
                <w:sz w:val="24"/>
                <w:szCs w:val="22"/>
                <w:highlight w:val="none"/>
              </w:rPr>
            </w:pPr>
            <w:r>
              <w:rPr>
                <w:rFonts w:hint="eastAsia" w:ascii="宋体" w:hAnsi="宋体"/>
                <w:sz w:val="24"/>
                <w:szCs w:val="22"/>
                <w:highlight w:val="none"/>
              </w:rPr>
              <w:t>以下数据出自2019年1-4月审计报告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firstLineChars="0"/>
              <w:jc w:val="center"/>
              <w:rPr>
                <w:rFonts w:ascii="宋体" w:hAnsi="宋体"/>
                <w:b/>
                <w:sz w:val="24"/>
                <w:szCs w:val="22"/>
                <w:highlight w:val="none"/>
              </w:rPr>
            </w:pPr>
          </w:p>
        </w:tc>
        <w:tc>
          <w:tcPr>
            <w:tcW w:w="1840" w:type="dxa"/>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年度日期</w:t>
            </w:r>
          </w:p>
        </w:tc>
        <w:tc>
          <w:tcPr>
            <w:tcW w:w="1862" w:type="dxa"/>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资产总计</w:t>
            </w:r>
          </w:p>
        </w:tc>
        <w:tc>
          <w:tcPr>
            <w:tcW w:w="1701" w:type="dxa"/>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负债总计</w:t>
            </w:r>
          </w:p>
        </w:tc>
        <w:tc>
          <w:tcPr>
            <w:tcW w:w="1692" w:type="dxa"/>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firstLineChars="0"/>
              <w:jc w:val="center"/>
              <w:rPr>
                <w:rFonts w:ascii="宋体" w:hAnsi="宋体"/>
                <w:b/>
                <w:sz w:val="24"/>
                <w:szCs w:val="22"/>
                <w:highlight w:val="none"/>
              </w:rPr>
            </w:pPr>
          </w:p>
        </w:tc>
        <w:tc>
          <w:tcPr>
            <w:tcW w:w="1840" w:type="dxa"/>
            <w:vMerge w:val="restart"/>
            <w:vAlign w:val="center"/>
          </w:tcPr>
          <w:p>
            <w:pPr>
              <w:ind w:firstLine="0" w:firstLineChars="0"/>
              <w:jc w:val="center"/>
              <w:rPr>
                <w:rFonts w:ascii="宋体" w:hAnsi="宋体"/>
                <w:sz w:val="24"/>
                <w:szCs w:val="22"/>
                <w:highlight w:val="none"/>
                <w:u w:val="single"/>
              </w:rPr>
            </w:pPr>
            <w:r>
              <w:rPr>
                <w:rFonts w:hint="eastAsia" w:ascii="宋体" w:hAnsi="宋体"/>
                <w:szCs w:val="22"/>
                <w:highlight w:val="none"/>
              </w:rPr>
              <w:t>2019年4月30日</w:t>
            </w:r>
          </w:p>
        </w:tc>
        <w:tc>
          <w:tcPr>
            <w:tcW w:w="1862" w:type="dxa"/>
            <w:vAlign w:val="center"/>
          </w:tcPr>
          <w:p>
            <w:pPr>
              <w:ind w:firstLine="0" w:firstLineChars="0"/>
              <w:jc w:val="right"/>
              <w:rPr>
                <w:rFonts w:ascii="宋体" w:hAnsi="宋体"/>
                <w:bCs/>
                <w:sz w:val="24"/>
                <w:szCs w:val="22"/>
                <w:highlight w:val="none"/>
              </w:rPr>
            </w:pPr>
            <w:r>
              <w:rPr>
                <w:rFonts w:ascii="宋体" w:hAnsi="宋体" w:cs="宋体"/>
                <w:sz w:val="20"/>
                <w:szCs w:val="18"/>
                <w:highlight w:val="none"/>
              </w:rPr>
              <w:t>1,283,473,033.97</w:t>
            </w:r>
          </w:p>
        </w:tc>
        <w:tc>
          <w:tcPr>
            <w:tcW w:w="1701" w:type="dxa"/>
            <w:vAlign w:val="center"/>
          </w:tcPr>
          <w:p>
            <w:pPr>
              <w:ind w:firstLine="0" w:firstLineChars="0"/>
              <w:jc w:val="right"/>
              <w:rPr>
                <w:rFonts w:ascii="宋体" w:hAnsi="宋体"/>
                <w:bCs/>
                <w:sz w:val="24"/>
                <w:szCs w:val="22"/>
                <w:highlight w:val="none"/>
              </w:rPr>
            </w:pPr>
            <w:r>
              <w:rPr>
                <w:rFonts w:ascii="宋体" w:hAnsi="宋体" w:cs="宋体"/>
                <w:sz w:val="20"/>
                <w:szCs w:val="18"/>
                <w:highlight w:val="none"/>
              </w:rPr>
              <w:t>367,510,657.00</w:t>
            </w:r>
          </w:p>
        </w:tc>
        <w:tc>
          <w:tcPr>
            <w:tcW w:w="1692" w:type="dxa"/>
            <w:vAlign w:val="center"/>
          </w:tcPr>
          <w:p>
            <w:pPr>
              <w:ind w:firstLine="0" w:firstLineChars="0"/>
              <w:jc w:val="right"/>
              <w:rPr>
                <w:rFonts w:ascii="宋体" w:hAnsi="宋体"/>
                <w:bCs/>
                <w:sz w:val="24"/>
                <w:szCs w:val="22"/>
                <w:highlight w:val="none"/>
              </w:rPr>
            </w:pPr>
            <w:r>
              <w:rPr>
                <w:rFonts w:ascii="宋体" w:hAnsi="宋体" w:cs="宋体"/>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sz w:val="24"/>
                <w:szCs w:val="22"/>
                <w:highlight w:val="none"/>
              </w:rPr>
            </w:pPr>
          </w:p>
        </w:tc>
        <w:tc>
          <w:tcPr>
            <w:tcW w:w="1840" w:type="dxa"/>
            <w:vMerge w:val="continue"/>
            <w:shd w:val="clear" w:color="auto" w:fill="auto"/>
            <w:vAlign w:val="center"/>
          </w:tcPr>
          <w:p>
            <w:pPr>
              <w:ind w:firstLine="0" w:firstLineChars="0"/>
              <w:jc w:val="center"/>
              <w:rPr>
                <w:rFonts w:ascii="宋体" w:hAnsi="宋体"/>
                <w:sz w:val="24"/>
                <w:szCs w:val="22"/>
                <w:highlight w:val="none"/>
                <w:u w:val="single"/>
              </w:rPr>
            </w:pPr>
          </w:p>
        </w:tc>
        <w:tc>
          <w:tcPr>
            <w:tcW w:w="1862" w:type="dxa"/>
            <w:shd w:val="clear" w:color="auto" w:fill="auto"/>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营业收入</w:t>
            </w:r>
          </w:p>
        </w:tc>
        <w:tc>
          <w:tcPr>
            <w:tcW w:w="1701" w:type="dxa"/>
            <w:shd w:val="clear" w:color="auto" w:fill="FFFFFF"/>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利润总额</w:t>
            </w:r>
          </w:p>
        </w:tc>
        <w:tc>
          <w:tcPr>
            <w:tcW w:w="1692" w:type="dxa"/>
            <w:shd w:val="clear" w:color="auto" w:fill="FFFFFF"/>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sz w:val="24"/>
                <w:szCs w:val="22"/>
                <w:highlight w:val="none"/>
              </w:rPr>
            </w:pPr>
          </w:p>
        </w:tc>
        <w:tc>
          <w:tcPr>
            <w:tcW w:w="1840" w:type="dxa"/>
            <w:vMerge w:val="continue"/>
            <w:shd w:val="clear" w:color="auto" w:fill="auto"/>
            <w:vAlign w:val="center"/>
          </w:tcPr>
          <w:p>
            <w:pPr>
              <w:ind w:firstLine="0" w:firstLineChars="0"/>
              <w:jc w:val="center"/>
              <w:rPr>
                <w:rFonts w:ascii="宋体" w:hAnsi="宋体"/>
                <w:sz w:val="24"/>
                <w:szCs w:val="22"/>
                <w:highlight w:val="none"/>
                <w:u w:val="single"/>
              </w:rPr>
            </w:pPr>
          </w:p>
        </w:tc>
        <w:tc>
          <w:tcPr>
            <w:tcW w:w="1862" w:type="dxa"/>
            <w:shd w:val="clear" w:color="auto" w:fill="auto"/>
            <w:vAlign w:val="center"/>
          </w:tcPr>
          <w:p>
            <w:pPr>
              <w:ind w:firstLine="0" w:firstLineChars="0"/>
              <w:jc w:val="right"/>
              <w:rPr>
                <w:rFonts w:ascii="宋体" w:hAnsi="宋体" w:cs="宋体"/>
                <w:sz w:val="20"/>
                <w:szCs w:val="18"/>
                <w:highlight w:val="none"/>
              </w:rPr>
            </w:pPr>
            <w:bookmarkStart w:id="36" w:name="here"/>
            <w:r>
              <w:rPr>
                <w:rFonts w:ascii="宋体" w:hAnsi="宋体" w:cs="宋体"/>
                <w:sz w:val="20"/>
                <w:szCs w:val="18"/>
                <w:highlight w:val="none"/>
              </w:rPr>
              <w:t>53,171,442.69</w:t>
            </w:r>
            <w:bookmarkEnd w:id="36"/>
          </w:p>
        </w:tc>
        <w:tc>
          <w:tcPr>
            <w:tcW w:w="1701" w:type="dxa"/>
            <w:shd w:val="clear" w:color="auto" w:fill="FFFFFF"/>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-8,327,859.44</w:t>
            </w:r>
          </w:p>
        </w:tc>
        <w:tc>
          <w:tcPr>
            <w:tcW w:w="1692" w:type="dxa"/>
            <w:shd w:val="clear" w:color="auto" w:fill="FFFFFF"/>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-8,327,859.44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sz w:val="24"/>
                <w:szCs w:val="22"/>
                <w:highlight w:val="none"/>
              </w:rPr>
            </w:pPr>
          </w:p>
        </w:tc>
        <w:tc>
          <w:tcPr>
            <w:tcW w:w="1840" w:type="dxa"/>
            <w:shd w:val="clear" w:color="auto" w:fill="auto"/>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审计机构</w:t>
            </w:r>
          </w:p>
        </w:tc>
        <w:tc>
          <w:tcPr>
            <w:tcW w:w="5255" w:type="dxa"/>
            <w:gridSpan w:val="3"/>
            <w:shd w:val="clear" w:color="auto" w:fill="FFFFFF"/>
            <w:vAlign w:val="center"/>
          </w:tcPr>
          <w:p>
            <w:pPr>
              <w:ind w:firstLine="0" w:firstLineChars="0"/>
              <w:jc w:val="center"/>
              <w:rPr>
                <w:rFonts w:ascii="宋体" w:hAnsi="宋体"/>
                <w:sz w:val="24"/>
                <w:szCs w:val="22"/>
                <w:highlight w:val="none"/>
              </w:rPr>
            </w:pPr>
            <w:r>
              <w:rPr>
                <w:rFonts w:hint="eastAsia" w:ascii="宋体" w:hAnsi="宋体"/>
                <w:sz w:val="24"/>
                <w:szCs w:val="22"/>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sz w:val="24"/>
                <w:szCs w:val="22"/>
                <w:highlight w:val="none"/>
              </w:rPr>
            </w:pPr>
          </w:p>
        </w:tc>
        <w:tc>
          <w:tcPr>
            <w:tcW w:w="7095" w:type="dxa"/>
            <w:gridSpan w:val="4"/>
            <w:shd w:val="clear" w:color="auto" w:fill="FFFFFF"/>
            <w:vAlign w:val="center"/>
          </w:tcPr>
          <w:p>
            <w:pPr>
              <w:ind w:firstLine="0" w:firstLineChars="0"/>
              <w:jc w:val="center"/>
              <w:rPr>
                <w:rFonts w:ascii="宋体" w:hAnsi="宋体"/>
                <w:sz w:val="24"/>
                <w:szCs w:val="22"/>
                <w:highlight w:val="none"/>
              </w:rPr>
            </w:pPr>
            <w:r>
              <w:rPr>
                <w:rFonts w:hint="eastAsia" w:ascii="宋体" w:hAnsi="宋体"/>
                <w:sz w:val="24"/>
                <w:szCs w:val="22"/>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firstLineChars="0"/>
              <w:jc w:val="center"/>
              <w:rPr>
                <w:rFonts w:ascii="宋体" w:hAnsi="宋体"/>
                <w:sz w:val="24"/>
                <w:szCs w:val="22"/>
                <w:highlight w:val="none"/>
              </w:rPr>
            </w:pPr>
          </w:p>
        </w:tc>
        <w:tc>
          <w:tcPr>
            <w:tcW w:w="1840" w:type="dxa"/>
            <w:shd w:val="clear" w:color="auto" w:fill="auto"/>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报表日期</w:t>
            </w:r>
          </w:p>
        </w:tc>
        <w:tc>
          <w:tcPr>
            <w:tcW w:w="1862" w:type="dxa"/>
            <w:shd w:val="clear" w:color="auto" w:fill="auto"/>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资产总计</w:t>
            </w:r>
          </w:p>
        </w:tc>
        <w:tc>
          <w:tcPr>
            <w:tcW w:w="1701" w:type="dxa"/>
            <w:shd w:val="clear" w:color="auto" w:fill="FFFFFF"/>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负债总计</w:t>
            </w:r>
          </w:p>
        </w:tc>
        <w:tc>
          <w:tcPr>
            <w:tcW w:w="1692" w:type="dxa"/>
            <w:shd w:val="clear" w:color="auto" w:fill="FFFFFF"/>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1" w:hRule="exact"/>
          <w:jc w:val="center"/>
        </w:trPr>
        <w:tc>
          <w:tcPr>
            <w:tcW w:w="1961" w:type="dxa"/>
            <w:vMerge w:val="continue"/>
            <w:shd w:val="clear" w:color="auto" w:fill="auto"/>
            <w:vAlign w:val="center"/>
          </w:tcPr>
          <w:p>
            <w:pPr>
              <w:ind w:firstLine="480" w:firstLineChars="0"/>
              <w:rPr>
                <w:rFonts w:ascii="宋体" w:hAnsi="宋体"/>
                <w:sz w:val="24"/>
                <w:szCs w:val="22"/>
                <w:highlight w:val="none"/>
              </w:rPr>
            </w:pPr>
          </w:p>
        </w:tc>
        <w:tc>
          <w:tcPr>
            <w:tcW w:w="1840" w:type="dxa"/>
            <w:shd w:val="clear" w:color="auto" w:fill="auto"/>
            <w:vAlign w:val="center"/>
          </w:tcPr>
          <w:p>
            <w:pPr>
              <w:ind w:firstLine="0" w:firstLineChars="0"/>
              <w:jc w:val="center"/>
              <w:rPr>
                <w:rFonts w:ascii="宋体" w:hAnsi="宋体"/>
                <w:sz w:val="24"/>
                <w:szCs w:val="22"/>
                <w:highlight w:val="none"/>
              </w:rPr>
            </w:pPr>
            <w:r>
              <w:rPr>
                <w:rFonts w:hint="eastAsia" w:ascii="宋体" w:hAnsi="宋体"/>
                <w:szCs w:val="22"/>
                <w:highlight w:val="none"/>
              </w:rPr>
              <w:t>2019年4月30日</w:t>
            </w:r>
          </w:p>
        </w:tc>
        <w:tc>
          <w:tcPr>
            <w:tcW w:w="1862" w:type="dxa"/>
            <w:shd w:val="clear" w:color="auto" w:fill="auto"/>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1,283,473,033.97</w:t>
            </w:r>
          </w:p>
        </w:tc>
        <w:tc>
          <w:tcPr>
            <w:tcW w:w="1701" w:type="dxa"/>
            <w:shd w:val="clear" w:color="auto" w:fill="FFFFFF"/>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367,510,657.00</w:t>
            </w:r>
          </w:p>
        </w:tc>
        <w:tc>
          <w:tcPr>
            <w:tcW w:w="1692" w:type="dxa"/>
            <w:shd w:val="clear" w:color="auto" w:fill="FFFFFF"/>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firstLineChars="0"/>
              <w:rPr>
                <w:rFonts w:ascii="宋体" w:hAnsi="宋体"/>
                <w:sz w:val="24"/>
                <w:szCs w:val="22"/>
                <w:highlight w:val="none"/>
              </w:rPr>
            </w:pPr>
          </w:p>
        </w:tc>
        <w:tc>
          <w:tcPr>
            <w:tcW w:w="1840" w:type="dxa"/>
            <w:shd w:val="clear" w:color="auto" w:fill="auto"/>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报表类型</w:t>
            </w:r>
          </w:p>
        </w:tc>
        <w:tc>
          <w:tcPr>
            <w:tcW w:w="1862" w:type="dxa"/>
            <w:shd w:val="clear" w:color="auto" w:fill="auto"/>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营业收入</w:t>
            </w:r>
          </w:p>
        </w:tc>
        <w:tc>
          <w:tcPr>
            <w:tcW w:w="1701" w:type="dxa"/>
            <w:shd w:val="clear" w:color="auto" w:fill="FFFFFF"/>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利润总额</w:t>
            </w:r>
          </w:p>
        </w:tc>
        <w:tc>
          <w:tcPr>
            <w:tcW w:w="1692" w:type="dxa"/>
            <w:shd w:val="clear" w:color="auto" w:fill="FFFFFF"/>
            <w:vAlign w:val="center"/>
          </w:tcPr>
          <w:p>
            <w:pPr>
              <w:ind w:firstLine="0" w:firstLineChars="0"/>
              <w:jc w:val="center"/>
              <w:rPr>
                <w:rFonts w:ascii="宋体" w:hAnsi="宋体"/>
                <w:b/>
                <w:sz w:val="24"/>
                <w:szCs w:val="22"/>
                <w:highlight w:val="none"/>
              </w:rPr>
            </w:pPr>
            <w:r>
              <w:rPr>
                <w:rFonts w:hint="eastAsia" w:ascii="宋体" w:hAnsi="宋体"/>
                <w:b/>
                <w:sz w:val="24"/>
                <w:szCs w:val="22"/>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firstLineChars="0"/>
              <w:rPr>
                <w:rFonts w:ascii="宋体" w:hAnsi="宋体"/>
                <w:sz w:val="24"/>
                <w:szCs w:val="22"/>
                <w:highlight w:val="none"/>
              </w:rPr>
            </w:pPr>
          </w:p>
        </w:tc>
        <w:tc>
          <w:tcPr>
            <w:tcW w:w="1840" w:type="dxa"/>
            <w:shd w:val="clear" w:color="auto" w:fill="auto"/>
            <w:vAlign w:val="center"/>
          </w:tcPr>
          <w:p>
            <w:pPr>
              <w:ind w:firstLine="0" w:firstLineChars="0"/>
              <w:jc w:val="center"/>
              <w:rPr>
                <w:rFonts w:ascii="宋体" w:hAnsi="宋体"/>
                <w:sz w:val="24"/>
                <w:szCs w:val="22"/>
                <w:highlight w:val="none"/>
              </w:rPr>
            </w:pPr>
            <w:r>
              <w:rPr>
                <w:rFonts w:hint="eastAsia" w:ascii="宋体" w:hAnsi="宋体"/>
                <w:szCs w:val="22"/>
                <w:highlight w:val="none"/>
              </w:rPr>
              <w:t>月报表</w:t>
            </w:r>
          </w:p>
        </w:tc>
        <w:tc>
          <w:tcPr>
            <w:tcW w:w="1862" w:type="dxa"/>
            <w:shd w:val="clear" w:color="auto" w:fill="auto"/>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53,171,442.69</w:t>
            </w:r>
          </w:p>
        </w:tc>
        <w:tc>
          <w:tcPr>
            <w:tcW w:w="1701" w:type="dxa"/>
            <w:shd w:val="clear" w:color="auto" w:fill="FFFFFF"/>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-8,327,859.44</w:t>
            </w:r>
          </w:p>
        </w:tc>
        <w:tc>
          <w:tcPr>
            <w:tcW w:w="1692" w:type="dxa"/>
            <w:shd w:val="clear" w:color="auto" w:fill="FFFFFF"/>
            <w:vAlign w:val="center"/>
          </w:tcPr>
          <w:p>
            <w:pPr>
              <w:ind w:firstLine="0" w:firstLineChars="0"/>
              <w:jc w:val="right"/>
              <w:rPr>
                <w:rFonts w:ascii="宋体" w:hAnsi="宋体" w:cs="宋体"/>
                <w:sz w:val="20"/>
                <w:szCs w:val="18"/>
                <w:highlight w:val="none"/>
              </w:rPr>
            </w:pPr>
            <w:r>
              <w:rPr>
                <w:rFonts w:ascii="宋体" w:hAnsi="宋体" w:cs="宋体"/>
                <w:sz w:val="20"/>
                <w:szCs w:val="18"/>
                <w:highlight w:val="none"/>
              </w:rPr>
              <w:t>-8,327,859.44</w:t>
            </w:r>
          </w:p>
        </w:tc>
      </w:tr>
    </w:tbl>
    <w:p>
      <w:pPr>
        <w:ind w:firstLine="0" w:firstLineChars="0"/>
        <w:rPr>
          <w:rFonts w:ascii="宋体" w:hAnsi="宋体" w:cs="宋体"/>
          <w:szCs w:val="21"/>
          <w:highlight w:val="none"/>
        </w:rPr>
      </w:pPr>
    </w:p>
    <w:tbl>
      <w:tblPr>
        <w:tblStyle w:val="15"/>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9029" w:type="dxa"/>
          </w:tcPr>
          <w:p>
            <w:pPr>
              <w:ind w:firstLine="420"/>
              <w:jc w:val="center"/>
              <w:rPr>
                <w:rFonts w:ascii="宋体" w:hAnsi="宋体" w:cs="宋体"/>
                <w:highlight w:val="none"/>
              </w:rPr>
            </w:pPr>
            <w:bookmarkStart w:id="37" w:name="待定11"/>
            <w:r>
              <w:rPr>
                <w:rFonts w:hint="eastAsia" w:ascii="宋体" w:hAnsi="宋体" w:cs="宋体"/>
                <w:highlight w:val="none"/>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9" w:hRule="atLeast"/>
        </w:trPr>
        <w:tc>
          <w:tcPr>
            <w:tcW w:w="9029" w:type="dxa"/>
          </w:tcPr>
          <w:p>
            <w:pPr>
              <w:ind w:left="1365" w:hanging="1365" w:hangingChars="650"/>
              <w:rPr>
                <w:rFonts w:hint="eastAsia" w:ascii="宋体" w:hAnsi="宋体" w:cs="宋体"/>
                <w:highlight w:val="none"/>
              </w:rPr>
            </w:pPr>
            <w:r>
              <w:rPr>
                <w:rFonts w:hint="eastAsia" w:ascii="宋体" w:hAnsi="宋体" w:cs="宋体"/>
                <w:highlight w:val="none"/>
              </w:rPr>
              <w:t>出资监管单位名称： 台州市椒江区国有资产监督管理委员会</w:t>
            </w:r>
          </w:p>
          <w:p>
            <w:pPr>
              <w:ind w:left="1365" w:hanging="1365" w:hangingChars="650"/>
              <w:rPr>
                <w:rFonts w:hint="eastAsia" w:ascii="宋体" w:hAnsi="宋体" w:cs="宋体"/>
                <w:highlight w:val="none"/>
              </w:rPr>
            </w:pPr>
            <w:r>
              <w:rPr>
                <w:rFonts w:hint="eastAsia" w:ascii="宋体" w:hAnsi="宋体" w:cs="宋体"/>
                <w:highlight w:val="none"/>
              </w:rPr>
              <w:t>批复文件号：</w:t>
            </w:r>
            <w:r>
              <w:rPr>
                <w:rFonts w:hint="eastAsia" w:ascii="宋体" w:hAnsi="宋体" w:cs="宋体"/>
                <w:highlight w:val="none"/>
                <w:lang w:eastAsia="zh-CN"/>
              </w:rPr>
              <w:t>台椒国资委[2019]2号</w:t>
            </w:r>
            <w:r>
              <w:rPr>
                <w:rFonts w:hint="eastAsia" w:ascii="宋体" w:hAnsi="宋体" w:cs="宋体"/>
                <w:highlight w:val="none"/>
              </w:rPr>
              <w:t>《</w:t>
            </w:r>
            <w:r>
              <w:rPr>
                <w:rFonts w:hint="eastAsia" w:ascii="宋体" w:hAnsi="宋体" w:cs="宋体"/>
                <w:highlight w:val="none"/>
                <w:lang w:eastAsia="zh-CN"/>
              </w:rPr>
              <w:t>关于同意浙江海正博锐生物制药有限公司增资扩股及转让部分老股项目的批复</w:t>
            </w:r>
            <w:r>
              <w:rPr>
                <w:rFonts w:hint="eastAsia" w:ascii="宋体" w:hAnsi="宋体" w:cs="宋体"/>
                <w:highlight w:val="none"/>
              </w:rPr>
              <w:t>》</w:t>
            </w:r>
          </w:p>
          <w:p>
            <w:pPr>
              <w:ind w:left="1365" w:hanging="1365" w:hangingChars="650"/>
              <w:rPr>
                <w:rFonts w:ascii="宋体" w:hAnsi="宋体" w:cs="宋体"/>
                <w:highlight w:val="none"/>
              </w:rPr>
            </w:pPr>
            <w:r>
              <w:rPr>
                <w:rFonts w:hint="eastAsia" w:ascii="宋体" w:hAnsi="宋体" w:cs="宋体"/>
                <w:highlight w:val="none"/>
              </w:rPr>
              <w:t>批复主要内容：同意公开挂牌转让。</w:t>
            </w:r>
          </w:p>
          <w:p>
            <w:pPr>
              <w:ind w:left="1365" w:hanging="1365" w:hangingChars="650"/>
              <w:rPr>
                <w:rFonts w:ascii="宋体" w:hAnsi="宋体" w:cs="宋体"/>
                <w:highlight w:val="none"/>
              </w:rPr>
            </w:pPr>
            <w:r>
              <w:rPr>
                <w:rFonts w:hint="eastAsia" w:ascii="宋体" w:hAnsi="宋体" w:cs="宋体"/>
                <w:highlight w:val="none"/>
              </w:rPr>
              <w:t>内部决策文件：海正药业2019年第二次临时股东大会决议。</w:t>
            </w:r>
          </w:p>
          <w:p>
            <w:pPr>
              <w:ind w:left="1365" w:hanging="1365" w:hangingChars="650"/>
              <w:rPr>
                <w:rFonts w:ascii="宋体" w:hAnsi="宋体" w:cs="宋体"/>
                <w:highlight w:val="none"/>
              </w:rPr>
            </w:pPr>
            <w:r>
              <w:rPr>
                <w:rFonts w:hint="eastAsia" w:ascii="宋体" w:hAnsi="宋体" w:cs="宋体"/>
                <w:highlight w:val="none"/>
              </w:rPr>
              <w:t xml:space="preserve">内部决策文件主要内容： 同意公开转让。 </w:t>
            </w:r>
          </w:p>
        </w:tc>
      </w:tr>
      <w:bookmarkEnd w:id="37"/>
    </w:tbl>
    <w:p>
      <w:pPr>
        <w:ind w:firstLine="422"/>
        <w:rPr>
          <w:rFonts w:ascii="宋体" w:hAnsi="宋体" w:cs="宋体"/>
          <w:b/>
          <w:szCs w:val="21"/>
          <w:highlight w:val="none"/>
        </w:rPr>
      </w:pPr>
    </w:p>
    <w:tbl>
      <w:tblPr>
        <w:tblStyle w:val="15"/>
        <w:tblW w:w="914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501"/>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289" w:type="dxa"/>
            <w:vMerge w:val="restart"/>
            <w:vAlign w:val="center"/>
          </w:tcPr>
          <w:p>
            <w:pPr>
              <w:ind w:firstLine="0" w:firstLineChars="0"/>
              <w:jc w:val="center"/>
              <w:rPr>
                <w:rFonts w:ascii="宋体" w:hAnsi="宋体" w:cs="宋体"/>
                <w:b/>
                <w:szCs w:val="21"/>
                <w:highlight w:val="none"/>
              </w:rPr>
            </w:pPr>
            <w:r>
              <w:rPr>
                <w:rFonts w:hint="eastAsia" w:ascii="宋体" w:hAnsi="宋体" w:cs="宋体"/>
                <w:b/>
                <w:szCs w:val="21"/>
                <w:highlight w:val="none"/>
              </w:rPr>
              <w:t>中介机构</w:t>
            </w:r>
          </w:p>
        </w:tc>
        <w:tc>
          <w:tcPr>
            <w:tcW w:w="3501" w:type="dxa"/>
            <w:vAlign w:val="center"/>
          </w:tcPr>
          <w:p>
            <w:pPr>
              <w:ind w:firstLine="422"/>
              <w:jc w:val="center"/>
              <w:rPr>
                <w:rFonts w:ascii="宋体" w:hAnsi="宋体" w:cs="宋体"/>
                <w:b/>
                <w:szCs w:val="21"/>
                <w:highlight w:val="none"/>
              </w:rPr>
            </w:pPr>
            <w:r>
              <w:rPr>
                <w:rFonts w:hint="eastAsia" w:ascii="宋体" w:hAnsi="宋体" w:cs="宋体"/>
                <w:b/>
                <w:szCs w:val="21"/>
                <w:highlight w:val="none"/>
              </w:rPr>
              <w:t>律 师 事 务 所</w:t>
            </w:r>
          </w:p>
        </w:tc>
        <w:tc>
          <w:tcPr>
            <w:tcW w:w="4350" w:type="dxa"/>
            <w:vAlign w:val="center"/>
          </w:tcPr>
          <w:p>
            <w:pPr>
              <w:ind w:firstLine="420"/>
              <w:jc w:val="center"/>
              <w:rPr>
                <w:rFonts w:ascii="宋体" w:hAnsi="宋体" w:cs="宋体"/>
                <w:szCs w:val="21"/>
                <w:highlight w:val="none"/>
              </w:rPr>
            </w:pPr>
            <w:r>
              <w:rPr>
                <w:rFonts w:hint="eastAsia" w:ascii="宋体" w:hAnsi="宋体" w:cs="宋体"/>
                <w:szCs w:val="21"/>
                <w:highlight w:val="none"/>
              </w:rPr>
              <w:t>锦天城律师事务所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289" w:type="dxa"/>
            <w:vMerge w:val="continue"/>
            <w:vAlign w:val="center"/>
          </w:tcPr>
          <w:p>
            <w:pPr>
              <w:ind w:firstLine="422"/>
              <w:jc w:val="center"/>
              <w:rPr>
                <w:rFonts w:ascii="宋体" w:hAnsi="宋体" w:cs="宋体"/>
                <w:b/>
                <w:szCs w:val="21"/>
                <w:highlight w:val="none"/>
              </w:rPr>
            </w:pPr>
          </w:p>
        </w:tc>
        <w:tc>
          <w:tcPr>
            <w:tcW w:w="3501" w:type="dxa"/>
            <w:vAlign w:val="center"/>
          </w:tcPr>
          <w:p>
            <w:pPr>
              <w:ind w:firstLine="422"/>
              <w:jc w:val="center"/>
              <w:rPr>
                <w:rFonts w:ascii="宋体" w:hAnsi="宋体" w:cs="宋体"/>
                <w:b/>
                <w:szCs w:val="21"/>
                <w:highlight w:val="none"/>
              </w:rPr>
            </w:pPr>
            <w:r>
              <w:rPr>
                <w:rFonts w:hint="eastAsia" w:ascii="宋体" w:hAnsi="宋体" w:cs="宋体"/>
                <w:b/>
                <w:szCs w:val="21"/>
                <w:highlight w:val="none"/>
              </w:rPr>
              <w:t>会 计 师 事 务 所</w:t>
            </w:r>
          </w:p>
        </w:tc>
        <w:tc>
          <w:tcPr>
            <w:tcW w:w="4350" w:type="dxa"/>
            <w:vAlign w:val="center"/>
          </w:tcPr>
          <w:p>
            <w:pPr>
              <w:ind w:firstLine="420"/>
              <w:jc w:val="center"/>
              <w:rPr>
                <w:rFonts w:ascii="宋体" w:hAnsi="宋体" w:cs="宋体"/>
                <w:szCs w:val="21"/>
                <w:highlight w:val="none"/>
              </w:rPr>
            </w:pPr>
            <w:r>
              <w:rPr>
                <w:rFonts w:hint="eastAsia" w:ascii="宋体" w:hAnsi="宋体" w:cs="宋体"/>
                <w:szCs w:val="21"/>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89" w:type="dxa"/>
            <w:vMerge w:val="continue"/>
            <w:vAlign w:val="center"/>
          </w:tcPr>
          <w:p>
            <w:pPr>
              <w:ind w:firstLine="422"/>
              <w:jc w:val="center"/>
              <w:rPr>
                <w:rFonts w:ascii="宋体" w:hAnsi="宋体" w:cs="宋体"/>
                <w:b/>
                <w:szCs w:val="21"/>
                <w:highlight w:val="none"/>
              </w:rPr>
            </w:pPr>
          </w:p>
        </w:tc>
        <w:tc>
          <w:tcPr>
            <w:tcW w:w="3501" w:type="dxa"/>
            <w:vAlign w:val="center"/>
          </w:tcPr>
          <w:p>
            <w:pPr>
              <w:ind w:firstLine="422"/>
              <w:jc w:val="center"/>
              <w:rPr>
                <w:rFonts w:ascii="宋体" w:hAnsi="宋体" w:cs="宋体"/>
                <w:b/>
                <w:szCs w:val="21"/>
                <w:highlight w:val="none"/>
              </w:rPr>
            </w:pPr>
            <w:r>
              <w:rPr>
                <w:rFonts w:hint="eastAsia" w:ascii="宋体" w:hAnsi="宋体" w:cs="宋体"/>
                <w:b/>
                <w:szCs w:val="21"/>
                <w:highlight w:val="none"/>
              </w:rPr>
              <w:t>评 估 事 务 所</w:t>
            </w:r>
          </w:p>
        </w:tc>
        <w:tc>
          <w:tcPr>
            <w:tcW w:w="4350" w:type="dxa"/>
            <w:vAlign w:val="center"/>
          </w:tcPr>
          <w:p>
            <w:pPr>
              <w:ind w:firstLine="420"/>
              <w:jc w:val="center"/>
              <w:rPr>
                <w:rFonts w:ascii="宋体" w:hAnsi="宋体" w:cs="宋体"/>
                <w:szCs w:val="21"/>
                <w:highlight w:val="none"/>
              </w:rPr>
            </w:pPr>
            <w:r>
              <w:rPr>
                <w:rFonts w:hint="eastAsia" w:ascii="宋体" w:hAnsi="宋体" w:cs="宋体"/>
                <w:szCs w:val="21"/>
                <w:highlight w:val="none"/>
              </w:rPr>
              <w:t>坤元资产评估有限公司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289" w:type="dxa"/>
            <w:vMerge w:val="continue"/>
            <w:vAlign w:val="center"/>
          </w:tcPr>
          <w:p>
            <w:pPr>
              <w:ind w:firstLine="422"/>
              <w:jc w:val="center"/>
              <w:rPr>
                <w:rFonts w:ascii="宋体" w:hAnsi="宋体" w:cs="宋体"/>
                <w:b/>
                <w:szCs w:val="21"/>
                <w:highlight w:val="none"/>
              </w:rPr>
            </w:pPr>
          </w:p>
        </w:tc>
        <w:tc>
          <w:tcPr>
            <w:tcW w:w="3501" w:type="dxa"/>
            <w:vAlign w:val="center"/>
          </w:tcPr>
          <w:p>
            <w:pPr>
              <w:ind w:firstLine="422"/>
              <w:jc w:val="center"/>
              <w:rPr>
                <w:rFonts w:ascii="宋体" w:hAnsi="宋体" w:cs="宋体"/>
                <w:b/>
                <w:szCs w:val="21"/>
                <w:highlight w:val="none"/>
              </w:rPr>
            </w:pPr>
            <w:r>
              <w:rPr>
                <w:rFonts w:hint="eastAsia" w:ascii="宋体" w:hAnsi="宋体" w:cs="宋体"/>
                <w:b/>
                <w:szCs w:val="21"/>
                <w:highlight w:val="none"/>
              </w:rPr>
              <w:t>评 估 基 准 日</w:t>
            </w:r>
          </w:p>
        </w:tc>
        <w:tc>
          <w:tcPr>
            <w:tcW w:w="4350" w:type="dxa"/>
            <w:vAlign w:val="center"/>
          </w:tcPr>
          <w:p>
            <w:pPr>
              <w:ind w:firstLine="420"/>
              <w:jc w:val="center"/>
              <w:rPr>
                <w:rFonts w:ascii="宋体" w:hAnsi="宋体" w:cs="宋体"/>
                <w:szCs w:val="21"/>
                <w:highlight w:val="none"/>
              </w:rPr>
            </w:pPr>
            <w:r>
              <w:rPr>
                <w:rFonts w:hint="eastAsia" w:ascii="宋体" w:hAnsi="宋体" w:cs="宋体"/>
                <w:szCs w:val="21"/>
                <w:highlight w:val="none"/>
              </w:rPr>
              <w:t>2019年</w:t>
            </w:r>
            <w:r>
              <w:rPr>
                <w:rFonts w:ascii="宋体" w:hAnsi="宋体" w:cs="宋体"/>
                <w:szCs w:val="21"/>
                <w:highlight w:val="none"/>
              </w:rPr>
              <w:t>4</w:t>
            </w:r>
            <w:r>
              <w:rPr>
                <w:rFonts w:hint="eastAsia" w:ascii="宋体" w:hAnsi="宋体" w:cs="宋体"/>
                <w:szCs w:val="21"/>
                <w:highlight w:val="none"/>
              </w:rPr>
              <w:t>月</w:t>
            </w:r>
            <w:r>
              <w:rPr>
                <w:rFonts w:ascii="宋体" w:hAnsi="宋体" w:cs="宋体"/>
                <w:szCs w:val="21"/>
                <w:highlight w:val="none"/>
              </w:rPr>
              <w:t>30</w:t>
            </w:r>
            <w:r>
              <w:rPr>
                <w:rFonts w:hint="eastAsia" w:ascii="宋体" w:hAnsi="宋体" w:cs="宋体"/>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9" w:type="dxa"/>
            <w:vMerge w:val="continue"/>
            <w:vAlign w:val="center"/>
          </w:tcPr>
          <w:p>
            <w:pPr>
              <w:ind w:firstLine="422"/>
              <w:jc w:val="center"/>
              <w:rPr>
                <w:rFonts w:ascii="宋体" w:hAnsi="宋体" w:cs="宋体"/>
                <w:b/>
                <w:szCs w:val="21"/>
                <w:highlight w:val="none"/>
              </w:rPr>
            </w:pPr>
          </w:p>
        </w:tc>
        <w:tc>
          <w:tcPr>
            <w:tcW w:w="3501" w:type="dxa"/>
            <w:vAlign w:val="center"/>
          </w:tcPr>
          <w:p>
            <w:pPr>
              <w:ind w:firstLine="422"/>
              <w:jc w:val="center"/>
              <w:rPr>
                <w:rFonts w:ascii="宋体" w:hAnsi="宋体" w:cs="宋体"/>
                <w:b/>
                <w:szCs w:val="21"/>
                <w:highlight w:val="none"/>
              </w:rPr>
            </w:pPr>
            <w:r>
              <w:rPr>
                <w:rFonts w:hint="eastAsia" w:ascii="宋体" w:hAnsi="宋体" w:cs="宋体"/>
                <w:b/>
                <w:szCs w:val="21"/>
                <w:highlight w:val="none"/>
              </w:rPr>
              <w:t>评估核准（备案）机构</w:t>
            </w:r>
          </w:p>
        </w:tc>
        <w:tc>
          <w:tcPr>
            <w:tcW w:w="4350" w:type="dxa"/>
            <w:vAlign w:val="center"/>
          </w:tcPr>
          <w:p>
            <w:pPr>
              <w:ind w:firstLine="420"/>
              <w:jc w:val="center"/>
              <w:rPr>
                <w:rFonts w:ascii="宋体" w:hAnsi="宋体" w:cs="宋体"/>
                <w:szCs w:val="21"/>
                <w:highlight w:val="none"/>
              </w:rPr>
            </w:pPr>
            <w:r>
              <w:rPr>
                <w:rFonts w:hint="eastAsia" w:ascii="宋体" w:hAnsi="宋体" w:cs="宋体"/>
                <w:szCs w:val="21"/>
                <w:highlight w:val="none"/>
              </w:rPr>
              <w:t>台州市椒江区国资委</w:t>
            </w:r>
          </w:p>
          <w:p>
            <w:pPr>
              <w:ind w:firstLine="420"/>
              <w:jc w:val="center"/>
              <w:rPr>
                <w:rFonts w:ascii="宋体" w:hAnsi="宋体" w:cs="宋体"/>
                <w:szCs w:val="21"/>
                <w:highlight w:val="none"/>
              </w:rPr>
            </w:pPr>
            <w:r>
              <w:rPr>
                <w:rFonts w:hint="eastAsia" w:ascii="宋体" w:hAnsi="宋体" w:cs="宋体"/>
                <w:szCs w:val="21"/>
                <w:highlight w:val="none"/>
              </w:rPr>
              <w:t>核准□  备案</w:t>
            </w:r>
            <w:r>
              <w:rPr>
                <w:rFonts w:hint="eastAsia" w:ascii="宋体" w:hAnsi="宋体" w:cs="宋体"/>
                <w:szCs w:val="21"/>
                <w:highlight w:val="none"/>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7" w:hRule="atLeast"/>
        </w:trPr>
        <w:tc>
          <w:tcPr>
            <w:tcW w:w="1289" w:type="dxa"/>
            <w:vAlign w:val="center"/>
          </w:tcPr>
          <w:p>
            <w:pPr>
              <w:ind w:firstLine="0" w:firstLineChars="0"/>
              <w:jc w:val="center"/>
              <w:rPr>
                <w:rFonts w:ascii="宋体" w:hAnsi="宋体" w:cs="宋体"/>
                <w:b/>
                <w:szCs w:val="21"/>
                <w:highlight w:val="none"/>
              </w:rPr>
            </w:pPr>
            <w:bookmarkStart w:id="38" w:name="待定12" w:colFirst="1" w:colLast="1"/>
            <w:r>
              <w:rPr>
                <w:rFonts w:hint="eastAsia" w:ascii="宋体" w:hAnsi="宋体" w:cs="宋体"/>
                <w:b/>
                <w:szCs w:val="21"/>
                <w:highlight w:val="none"/>
              </w:rPr>
              <w:t>对受让方的要求</w:t>
            </w:r>
          </w:p>
        </w:tc>
        <w:tc>
          <w:tcPr>
            <w:tcW w:w="7851" w:type="dxa"/>
            <w:gridSpan w:val="2"/>
            <w:vAlign w:val="center"/>
          </w:tcPr>
          <w:p>
            <w:pPr>
              <w:ind w:firstLine="420"/>
              <w:jc w:val="left"/>
              <w:rPr>
                <w:rFonts w:hint="eastAsia" w:ascii="宋体" w:hAnsi="宋体" w:cs="宋体"/>
                <w:szCs w:val="21"/>
                <w:highlight w:val="none"/>
              </w:rPr>
            </w:pPr>
            <w:r>
              <w:rPr>
                <w:rFonts w:hint="eastAsia" w:ascii="宋体" w:hAnsi="宋体" w:cs="宋体"/>
                <w:szCs w:val="21"/>
                <w:highlight w:val="none"/>
              </w:rPr>
              <w:t>1、本次股权转让公告发布的同时，标的公司浙江海正博锐生物制药有限公司同步发布增资项目公告（台交所挂〔2019〕</w:t>
            </w:r>
            <w:r>
              <w:rPr>
                <w:rFonts w:hint="eastAsia" w:ascii="宋体" w:hAnsi="宋体" w:cs="宋体"/>
                <w:szCs w:val="21"/>
                <w:highlight w:val="none"/>
                <w:lang w:val="en-US" w:eastAsia="zh-CN"/>
              </w:rPr>
              <w:t>16</w:t>
            </w:r>
            <w:r>
              <w:rPr>
                <w:rFonts w:hint="eastAsia" w:ascii="宋体" w:hAnsi="宋体" w:cs="宋体"/>
                <w:szCs w:val="21"/>
                <w:highlight w:val="none"/>
              </w:rPr>
              <w:t>号）,意向投资人应符合增资项目的全部资格条件、并承诺接受所有增资条件。意向投资人在获得增资竞买人资格确认并按时缴纳足额保证金后，同时获得本项目的竞买资格，且意向投资人必须参与本项目后续股权转让竞价。</w:t>
            </w:r>
          </w:p>
          <w:p>
            <w:pPr>
              <w:ind w:firstLine="420"/>
              <w:jc w:val="left"/>
              <w:rPr>
                <w:rFonts w:ascii="宋体" w:hAnsi="宋体" w:cs="宋体"/>
                <w:szCs w:val="21"/>
                <w:highlight w:val="none"/>
              </w:rPr>
            </w:pPr>
            <w:r>
              <w:rPr>
                <w:rFonts w:hint="eastAsia" w:ascii="宋体" w:hAnsi="宋体" w:cs="宋体"/>
                <w:szCs w:val="21"/>
                <w:highlight w:val="none"/>
              </w:rPr>
              <w:t>2、增资项目确定最终投资人、确定增资价格、确定原股东转让增资人部分股权的成交价格，本意向投资人与其他股东共同签署《股权转让协议》和《增资扩股协议》。</w:t>
            </w:r>
          </w:p>
        </w:tc>
      </w:tr>
      <w:bookmarkEnd w:id="38"/>
    </w:tbl>
    <w:p>
      <w:pPr>
        <w:pStyle w:val="2"/>
        <w:spacing w:before="100" w:beforeAutospacing="1" w:after="100" w:afterAutospacing="1" w:line="360" w:lineRule="auto"/>
        <w:jc w:val="center"/>
        <w:rPr>
          <w:sz w:val="36"/>
          <w:highlight w:val="none"/>
        </w:rPr>
      </w:pPr>
      <w:r>
        <w:rPr>
          <w:rFonts w:ascii="宋体" w:hAnsi="宋体"/>
          <w:sz w:val="28"/>
          <w:szCs w:val="28"/>
          <w:highlight w:val="none"/>
        </w:rPr>
        <w:br w:type="page"/>
      </w:r>
      <w:bookmarkStart w:id="39" w:name="_Toc528773697"/>
      <w:bookmarkStart w:id="40" w:name="_Toc982"/>
      <w:bookmarkStart w:id="41" w:name="_Toc16709"/>
      <w:r>
        <w:rPr>
          <w:rFonts w:hint="eastAsia"/>
          <w:sz w:val="36"/>
          <w:highlight w:val="none"/>
        </w:rPr>
        <w:t>台州市产权交易所有限公司</w:t>
      </w:r>
      <w:r>
        <w:rPr>
          <w:rFonts w:hint="eastAsia"/>
          <w:sz w:val="36"/>
          <w:highlight w:val="none"/>
        </w:rPr>
        <w:br w:type="textWrapping"/>
      </w:r>
      <w:r>
        <w:rPr>
          <w:rFonts w:hint="eastAsia"/>
          <w:sz w:val="36"/>
          <w:highlight w:val="none"/>
        </w:rPr>
        <w:t>简  介</w:t>
      </w:r>
      <w:bookmarkEnd w:id="39"/>
      <w:bookmarkEnd w:id="40"/>
      <w:bookmarkEnd w:id="41"/>
    </w:p>
    <w:p>
      <w:pPr>
        <w:spacing w:line="348" w:lineRule="auto"/>
        <w:ind w:firstLine="480"/>
        <w:rPr>
          <w:rFonts w:ascii="宋体" w:hAnsi="宋体"/>
          <w:sz w:val="24"/>
          <w:highlight w:val="none"/>
        </w:rPr>
      </w:pPr>
      <w:r>
        <w:rPr>
          <w:rFonts w:hint="eastAsia" w:ascii="宋体" w:hAnsi="宋体"/>
          <w:sz w:val="24"/>
          <w:highlight w:val="none"/>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480"/>
        <w:rPr>
          <w:rFonts w:ascii="宋体" w:hAnsi="宋体"/>
          <w:sz w:val="24"/>
          <w:highlight w:val="none"/>
        </w:rPr>
      </w:pPr>
      <w:r>
        <w:rPr>
          <w:rFonts w:hint="eastAsia" w:ascii="宋体" w:hAnsi="宋体"/>
          <w:sz w:val="24"/>
          <w:highlight w:val="none"/>
        </w:rPr>
        <w:t>台州市产权交易所有限公司为全市非上市股份有限公司的股权转让，市属企事业单位的改制与国有资本的流动，公共资源交易以及其他各类企业的产权交易提供服务。</w:t>
      </w:r>
    </w:p>
    <w:p>
      <w:pPr>
        <w:spacing w:line="348" w:lineRule="auto"/>
        <w:ind w:firstLine="480"/>
        <w:rPr>
          <w:rFonts w:ascii="宋体" w:hAnsi="宋体"/>
          <w:sz w:val="24"/>
          <w:highlight w:val="none"/>
        </w:rPr>
      </w:pPr>
      <w:r>
        <w:rPr>
          <w:rFonts w:hint="eastAsia" w:ascii="宋体" w:hAnsi="宋体"/>
          <w:sz w:val="24"/>
          <w:highlight w:val="none"/>
        </w:rPr>
        <w:t>台州市产权交易所有限公司的业务领域为：</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企事业单位的国有产权转让服务；</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公共资源交易服务；</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非上市股份有限公司股权转让平台；</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拟开展股权托管、质押服务；</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其他各类企业的产权交易服务；</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招商引资服务；</w:t>
      </w:r>
      <w:bookmarkStart w:id="42" w:name="_GoBack"/>
      <w:bookmarkEnd w:id="42"/>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项目合作及融资服务；</w:t>
      </w:r>
    </w:p>
    <w:p>
      <w:pPr>
        <w:numPr>
          <w:ilvl w:val="0"/>
          <w:numId w:val="11"/>
        </w:numPr>
        <w:spacing w:line="348" w:lineRule="auto"/>
        <w:ind w:left="20" w:firstLine="480"/>
        <w:rPr>
          <w:rFonts w:ascii="宋体" w:hAnsi="宋体"/>
          <w:sz w:val="24"/>
          <w:highlight w:val="none"/>
        </w:rPr>
      </w:pPr>
      <w:r>
        <w:rPr>
          <w:rFonts w:hint="eastAsia" w:ascii="宋体" w:hAnsi="宋体"/>
          <w:sz w:val="24"/>
          <w:highlight w:val="none"/>
        </w:rPr>
        <w:t>各种相关的培训、咨询业务。</w:t>
      </w:r>
    </w:p>
    <w:p>
      <w:pPr>
        <w:spacing w:line="348" w:lineRule="auto"/>
        <w:ind w:firstLine="480"/>
        <w:rPr>
          <w:rFonts w:ascii="宋体" w:hAnsi="宋体"/>
          <w:sz w:val="24"/>
          <w:highlight w:val="none"/>
        </w:rPr>
      </w:pPr>
      <w:r>
        <w:rPr>
          <w:rFonts w:hint="eastAsia" w:ascii="宋体" w:hAnsi="宋体"/>
          <w:sz w:val="24"/>
          <w:highlight w:val="none"/>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480"/>
        <w:rPr>
          <w:rFonts w:ascii="宋体" w:hAnsi="宋体"/>
          <w:sz w:val="24"/>
          <w:highlight w:val="none"/>
        </w:rPr>
      </w:pPr>
      <w:r>
        <w:rPr>
          <w:rFonts w:hint="eastAsia" w:ascii="宋体" w:hAnsi="宋体"/>
          <w:sz w:val="24"/>
          <w:highlight w:val="none"/>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pPr>
        <w:spacing w:line="348" w:lineRule="auto"/>
        <w:ind w:firstLine="480"/>
        <w:rPr>
          <w:highlight w:val="none"/>
        </w:rPr>
      </w:pPr>
      <w:r>
        <w:rPr>
          <w:rFonts w:hint="eastAsia" w:ascii="宋体" w:hAnsi="宋体"/>
          <w:sz w:val="24"/>
          <w:highlight w:val="none"/>
        </w:rPr>
        <w:t>台州市产权交易所有限公司位于台州市市府大道777号浙江民泰商业银行五楼，邮编：318000，电话：0576-88685180，传真：0576-88685177，网址:www.tzpre.com。</w:t>
      </w:r>
    </w:p>
    <w:p>
      <w:pPr>
        <w:spacing w:line="348" w:lineRule="auto"/>
        <w:ind w:firstLine="420"/>
        <w:rPr>
          <w:highlight w:val="none"/>
        </w:rPr>
      </w:pPr>
    </w:p>
    <w:sectPr>
      <w:footerReference r:id="rId10" w:type="default"/>
      <w:pgSz w:w="11906" w:h="16838"/>
      <w:pgMar w:top="1440" w:right="1531" w:bottom="898" w:left="1531"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95910" cy="153035"/>
              <wp:effectExtent l="0" t="0" r="8890" b="18415"/>
              <wp:wrapNone/>
              <wp:docPr id="1" name="文本框1"/>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1" o:spid="_x0000_s1026" o:spt="202" type="#_x0000_t202" style="position:absolute;left:0pt;margin-top:0pt;height:12.05pt;width:23.3pt;mso-position-horizontal:center;mso-position-horizontal-relative:margin;mso-wrap-style:none;z-index:251658240;mso-width-relative:page;mso-height-relative:page;" filled="f" stroked="f" coordsize="21600,21600" o:gfxdata="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we4HTRAAAA&#10;AwEAAA8AAAAAAAAAAQAgAAAAIgAAAGRycy9kb3ducmV2LnhtbFBLAQIUABQAAAAIAIdO4kAv9iG4&#10;6wEAALMDAAAOAAAAAAAAAAEAIAAAACABAABkcnMvZTJvRG9jLnhtbFBLBQYAAAAABgAGAFkBAAB9&#10;BQAAAAA=&#10;">
              <v:fill on="f" focussize="0,0"/>
              <v:stroke on="f"/>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4485C"/>
    <w:multiLevelType w:val="singleLevel"/>
    <w:tmpl w:val="8EA4485C"/>
    <w:lvl w:ilvl="0" w:tentative="0">
      <w:start w:val="1"/>
      <w:numFmt w:val="decimalEnclosedCircleChinese"/>
      <w:suff w:val="nothing"/>
      <w:lvlText w:val="%1　"/>
      <w:lvlJc w:val="left"/>
      <w:pPr>
        <w:ind w:left="0" w:firstLine="400"/>
      </w:pPr>
      <w:rPr>
        <w:rFonts w:hint="eastAsia"/>
      </w:rPr>
    </w:lvl>
  </w:abstractNum>
  <w:abstractNum w:abstractNumId="1">
    <w:nsid w:val="00000008"/>
    <w:multiLevelType w:val="multilevel"/>
    <w:tmpl w:val="00000008"/>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
    <w:nsid w:val="157C6A86"/>
    <w:multiLevelType w:val="multilevel"/>
    <w:tmpl w:val="157C6A86"/>
    <w:lvl w:ilvl="0" w:tentative="0">
      <w:start w:val="1"/>
      <w:numFmt w:val="japaneseCounting"/>
      <w:lvlText w:val="第%1条"/>
      <w:lvlJc w:val="left"/>
      <w:pPr>
        <w:ind w:left="1717" w:hanging="115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3">
    <w:nsid w:val="17D03C67"/>
    <w:multiLevelType w:val="multilevel"/>
    <w:tmpl w:val="17D03C67"/>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310F43DF"/>
    <w:multiLevelType w:val="multilevel"/>
    <w:tmpl w:val="310F43DF"/>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4A4A7152"/>
    <w:multiLevelType w:val="singleLevel"/>
    <w:tmpl w:val="4A4A7152"/>
    <w:lvl w:ilvl="0" w:tentative="0">
      <w:start w:val="4"/>
      <w:numFmt w:val="chineseCounting"/>
      <w:suff w:val="nothing"/>
      <w:lvlText w:val="%1、"/>
      <w:lvlJc w:val="left"/>
      <w:rPr>
        <w:rFonts w:hint="eastAsia"/>
      </w:rPr>
    </w:lvl>
  </w:abstractNum>
  <w:abstractNum w:abstractNumId="7">
    <w:nsid w:val="52664D8C"/>
    <w:multiLevelType w:val="multilevel"/>
    <w:tmpl w:val="52664D8C"/>
    <w:lvl w:ilvl="0" w:tentative="0">
      <w:start w:val="1"/>
      <w:numFmt w:val="decimal"/>
      <w:lvlText w:val="%1、"/>
      <w:lvlJc w:val="left"/>
      <w:pPr>
        <w:ind w:left="1245" w:hanging="720"/>
      </w:pPr>
      <w:rPr>
        <w:rFonts w:hint="default"/>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8">
    <w:nsid w:val="63631DC9"/>
    <w:multiLevelType w:val="multilevel"/>
    <w:tmpl w:val="63631DC9"/>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73B11575"/>
    <w:multiLevelType w:val="multilevel"/>
    <w:tmpl w:val="73B1157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7DA33380"/>
    <w:multiLevelType w:val="singleLevel"/>
    <w:tmpl w:val="7DA33380"/>
    <w:lvl w:ilvl="0" w:tentative="0">
      <w:start w:val="3"/>
      <w:numFmt w:val="chineseCounting"/>
      <w:suff w:val="nothing"/>
      <w:lvlText w:val="%1、"/>
      <w:lvlJc w:val="left"/>
      <w:rPr>
        <w:rFonts w:hint="eastAsia"/>
      </w:rPr>
    </w:lvl>
  </w:abstractNum>
  <w:num w:numId="1">
    <w:abstractNumId w:val="4"/>
  </w:num>
  <w:num w:numId="2">
    <w:abstractNumId w:val="6"/>
  </w:num>
  <w:num w:numId="3">
    <w:abstractNumId w:val="10"/>
  </w:num>
  <w:num w:numId="4">
    <w:abstractNumId w:val="9"/>
  </w:num>
  <w:num w:numId="5">
    <w:abstractNumId w:val="2"/>
  </w:num>
  <w:num w:numId="6">
    <w:abstractNumId w:val="7"/>
  </w:num>
  <w:num w:numId="7">
    <w:abstractNumId w:val="8"/>
  </w:num>
  <w:num w:numId="8">
    <w:abstractNumId w:val="5"/>
  </w:num>
  <w:num w:numId="9">
    <w:abstractNumId w:val="3"/>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7"/>
  <w:bordersDoNotSurroundHeader w:val="1"/>
  <w:bordersDoNotSurroundFooter w:val="1"/>
  <w:documentProtection w:edit="readOnly"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EA4"/>
    <w:rsid w:val="00004570"/>
    <w:rsid w:val="000100E9"/>
    <w:rsid w:val="00012229"/>
    <w:rsid w:val="00016FF9"/>
    <w:rsid w:val="000231FA"/>
    <w:rsid w:val="000269A0"/>
    <w:rsid w:val="00030FDD"/>
    <w:rsid w:val="00035CD1"/>
    <w:rsid w:val="00042AE4"/>
    <w:rsid w:val="00044671"/>
    <w:rsid w:val="00044EEF"/>
    <w:rsid w:val="0004738D"/>
    <w:rsid w:val="0005023E"/>
    <w:rsid w:val="00051756"/>
    <w:rsid w:val="00051E1B"/>
    <w:rsid w:val="00053F41"/>
    <w:rsid w:val="00055B16"/>
    <w:rsid w:val="00061267"/>
    <w:rsid w:val="00063229"/>
    <w:rsid w:val="00076964"/>
    <w:rsid w:val="000821AA"/>
    <w:rsid w:val="000824F7"/>
    <w:rsid w:val="000834BF"/>
    <w:rsid w:val="0008505F"/>
    <w:rsid w:val="0009119C"/>
    <w:rsid w:val="0009243F"/>
    <w:rsid w:val="00092941"/>
    <w:rsid w:val="0009400B"/>
    <w:rsid w:val="000A2955"/>
    <w:rsid w:val="000B0A55"/>
    <w:rsid w:val="000B4100"/>
    <w:rsid w:val="000B57BE"/>
    <w:rsid w:val="000C2ED3"/>
    <w:rsid w:val="000D2808"/>
    <w:rsid w:val="000D41E8"/>
    <w:rsid w:val="000D6918"/>
    <w:rsid w:val="000D748B"/>
    <w:rsid w:val="000F222B"/>
    <w:rsid w:val="000F2B25"/>
    <w:rsid w:val="000F4BDE"/>
    <w:rsid w:val="000F4FC2"/>
    <w:rsid w:val="00107782"/>
    <w:rsid w:val="00111EEF"/>
    <w:rsid w:val="00123207"/>
    <w:rsid w:val="0013072D"/>
    <w:rsid w:val="00130F44"/>
    <w:rsid w:val="001411F8"/>
    <w:rsid w:val="00152B1C"/>
    <w:rsid w:val="00172A27"/>
    <w:rsid w:val="001732B4"/>
    <w:rsid w:val="0017552D"/>
    <w:rsid w:val="00181778"/>
    <w:rsid w:val="00184A00"/>
    <w:rsid w:val="001906A5"/>
    <w:rsid w:val="0019344B"/>
    <w:rsid w:val="001A552C"/>
    <w:rsid w:val="001A6562"/>
    <w:rsid w:val="001A6B32"/>
    <w:rsid w:val="001B1846"/>
    <w:rsid w:val="001B1BB0"/>
    <w:rsid w:val="001B2579"/>
    <w:rsid w:val="001C7035"/>
    <w:rsid w:val="001D5770"/>
    <w:rsid w:val="001E22AF"/>
    <w:rsid w:val="001E6520"/>
    <w:rsid w:val="001F1090"/>
    <w:rsid w:val="001F1744"/>
    <w:rsid w:val="001F45F7"/>
    <w:rsid w:val="001F686F"/>
    <w:rsid w:val="00203894"/>
    <w:rsid w:val="0020610C"/>
    <w:rsid w:val="00206FA1"/>
    <w:rsid w:val="002109C2"/>
    <w:rsid w:val="0022652F"/>
    <w:rsid w:val="002338A9"/>
    <w:rsid w:val="00233B14"/>
    <w:rsid w:val="00243FE1"/>
    <w:rsid w:val="002549FC"/>
    <w:rsid w:val="00273818"/>
    <w:rsid w:val="00274F2C"/>
    <w:rsid w:val="00282B21"/>
    <w:rsid w:val="00286A13"/>
    <w:rsid w:val="00290B7C"/>
    <w:rsid w:val="00291931"/>
    <w:rsid w:val="002A0B21"/>
    <w:rsid w:val="002A1D9D"/>
    <w:rsid w:val="002B4616"/>
    <w:rsid w:val="002C363A"/>
    <w:rsid w:val="002D7C8A"/>
    <w:rsid w:val="002F51DF"/>
    <w:rsid w:val="002F798F"/>
    <w:rsid w:val="002F7FDE"/>
    <w:rsid w:val="00303B50"/>
    <w:rsid w:val="00311FBA"/>
    <w:rsid w:val="00321650"/>
    <w:rsid w:val="003244F2"/>
    <w:rsid w:val="00330648"/>
    <w:rsid w:val="00334804"/>
    <w:rsid w:val="00337FB6"/>
    <w:rsid w:val="003415BD"/>
    <w:rsid w:val="0034479B"/>
    <w:rsid w:val="00353443"/>
    <w:rsid w:val="00360B62"/>
    <w:rsid w:val="0038388A"/>
    <w:rsid w:val="00384DF0"/>
    <w:rsid w:val="0038651E"/>
    <w:rsid w:val="0039580F"/>
    <w:rsid w:val="003A1C58"/>
    <w:rsid w:val="003A3B6C"/>
    <w:rsid w:val="003A7E15"/>
    <w:rsid w:val="003B02FE"/>
    <w:rsid w:val="003B1430"/>
    <w:rsid w:val="003B7C17"/>
    <w:rsid w:val="003D179C"/>
    <w:rsid w:val="003D6C02"/>
    <w:rsid w:val="003F0A74"/>
    <w:rsid w:val="004008DA"/>
    <w:rsid w:val="004073F2"/>
    <w:rsid w:val="00420AFC"/>
    <w:rsid w:val="00423FEF"/>
    <w:rsid w:val="0042708B"/>
    <w:rsid w:val="004308F6"/>
    <w:rsid w:val="00435206"/>
    <w:rsid w:val="00441E7D"/>
    <w:rsid w:val="00442BD4"/>
    <w:rsid w:val="00444A32"/>
    <w:rsid w:val="00445ACB"/>
    <w:rsid w:val="00446855"/>
    <w:rsid w:val="00446939"/>
    <w:rsid w:val="0045749D"/>
    <w:rsid w:val="00462556"/>
    <w:rsid w:val="004643D4"/>
    <w:rsid w:val="00466C23"/>
    <w:rsid w:val="00476299"/>
    <w:rsid w:val="004773C1"/>
    <w:rsid w:val="00483EBA"/>
    <w:rsid w:val="004A24BD"/>
    <w:rsid w:val="004B1C67"/>
    <w:rsid w:val="004C0741"/>
    <w:rsid w:val="004E00AD"/>
    <w:rsid w:val="004E24EF"/>
    <w:rsid w:val="004E4ECF"/>
    <w:rsid w:val="004F7EA6"/>
    <w:rsid w:val="00514204"/>
    <w:rsid w:val="00541110"/>
    <w:rsid w:val="00552BCA"/>
    <w:rsid w:val="005542C7"/>
    <w:rsid w:val="00554476"/>
    <w:rsid w:val="00561389"/>
    <w:rsid w:val="00562536"/>
    <w:rsid w:val="00565798"/>
    <w:rsid w:val="00566176"/>
    <w:rsid w:val="005754A4"/>
    <w:rsid w:val="00576B2C"/>
    <w:rsid w:val="00577F67"/>
    <w:rsid w:val="00595F8F"/>
    <w:rsid w:val="005A308E"/>
    <w:rsid w:val="005A331C"/>
    <w:rsid w:val="005A68FE"/>
    <w:rsid w:val="005B6B2C"/>
    <w:rsid w:val="005C1CFB"/>
    <w:rsid w:val="005D3834"/>
    <w:rsid w:val="005D6A68"/>
    <w:rsid w:val="005D6AFC"/>
    <w:rsid w:val="005F1842"/>
    <w:rsid w:val="00601AFE"/>
    <w:rsid w:val="00602183"/>
    <w:rsid w:val="006104A6"/>
    <w:rsid w:val="00613BDA"/>
    <w:rsid w:val="006234A0"/>
    <w:rsid w:val="00627243"/>
    <w:rsid w:val="006325DE"/>
    <w:rsid w:val="00662AB1"/>
    <w:rsid w:val="00663610"/>
    <w:rsid w:val="0066459F"/>
    <w:rsid w:val="00671F88"/>
    <w:rsid w:val="00675801"/>
    <w:rsid w:val="00676EFE"/>
    <w:rsid w:val="00694709"/>
    <w:rsid w:val="006B7891"/>
    <w:rsid w:val="006C2661"/>
    <w:rsid w:val="006C67FE"/>
    <w:rsid w:val="006E1B66"/>
    <w:rsid w:val="006F7310"/>
    <w:rsid w:val="007056AE"/>
    <w:rsid w:val="00717C6C"/>
    <w:rsid w:val="00724D65"/>
    <w:rsid w:val="00743501"/>
    <w:rsid w:val="00744E0D"/>
    <w:rsid w:val="007600EB"/>
    <w:rsid w:val="00763DDC"/>
    <w:rsid w:val="00770EC7"/>
    <w:rsid w:val="00775C53"/>
    <w:rsid w:val="00780BD9"/>
    <w:rsid w:val="00785FC1"/>
    <w:rsid w:val="00792174"/>
    <w:rsid w:val="007A13C1"/>
    <w:rsid w:val="007A3D7D"/>
    <w:rsid w:val="007B6D93"/>
    <w:rsid w:val="007D0A91"/>
    <w:rsid w:val="007D635C"/>
    <w:rsid w:val="007D68CD"/>
    <w:rsid w:val="007E1DD1"/>
    <w:rsid w:val="007E59F5"/>
    <w:rsid w:val="007F0311"/>
    <w:rsid w:val="007F7693"/>
    <w:rsid w:val="00803220"/>
    <w:rsid w:val="00810429"/>
    <w:rsid w:val="00822178"/>
    <w:rsid w:val="00823D5C"/>
    <w:rsid w:val="00831ADD"/>
    <w:rsid w:val="00835105"/>
    <w:rsid w:val="00835A2F"/>
    <w:rsid w:val="00851F7A"/>
    <w:rsid w:val="008551B5"/>
    <w:rsid w:val="00860CF4"/>
    <w:rsid w:val="008737A7"/>
    <w:rsid w:val="0088350F"/>
    <w:rsid w:val="00894904"/>
    <w:rsid w:val="0089657E"/>
    <w:rsid w:val="008A1CA7"/>
    <w:rsid w:val="008A7333"/>
    <w:rsid w:val="008B0412"/>
    <w:rsid w:val="008B46F3"/>
    <w:rsid w:val="008D1AC9"/>
    <w:rsid w:val="008D571C"/>
    <w:rsid w:val="008D71A8"/>
    <w:rsid w:val="008E1B7A"/>
    <w:rsid w:val="008E659E"/>
    <w:rsid w:val="008F5FEB"/>
    <w:rsid w:val="008F6847"/>
    <w:rsid w:val="0090434F"/>
    <w:rsid w:val="00905FB5"/>
    <w:rsid w:val="0092377C"/>
    <w:rsid w:val="00931359"/>
    <w:rsid w:val="00943DF9"/>
    <w:rsid w:val="00947C8E"/>
    <w:rsid w:val="0096031B"/>
    <w:rsid w:val="00980DAF"/>
    <w:rsid w:val="00994531"/>
    <w:rsid w:val="00994D89"/>
    <w:rsid w:val="009A497D"/>
    <w:rsid w:val="009D2B02"/>
    <w:rsid w:val="009E024B"/>
    <w:rsid w:val="009E7B32"/>
    <w:rsid w:val="009F0F7F"/>
    <w:rsid w:val="009F1215"/>
    <w:rsid w:val="009F3794"/>
    <w:rsid w:val="00A20883"/>
    <w:rsid w:val="00A21133"/>
    <w:rsid w:val="00A413CA"/>
    <w:rsid w:val="00A44E7F"/>
    <w:rsid w:val="00A47F3B"/>
    <w:rsid w:val="00A54333"/>
    <w:rsid w:val="00A56449"/>
    <w:rsid w:val="00A663BF"/>
    <w:rsid w:val="00A67B10"/>
    <w:rsid w:val="00A74760"/>
    <w:rsid w:val="00AA13CA"/>
    <w:rsid w:val="00AA7E0D"/>
    <w:rsid w:val="00AD1A7D"/>
    <w:rsid w:val="00AD2B0B"/>
    <w:rsid w:val="00AD6028"/>
    <w:rsid w:val="00AE3C82"/>
    <w:rsid w:val="00AE7FCB"/>
    <w:rsid w:val="00AF280C"/>
    <w:rsid w:val="00AF7F4E"/>
    <w:rsid w:val="00B07CFC"/>
    <w:rsid w:val="00B136F0"/>
    <w:rsid w:val="00B23E51"/>
    <w:rsid w:val="00B3390F"/>
    <w:rsid w:val="00B463C3"/>
    <w:rsid w:val="00B506B7"/>
    <w:rsid w:val="00B549C8"/>
    <w:rsid w:val="00B57858"/>
    <w:rsid w:val="00B60F6D"/>
    <w:rsid w:val="00B656C6"/>
    <w:rsid w:val="00B67F32"/>
    <w:rsid w:val="00B718F0"/>
    <w:rsid w:val="00B86DB1"/>
    <w:rsid w:val="00B86DE9"/>
    <w:rsid w:val="00B90BC4"/>
    <w:rsid w:val="00B92A50"/>
    <w:rsid w:val="00BA08B8"/>
    <w:rsid w:val="00BA1299"/>
    <w:rsid w:val="00BB1B06"/>
    <w:rsid w:val="00BB548D"/>
    <w:rsid w:val="00BB6F95"/>
    <w:rsid w:val="00BD1E38"/>
    <w:rsid w:val="00BD4139"/>
    <w:rsid w:val="00BE431F"/>
    <w:rsid w:val="00BE4F9E"/>
    <w:rsid w:val="00BE7994"/>
    <w:rsid w:val="00BF1E1E"/>
    <w:rsid w:val="00C00383"/>
    <w:rsid w:val="00C03D5D"/>
    <w:rsid w:val="00C109EF"/>
    <w:rsid w:val="00C12AF9"/>
    <w:rsid w:val="00C21E6C"/>
    <w:rsid w:val="00C30C74"/>
    <w:rsid w:val="00C347D1"/>
    <w:rsid w:val="00C538E7"/>
    <w:rsid w:val="00C6046E"/>
    <w:rsid w:val="00C6585E"/>
    <w:rsid w:val="00C664E3"/>
    <w:rsid w:val="00C925EC"/>
    <w:rsid w:val="00C97DE6"/>
    <w:rsid w:val="00CA25BB"/>
    <w:rsid w:val="00CC445A"/>
    <w:rsid w:val="00CD22BB"/>
    <w:rsid w:val="00CD5409"/>
    <w:rsid w:val="00CD6404"/>
    <w:rsid w:val="00CF0A6D"/>
    <w:rsid w:val="00D01E34"/>
    <w:rsid w:val="00D0333F"/>
    <w:rsid w:val="00D10AB9"/>
    <w:rsid w:val="00D11FB1"/>
    <w:rsid w:val="00D1511E"/>
    <w:rsid w:val="00D21344"/>
    <w:rsid w:val="00D2459F"/>
    <w:rsid w:val="00D36A55"/>
    <w:rsid w:val="00D37301"/>
    <w:rsid w:val="00D431B7"/>
    <w:rsid w:val="00D51CF5"/>
    <w:rsid w:val="00D64160"/>
    <w:rsid w:val="00D6619F"/>
    <w:rsid w:val="00D72373"/>
    <w:rsid w:val="00D77044"/>
    <w:rsid w:val="00D81EFD"/>
    <w:rsid w:val="00D83892"/>
    <w:rsid w:val="00D914DF"/>
    <w:rsid w:val="00D945D6"/>
    <w:rsid w:val="00D953BB"/>
    <w:rsid w:val="00DA0308"/>
    <w:rsid w:val="00DA27CD"/>
    <w:rsid w:val="00DA47D0"/>
    <w:rsid w:val="00DB7AA5"/>
    <w:rsid w:val="00DC6543"/>
    <w:rsid w:val="00DC74E5"/>
    <w:rsid w:val="00DE799D"/>
    <w:rsid w:val="00DF6FEC"/>
    <w:rsid w:val="00DF7229"/>
    <w:rsid w:val="00E06CA7"/>
    <w:rsid w:val="00E10F45"/>
    <w:rsid w:val="00E12828"/>
    <w:rsid w:val="00E14C86"/>
    <w:rsid w:val="00E204F2"/>
    <w:rsid w:val="00E21A11"/>
    <w:rsid w:val="00E220CD"/>
    <w:rsid w:val="00E269FC"/>
    <w:rsid w:val="00E27BED"/>
    <w:rsid w:val="00E334A6"/>
    <w:rsid w:val="00E5218B"/>
    <w:rsid w:val="00E67D7F"/>
    <w:rsid w:val="00E72409"/>
    <w:rsid w:val="00E72F3F"/>
    <w:rsid w:val="00E7791B"/>
    <w:rsid w:val="00E83B12"/>
    <w:rsid w:val="00E844D9"/>
    <w:rsid w:val="00E85573"/>
    <w:rsid w:val="00E85AF8"/>
    <w:rsid w:val="00EA5DE5"/>
    <w:rsid w:val="00EA6762"/>
    <w:rsid w:val="00EB0662"/>
    <w:rsid w:val="00EC7738"/>
    <w:rsid w:val="00ED08FB"/>
    <w:rsid w:val="00ED1F46"/>
    <w:rsid w:val="00ED3366"/>
    <w:rsid w:val="00ED69D3"/>
    <w:rsid w:val="00EE0E71"/>
    <w:rsid w:val="00EE72E3"/>
    <w:rsid w:val="00EF47E1"/>
    <w:rsid w:val="00EF4BC5"/>
    <w:rsid w:val="00EF536C"/>
    <w:rsid w:val="00EF5618"/>
    <w:rsid w:val="00F004DC"/>
    <w:rsid w:val="00F3462B"/>
    <w:rsid w:val="00F35A8E"/>
    <w:rsid w:val="00F44299"/>
    <w:rsid w:val="00F44A9B"/>
    <w:rsid w:val="00F510F6"/>
    <w:rsid w:val="00F51C7D"/>
    <w:rsid w:val="00F547C0"/>
    <w:rsid w:val="00F744D7"/>
    <w:rsid w:val="00F767A8"/>
    <w:rsid w:val="00F77EBF"/>
    <w:rsid w:val="00F9042D"/>
    <w:rsid w:val="00F9465B"/>
    <w:rsid w:val="00FB7AB6"/>
    <w:rsid w:val="00FB7D6B"/>
    <w:rsid w:val="00FC1278"/>
    <w:rsid w:val="00FD0D99"/>
    <w:rsid w:val="00FE1E62"/>
    <w:rsid w:val="00FF01F7"/>
    <w:rsid w:val="011A5255"/>
    <w:rsid w:val="019849E0"/>
    <w:rsid w:val="021B2E3A"/>
    <w:rsid w:val="02C36E7D"/>
    <w:rsid w:val="03596622"/>
    <w:rsid w:val="037D49A1"/>
    <w:rsid w:val="03A42C8F"/>
    <w:rsid w:val="03AB5609"/>
    <w:rsid w:val="03E40A94"/>
    <w:rsid w:val="0422582F"/>
    <w:rsid w:val="0441390A"/>
    <w:rsid w:val="047B475B"/>
    <w:rsid w:val="048B795B"/>
    <w:rsid w:val="04C554BC"/>
    <w:rsid w:val="04E812CF"/>
    <w:rsid w:val="04F110A3"/>
    <w:rsid w:val="04F34B2A"/>
    <w:rsid w:val="057B74E1"/>
    <w:rsid w:val="05E00B17"/>
    <w:rsid w:val="05EB178E"/>
    <w:rsid w:val="05F44340"/>
    <w:rsid w:val="062C3CDB"/>
    <w:rsid w:val="067F115E"/>
    <w:rsid w:val="06AC0CFD"/>
    <w:rsid w:val="06E42D81"/>
    <w:rsid w:val="06FB1611"/>
    <w:rsid w:val="07071B14"/>
    <w:rsid w:val="08352586"/>
    <w:rsid w:val="08A60D55"/>
    <w:rsid w:val="094C4E3A"/>
    <w:rsid w:val="095D1AD4"/>
    <w:rsid w:val="09A24842"/>
    <w:rsid w:val="09D943BB"/>
    <w:rsid w:val="09DE0F7A"/>
    <w:rsid w:val="0A4A7484"/>
    <w:rsid w:val="0A4B1F9D"/>
    <w:rsid w:val="0A4D3DB0"/>
    <w:rsid w:val="0AF31DC3"/>
    <w:rsid w:val="0B3705F5"/>
    <w:rsid w:val="0B3D1FE1"/>
    <w:rsid w:val="0BC802E9"/>
    <w:rsid w:val="0BD41778"/>
    <w:rsid w:val="0C2A5FAD"/>
    <w:rsid w:val="0C983675"/>
    <w:rsid w:val="0CF01B2C"/>
    <w:rsid w:val="0D416E2E"/>
    <w:rsid w:val="0D6B128A"/>
    <w:rsid w:val="0DEA21FC"/>
    <w:rsid w:val="0EA52B3C"/>
    <w:rsid w:val="0EA74A99"/>
    <w:rsid w:val="0F3109D9"/>
    <w:rsid w:val="0F3F0DD5"/>
    <w:rsid w:val="0F5350BB"/>
    <w:rsid w:val="0F8D6445"/>
    <w:rsid w:val="0F943237"/>
    <w:rsid w:val="105421D6"/>
    <w:rsid w:val="108D72DA"/>
    <w:rsid w:val="11134B92"/>
    <w:rsid w:val="1124702B"/>
    <w:rsid w:val="11354A9E"/>
    <w:rsid w:val="114D02B6"/>
    <w:rsid w:val="11512479"/>
    <w:rsid w:val="11754288"/>
    <w:rsid w:val="120913E9"/>
    <w:rsid w:val="122B34E8"/>
    <w:rsid w:val="12613505"/>
    <w:rsid w:val="12852636"/>
    <w:rsid w:val="12C72BBC"/>
    <w:rsid w:val="13726ECD"/>
    <w:rsid w:val="13B341E1"/>
    <w:rsid w:val="14144A88"/>
    <w:rsid w:val="142D1517"/>
    <w:rsid w:val="144430CC"/>
    <w:rsid w:val="14492AA6"/>
    <w:rsid w:val="149312D1"/>
    <w:rsid w:val="14A20267"/>
    <w:rsid w:val="14BC0E10"/>
    <w:rsid w:val="15203773"/>
    <w:rsid w:val="15D34A26"/>
    <w:rsid w:val="16353371"/>
    <w:rsid w:val="16A84292"/>
    <w:rsid w:val="17053F41"/>
    <w:rsid w:val="1736138F"/>
    <w:rsid w:val="17BC7379"/>
    <w:rsid w:val="17EC403A"/>
    <w:rsid w:val="18B235B3"/>
    <w:rsid w:val="19190F3D"/>
    <w:rsid w:val="19331F1F"/>
    <w:rsid w:val="193D193A"/>
    <w:rsid w:val="195D392C"/>
    <w:rsid w:val="19E27688"/>
    <w:rsid w:val="1A166A87"/>
    <w:rsid w:val="1A1F47EB"/>
    <w:rsid w:val="1A7136C6"/>
    <w:rsid w:val="1ABD725B"/>
    <w:rsid w:val="1ACF4868"/>
    <w:rsid w:val="1AF968B2"/>
    <w:rsid w:val="1B025BA0"/>
    <w:rsid w:val="1B481CCF"/>
    <w:rsid w:val="1B4A2C53"/>
    <w:rsid w:val="1B6B4E81"/>
    <w:rsid w:val="1C63748E"/>
    <w:rsid w:val="1CA20F14"/>
    <w:rsid w:val="1CF30612"/>
    <w:rsid w:val="1D1475EB"/>
    <w:rsid w:val="1D520B55"/>
    <w:rsid w:val="1D5F0807"/>
    <w:rsid w:val="1E07643F"/>
    <w:rsid w:val="1E084BE8"/>
    <w:rsid w:val="1FB44D91"/>
    <w:rsid w:val="20600621"/>
    <w:rsid w:val="21590CC5"/>
    <w:rsid w:val="21A62FC3"/>
    <w:rsid w:val="22225213"/>
    <w:rsid w:val="2299039F"/>
    <w:rsid w:val="22DB780B"/>
    <w:rsid w:val="2373681F"/>
    <w:rsid w:val="240D14CD"/>
    <w:rsid w:val="241D7307"/>
    <w:rsid w:val="244911F0"/>
    <w:rsid w:val="24B97E49"/>
    <w:rsid w:val="24E060A7"/>
    <w:rsid w:val="24EB2986"/>
    <w:rsid w:val="2502491F"/>
    <w:rsid w:val="2605089D"/>
    <w:rsid w:val="269760D9"/>
    <w:rsid w:val="26FC3807"/>
    <w:rsid w:val="280146E7"/>
    <w:rsid w:val="281B425C"/>
    <w:rsid w:val="28484E66"/>
    <w:rsid w:val="28596F80"/>
    <w:rsid w:val="28636E6F"/>
    <w:rsid w:val="287A453F"/>
    <w:rsid w:val="28E330A5"/>
    <w:rsid w:val="293F6E04"/>
    <w:rsid w:val="29933F42"/>
    <w:rsid w:val="299A49BB"/>
    <w:rsid w:val="29C60CD0"/>
    <w:rsid w:val="29E662F0"/>
    <w:rsid w:val="2A2655B6"/>
    <w:rsid w:val="2A273037"/>
    <w:rsid w:val="2A3A0BBC"/>
    <w:rsid w:val="2AAE4298"/>
    <w:rsid w:val="2AAE6793"/>
    <w:rsid w:val="2AE15E00"/>
    <w:rsid w:val="2BA37EAE"/>
    <w:rsid w:val="2BFC36AD"/>
    <w:rsid w:val="2C7622EF"/>
    <w:rsid w:val="2C785C0A"/>
    <w:rsid w:val="2C9967CA"/>
    <w:rsid w:val="2CA41DD3"/>
    <w:rsid w:val="2CA80B2F"/>
    <w:rsid w:val="2CBF2AC0"/>
    <w:rsid w:val="2D342CBA"/>
    <w:rsid w:val="2D377698"/>
    <w:rsid w:val="2D4F160E"/>
    <w:rsid w:val="2D715C07"/>
    <w:rsid w:val="2D7F711A"/>
    <w:rsid w:val="2DC819DE"/>
    <w:rsid w:val="2DC9628E"/>
    <w:rsid w:val="2DF2511C"/>
    <w:rsid w:val="2EAE30CD"/>
    <w:rsid w:val="2EE229FE"/>
    <w:rsid w:val="2F332780"/>
    <w:rsid w:val="2F5E4F5B"/>
    <w:rsid w:val="2FAB6ACA"/>
    <w:rsid w:val="303F5CE4"/>
    <w:rsid w:val="30A03168"/>
    <w:rsid w:val="30A82D39"/>
    <w:rsid w:val="30D41EAC"/>
    <w:rsid w:val="30DD1A74"/>
    <w:rsid w:val="317A7265"/>
    <w:rsid w:val="32191F4C"/>
    <w:rsid w:val="328549B8"/>
    <w:rsid w:val="32886F74"/>
    <w:rsid w:val="32C9219B"/>
    <w:rsid w:val="32D21971"/>
    <w:rsid w:val="330D71CD"/>
    <w:rsid w:val="335B4D4D"/>
    <w:rsid w:val="33AA4DE5"/>
    <w:rsid w:val="33F73CD2"/>
    <w:rsid w:val="3422263A"/>
    <w:rsid w:val="34230A32"/>
    <w:rsid w:val="342A79A4"/>
    <w:rsid w:val="34A320B1"/>
    <w:rsid w:val="353A1C07"/>
    <w:rsid w:val="360E4FE9"/>
    <w:rsid w:val="36404E3F"/>
    <w:rsid w:val="36720B63"/>
    <w:rsid w:val="36E42E43"/>
    <w:rsid w:val="37154C7C"/>
    <w:rsid w:val="371B3715"/>
    <w:rsid w:val="37DE5837"/>
    <w:rsid w:val="37F479DA"/>
    <w:rsid w:val="38403803"/>
    <w:rsid w:val="3893636F"/>
    <w:rsid w:val="38AE1BB0"/>
    <w:rsid w:val="38BB482A"/>
    <w:rsid w:val="38C0124D"/>
    <w:rsid w:val="38D72034"/>
    <w:rsid w:val="39092226"/>
    <w:rsid w:val="39894C58"/>
    <w:rsid w:val="39DB48E0"/>
    <w:rsid w:val="3A896188"/>
    <w:rsid w:val="3AEE2BBB"/>
    <w:rsid w:val="3AFC3F0B"/>
    <w:rsid w:val="3AFF5713"/>
    <w:rsid w:val="3B0349E7"/>
    <w:rsid w:val="3B3B7D28"/>
    <w:rsid w:val="3B5F79F7"/>
    <w:rsid w:val="3B93114B"/>
    <w:rsid w:val="3C61764F"/>
    <w:rsid w:val="3CA05E05"/>
    <w:rsid w:val="3D3739B8"/>
    <w:rsid w:val="3D9872C3"/>
    <w:rsid w:val="3DA15314"/>
    <w:rsid w:val="3E056BB9"/>
    <w:rsid w:val="3E274987"/>
    <w:rsid w:val="3EFC7306"/>
    <w:rsid w:val="3F143969"/>
    <w:rsid w:val="3F21283D"/>
    <w:rsid w:val="3FAF4CB9"/>
    <w:rsid w:val="403A4131"/>
    <w:rsid w:val="40412754"/>
    <w:rsid w:val="40ED6E7C"/>
    <w:rsid w:val="41845450"/>
    <w:rsid w:val="41F063DC"/>
    <w:rsid w:val="42882131"/>
    <w:rsid w:val="42B520C7"/>
    <w:rsid w:val="42B54F9E"/>
    <w:rsid w:val="42E84F3B"/>
    <w:rsid w:val="43403596"/>
    <w:rsid w:val="4343436A"/>
    <w:rsid w:val="43775ABD"/>
    <w:rsid w:val="440A3070"/>
    <w:rsid w:val="444B19FD"/>
    <w:rsid w:val="44EB56FC"/>
    <w:rsid w:val="45543701"/>
    <w:rsid w:val="46294B95"/>
    <w:rsid w:val="46895076"/>
    <w:rsid w:val="473F4357"/>
    <w:rsid w:val="47576D71"/>
    <w:rsid w:val="47782AF6"/>
    <w:rsid w:val="47847862"/>
    <w:rsid w:val="47985129"/>
    <w:rsid w:val="488346DD"/>
    <w:rsid w:val="48BD27FA"/>
    <w:rsid w:val="491D348C"/>
    <w:rsid w:val="492130F0"/>
    <w:rsid w:val="4A011096"/>
    <w:rsid w:val="4AE02880"/>
    <w:rsid w:val="4B012973"/>
    <w:rsid w:val="4B580182"/>
    <w:rsid w:val="4B5D7340"/>
    <w:rsid w:val="4B993CC8"/>
    <w:rsid w:val="4B9E6AC5"/>
    <w:rsid w:val="4BBB1116"/>
    <w:rsid w:val="4BE913AC"/>
    <w:rsid w:val="4BEA681C"/>
    <w:rsid w:val="4BEF27C6"/>
    <w:rsid w:val="4C4920B9"/>
    <w:rsid w:val="4CB9236D"/>
    <w:rsid w:val="4CEC55CE"/>
    <w:rsid w:val="4D851A20"/>
    <w:rsid w:val="4DBC4A28"/>
    <w:rsid w:val="4E753947"/>
    <w:rsid w:val="4ED34835"/>
    <w:rsid w:val="4EDF6C6B"/>
    <w:rsid w:val="4F254094"/>
    <w:rsid w:val="4F374CC4"/>
    <w:rsid w:val="4FCF6733"/>
    <w:rsid w:val="4FF52BF4"/>
    <w:rsid w:val="502150B0"/>
    <w:rsid w:val="502E46B1"/>
    <w:rsid w:val="50421398"/>
    <w:rsid w:val="50BA02FE"/>
    <w:rsid w:val="50BF7195"/>
    <w:rsid w:val="51525370"/>
    <w:rsid w:val="515677F6"/>
    <w:rsid w:val="51BD5605"/>
    <w:rsid w:val="51D718FA"/>
    <w:rsid w:val="51F82B07"/>
    <w:rsid w:val="521F4B14"/>
    <w:rsid w:val="52607177"/>
    <w:rsid w:val="52745592"/>
    <w:rsid w:val="52933407"/>
    <w:rsid w:val="53D70C1A"/>
    <w:rsid w:val="53E61FA4"/>
    <w:rsid w:val="53FF079E"/>
    <w:rsid w:val="540B4200"/>
    <w:rsid w:val="54100840"/>
    <w:rsid w:val="551510AF"/>
    <w:rsid w:val="55167C62"/>
    <w:rsid w:val="55672106"/>
    <w:rsid w:val="5586691D"/>
    <w:rsid w:val="55A8256D"/>
    <w:rsid w:val="55C238BF"/>
    <w:rsid w:val="55E211BC"/>
    <w:rsid w:val="55E51B76"/>
    <w:rsid w:val="560D0119"/>
    <w:rsid w:val="56193C4E"/>
    <w:rsid w:val="567129F2"/>
    <w:rsid w:val="56764886"/>
    <w:rsid w:val="56ED74A9"/>
    <w:rsid w:val="57206944"/>
    <w:rsid w:val="58090EFA"/>
    <w:rsid w:val="58407AB0"/>
    <w:rsid w:val="584A2FE9"/>
    <w:rsid w:val="587924B3"/>
    <w:rsid w:val="58D43382"/>
    <w:rsid w:val="58F011F8"/>
    <w:rsid w:val="58F802E6"/>
    <w:rsid w:val="59366BF8"/>
    <w:rsid w:val="59506E95"/>
    <w:rsid w:val="59CF144B"/>
    <w:rsid w:val="59F70CFE"/>
    <w:rsid w:val="5A55504B"/>
    <w:rsid w:val="5A70166E"/>
    <w:rsid w:val="5B310CDD"/>
    <w:rsid w:val="5BE5416B"/>
    <w:rsid w:val="5CA4290E"/>
    <w:rsid w:val="5CD90E90"/>
    <w:rsid w:val="5D1715C8"/>
    <w:rsid w:val="5D2B4F05"/>
    <w:rsid w:val="5D7B386B"/>
    <w:rsid w:val="5D7D5225"/>
    <w:rsid w:val="5E0F30AD"/>
    <w:rsid w:val="5E79378D"/>
    <w:rsid w:val="5EA236D3"/>
    <w:rsid w:val="5EB36DEA"/>
    <w:rsid w:val="5EC02868"/>
    <w:rsid w:val="5FCF62BD"/>
    <w:rsid w:val="602C7C64"/>
    <w:rsid w:val="607C4170"/>
    <w:rsid w:val="60D75962"/>
    <w:rsid w:val="60D822FE"/>
    <w:rsid w:val="61130ED3"/>
    <w:rsid w:val="612648DA"/>
    <w:rsid w:val="613D24A4"/>
    <w:rsid w:val="61957F56"/>
    <w:rsid w:val="61BF66C0"/>
    <w:rsid w:val="624A5EA4"/>
    <w:rsid w:val="63933B88"/>
    <w:rsid w:val="63DC5AE3"/>
    <w:rsid w:val="641C0F55"/>
    <w:rsid w:val="642052D3"/>
    <w:rsid w:val="6430100D"/>
    <w:rsid w:val="64657FC6"/>
    <w:rsid w:val="64DA042A"/>
    <w:rsid w:val="651A2F6C"/>
    <w:rsid w:val="652E7769"/>
    <w:rsid w:val="65BD5FF9"/>
    <w:rsid w:val="667145FD"/>
    <w:rsid w:val="66AF4687"/>
    <w:rsid w:val="66E42936"/>
    <w:rsid w:val="670B79A6"/>
    <w:rsid w:val="678A3FEA"/>
    <w:rsid w:val="67D27C62"/>
    <w:rsid w:val="687D4B12"/>
    <w:rsid w:val="68C11050"/>
    <w:rsid w:val="68D648A2"/>
    <w:rsid w:val="696049C4"/>
    <w:rsid w:val="6960616F"/>
    <w:rsid w:val="6966217B"/>
    <w:rsid w:val="69AC5408"/>
    <w:rsid w:val="69B2569A"/>
    <w:rsid w:val="69EF1F39"/>
    <w:rsid w:val="6A2A0B23"/>
    <w:rsid w:val="6A67569D"/>
    <w:rsid w:val="6A980F46"/>
    <w:rsid w:val="6AB879E2"/>
    <w:rsid w:val="6B7D7195"/>
    <w:rsid w:val="6B8F6404"/>
    <w:rsid w:val="6BC96697"/>
    <w:rsid w:val="6C675EEA"/>
    <w:rsid w:val="6CF67383"/>
    <w:rsid w:val="6D2941B9"/>
    <w:rsid w:val="6D4D5460"/>
    <w:rsid w:val="6DE568D8"/>
    <w:rsid w:val="6DFD2FDE"/>
    <w:rsid w:val="6E1C328E"/>
    <w:rsid w:val="6E6955CB"/>
    <w:rsid w:val="6E9409CF"/>
    <w:rsid w:val="6F030322"/>
    <w:rsid w:val="6F24072D"/>
    <w:rsid w:val="6F3166F5"/>
    <w:rsid w:val="6F391EBB"/>
    <w:rsid w:val="6F6822D7"/>
    <w:rsid w:val="6FA220B1"/>
    <w:rsid w:val="700C1760"/>
    <w:rsid w:val="70244C09"/>
    <w:rsid w:val="702618AC"/>
    <w:rsid w:val="70372B56"/>
    <w:rsid w:val="706A0CF3"/>
    <w:rsid w:val="71014D1D"/>
    <w:rsid w:val="714275DF"/>
    <w:rsid w:val="714F266E"/>
    <w:rsid w:val="71F335F0"/>
    <w:rsid w:val="71F8328C"/>
    <w:rsid w:val="733B55A6"/>
    <w:rsid w:val="73661CAA"/>
    <w:rsid w:val="73AC6B66"/>
    <w:rsid w:val="74561364"/>
    <w:rsid w:val="74596753"/>
    <w:rsid w:val="74945B44"/>
    <w:rsid w:val="7510601B"/>
    <w:rsid w:val="75846AEF"/>
    <w:rsid w:val="75935CB7"/>
    <w:rsid w:val="75C03C40"/>
    <w:rsid w:val="76985EA2"/>
    <w:rsid w:val="76B60492"/>
    <w:rsid w:val="76CE7275"/>
    <w:rsid w:val="77191529"/>
    <w:rsid w:val="780F284E"/>
    <w:rsid w:val="78D62F65"/>
    <w:rsid w:val="78D86DBC"/>
    <w:rsid w:val="791B013F"/>
    <w:rsid w:val="791F7711"/>
    <w:rsid w:val="796075AF"/>
    <w:rsid w:val="79E041E8"/>
    <w:rsid w:val="7A2C1281"/>
    <w:rsid w:val="7A5B654D"/>
    <w:rsid w:val="7ADB489D"/>
    <w:rsid w:val="7BE57B0E"/>
    <w:rsid w:val="7C765FBE"/>
    <w:rsid w:val="7CE271F0"/>
    <w:rsid w:val="7CF938EA"/>
    <w:rsid w:val="7CFD2CE9"/>
    <w:rsid w:val="7D3753C2"/>
    <w:rsid w:val="7D6C7155"/>
    <w:rsid w:val="7DA03BD7"/>
    <w:rsid w:val="7DB12845"/>
    <w:rsid w:val="7DBA6ED4"/>
    <w:rsid w:val="7E0D38E6"/>
    <w:rsid w:val="7E164309"/>
    <w:rsid w:val="7EB114EF"/>
    <w:rsid w:val="7EFE6E10"/>
    <w:rsid w:val="7F4C4F6B"/>
    <w:rsid w:val="7F8A5E4A"/>
    <w:rsid w:val="7FDB704E"/>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5"/>
    <w:qFormat/>
    <w:uiPriority w:val="0"/>
    <w:pPr>
      <w:jc w:val="left"/>
    </w:pPr>
  </w:style>
  <w:style w:type="paragraph" w:styleId="4">
    <w:name w:val="Body Text Indent"/>
    <w:basedOn w:val="1"/>
    <w:qFormat/>
    <w:uiPriority w:val="0"/>
    <w:pPr>
      <w:spacing w:line="440" w:lineRule="exact"/>
      <w:ind w:firstLine="720" w:firstLineChars="300"/>
    </w:pPr>
    <w:rPr>
      <w:sz w:val="24"/>
    </w:rPr>
  </w:style>
  <w:style w:type="paragraph" w:styleId="5">
    <w:name w:val="Plain Text"/>
    <w:basedOn w:val="1"/>
    <w:link w:val="28"/>
    <w:qFormat/>
    <w:uiPriority w:val="0"/>
    <w:pPr>
      <w:ind w:firstLine="0" w:firstLineChars="0"/>
    </w:pPr>
    <w:rPr>
      <w:rFonts w:ascii="宋体" w:hAnsi="Courier New"/>
    </w:rPr>
  </w:style>
  <w:style w:type="paragraph" w:styleId="6">
    <w:name w:val="Date"/>
    <w:basedOn w:val="1"/>
    <w:next w:val="1"/>
    <w:link w:val="27"/>
    <w:qFormat/>
    <w:uiPriority w:val="0"/>
    <w:pPr>
      <w:ind w:left="100" w:leftChars="2500"/>
    </w:pPr>
  </w:style>
  <w:style w:type="paragraph" w:styleId="7">
    <w:name w:val="Body Text Indent 2"/>
    <w:basedOn w:val="1"/>
    <w:qFormat/>
    <w:uiPriority w:val="0"/>
    <w:pPr>
      <w:spacing w:after="120" w:line="480" w:lineRule="auto"/>
      <w:ind w:left="420" w:leftChars="2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HTML Preformatted"/>
    <w:basedOn w:val="1"/>
    <w:link w:val="23"/>
    <w:qFormat/>
    <w:uiPriority w:val="0"/>
    <w:rPr>
      <w:rFonts w:ascii="Courier New" w:hAnsi="Courier New"/>
      <w:sz w:val="20"/>
      <w:szCs w:val="20"/>
    </w:rPr>
  </w:style>
  <w:style w:type="paragraph" w:styleId="13">
    <w:name w:val="Title"/>
    <w:basedOn w:val="1"/>
    <w:next w:val="1"/>
    <w:qFormat/>
    <w:uiPriority w:val="0"/>
    <w:pPr>
      <w:spacing w:before="240" w:after="60"/>
      <w:jc w:val="center"/>
      <w:outlineLvl w:val="0"/>
    </w:pPr>
    <w:rPr>
      <w:rFonts w:ascii="Cambria" w:hAnsi="Cambria"/>
      <w:b/>
      <w:bCs/>
      <w:sz w:val="32"/>
      <w:szCs w:val="32"/>
    </w:rPr>
  </w:style>
  <w:style w:type="paragraph" w:styleId="14">
    <w:name w:val="annotation subject"/>
    <w:basedOn w:val="3"/>
    <w:next w:val="3"/>
    <w:link w:val="26"/>
    <w:qFormat/>
    <w:uiPriority w:val="0"/>
    <w:rPr>
      <w:b/>
      <w:bCs/>
    </w:rPr>
  </w:style>
  <w:style w:type="table" w:styleId="16">
    <w:name w:val="Table Grid"/>
    <w:basedOn w:val="1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qFormat/>
    <w:uiPriority w:val="0"/>
    <w:rPr>
      <w:color w:val="800080"/>
      <w:u w:val="single"/>
    </w:rPr>
  </w:style>
  <w:style w:type="character" w:styleId="20">
    <w:name w:val="Emphasis"/>
    <w:qFormat/>
    <w:uiPriority w:val="0"/>
    <w:rPr>
      <w:i/>
    </w:rPr>
  </w:style>
  <w:style w:type="character" w:styleId="21">
    <w:name w:val="Hyperlink"/>
    <w:qFormat/>
    <w:uiPriority w:val="99"/>
    <w:rPr>
      <w:color w:val="0000FF"/>
      <w:u w:val="single"/>
    </w:rPr>
  </w:style>
  <w:style w:type="character" w:styleId="22">
    <w:name w:val="annotation reference"/>
    <w:qFormat/>
    <w:uiPriority w:val="0"/>
    <w:rPr>
      <w:sz w:val="21"/>
      <w:szCs w:val="21"/>
    </w:rPr>
  </w:style>
  <w:style w:type="character" w:customStyle="1" w:styleId="23">
    <w:name w:val="HTML 预设格式 Char"/>
    <w:link w:val="12"/>
    <w:qFormat/>
    <w:uiPriority w:val="0"/>
    <w:rPr>
      <w:rFonts w:ascii="Courier New" w:hAnsi="Courier New" w:cs="Courier New"/>
      <w:kern w:val="2"/>
    </w:rPr>
  </w:style>
  <w:style w:type="character" w:customStyle="1" w:styleId="24">
    <w:name w:val="标题 1 Char"/>
    <w:link w:val="2"/>
    <w:qFormat/>
    <w:uiPriority w:val="0"/>
    <w:rPr>
      <w:rFonts w:ascii="Calibri" w:hAnsi="Calibri"/>
      <w:b/>
      <w:bCs/>
      <w:kern w:val="44"/>
      <w:sz w:val="44"/>
      <w:szCs w:val="44"/>
    </w:rPr>
  </w:style>
  <w:style w:type="character" w:customStyle="1" w:styleId="25">
    <w:name w:val="批注文字 Char"/>
    <w:link w:val="3"/>
    <w:qFormat/>
    <w:uiPriority w:val="0"/>
    <w:rPr>
      <w:kern w:val="2"/>
      <w:sz w:val="21"/>
      <w:szCs w:val="24"/>
    </w:rPr>
  </w:style>
  <w:style w:type="character" w:customStyle="1" w:styleId="26">
    <w:name w:val="批注主题 Char"/>
    <w:link w:val="14"/>
    <w:qFormat/>
    <w:uiPriority w:val="0"/>
    <w:rPr>
      <w:b/>
      <w:bCs/>
      <w:kern w:val="2"/>
      <w:sz w:val="21"/>
      <w:szCs w:val="24"/>
    </w:rPr>
  </w:style>
  <w:style w:type="character" w:customStyle="1" w:styleId="27">
    <w:name w:val="日期 Char"/>
    <w:link w:val="6"/>
    <w:qFormat/>
    <w:uiPriority w:val="0"/>
    <w:rPr>
      <w:kern w:val="2"/>
      <w:sz w:val="21"/>
      <w:szCs w:val="24"/>
    </w:rPr>
  </w:style>
  <w:style w:type="character" w:customStyle="1" w:styleId="28">
    <w:name w:val="纯文本 Char"/>
    <w:link w:val="5"/>
    <w:qFormat/>
    <w:uiPriority w:val="0"/>
    <w:rPr>
      <w:rFonts w:ascii="宋体" w:hAnsi="Courier New"/>
      <w:kern w:val="2"/>
      <w:sz w:val="21"/>
      <w:szCs w:val="24"/>
    </w:rPr>
  </w:style>
  <w:style w:type="paragraph" w:customStyle="1" w:styleId="29">
    <w:name w:val="列出段落1"/>
    <w:basedOn w:val="1"/>
    <w:qFormat/>
    <w:uiPriority w:val="99"/>
    <w:pPr>
      <w:ind w:firstLine="420"/>
    </w:pPr>
    <w:rPr>
      <w:rFonts w:ascii="等线" w:hAnsi="等线" w:eastAsia="等线"/>
      <w:szCs w:val="22"/>
    </w:rPr>
  </w:style>
  <w:style w:type="paragraph" w:customStyle="1" w:styleId="30">
    <w:name w:val="Char Char"/>
    <w:basedOn w:val="1"/>
    <w:qFormat/>
    <w:uiPriority w:val="0"/>
  </w:style>
  <w:style w:type="paragraph" w:customStyle="1" w:styleId="31">
    <w:name w:val="正文表格"/>
    <w:basedOn w:val="1"/>
    <w:qFormat/>
    <w:uiPriority w:val="0"/>
    <w:pPr>
      <w:spacing w:before="60" w:after="60"/>
    </w:pPr>
    <w:rPr>
      <w:sz w:val="24"/>
    </w:rPr>
  </w:style>
  <w:style w:type="paragraph" w:customStyle="1" w:styleId="32">
    <w:name w:val="1"/>
    <w:basedOn w:val="1"/>
    <w:next w:val="7"/>
    <w:qFormat/>
    <w:uiPriority w:val="0"/>
    <w:pPr>
      <w:spacing w:before="60" w:after="60"/>
      <w:ind w:firstLine="425"/>
    </w:pPr>
    <w:rPr>
      <w:sz w:val="24"/>
    </w:rPr>
  </w:style>
  <w:style w:type="paragraph" w:customStyle="1" w:styleId="33">
    <w:name w:val="p0"/>
    <w:basedOn w:val="1"/>
    <w:qFormat/>
    <w:uiPriority w:val="0"/>
    <w:pPr>
      <w:widowControl/>
    </w:pPr>
    <w:rPr>
      <w:kern w:val="0"/>
      <w:szCs w:val="21"/>
    </w:rPr>
  </w:style>
  <w:style w:type="paragraph" w:styleId="34">
    <w:name w:val="List Paragraph"/>
    <w:basedOn w:val="1"/>
    <w:qFormat/>
    <w:uiPriority w:val="34"/>
    <w:pPr>
      <w:ind w:firstLine="420"/>
    </w:pPr>
  </w:style>
  <w:style w:type="paragraph" w:customStyle="1" w:styleId="3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2045DC-761C-4305-B352-CCF14FACDBE0}">
  <ds:schemaRefs/>
</ds:datastoreItem>
</file>

<file path=docProps/app.xml><?xml version="1.0" encoding="utf-8"?>
<Properties xmlns="http://schemas.openxmlformats.org/officeDocument/2006/extended-properties" xmlns:vt="http://schemas.openxmlformats.org/officeDocument/2006/docPropsVTypes">
  <Template>Normal</Template>
  <Pages>30</Pages>
  <Words>12194</Words>
  <Characters>13423</Characters>
  <Lines>103</Lines>
  <Paragraphs>29</Paragraphs>
  <TotalTime>14</TotalTime>
  <ScaleCrop>false</ScaleCrop>
  <LinksUpToDate>false</LinksUpToDate>
  <CharactersWithSpaces>14011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2019-07-01T12:06:00Z</dcterms:created>
  <dc:creator>Administrator</dc:creator>
  <cp:lastModifiedBy>DengJiufa</cp:lastModifiedBy>
  <cp:lastPrinted>2019-07-01T18:01:00Z</cp:lastPrinted>
  <dcterms:modified xsi:type="dcterms:W3CDTF">2019-07-31T06:20:52Z</dcterms:modified>
  <dc:title>浙江丰安生物制药有限公司14.9723%国有法人股权</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