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Style w:val="5"/>
          <w:rFonts w:hint="eastAsia"/>
          <w:sz w:val="30"/>
          <w:lang w:val="en-US" w:eastAsia="zh-CN"/>
        </w:rPr>
      </w:pPr>
      <w:r>
        <w:rPr>
          <w:rStyle w:val="5"/>
          <w:rFonts w:hint="eastAsia"/>
          <w:sz w:val="30"/>
          <w:lang w:val="en-US" w:eastAsia="zh-CN"/>
        </w:rPr>
        <w:t>补充公告</w:t>
      </w:r>
    </w:p>
    <w:p>
      <w:pPr>
        <w:spacing w:line="500" w:lineRule="exact"/>
        <w:jc w:val="left"/>
        <w:rPr>
          <w:rFonts w:hint="eastAsia" w:ascii="仿宋_GB2312" w:hAnsi="仿宋_GB2312" w:eastAsia="仿宋_GB2312"/>
          <w:b/>
          <w:sz w:val="28"/>
          <w:lang w:val="en-US" w:eastAsia="zh-CN"/>
        </w:rPr>
      </w:pPr>
      <w:r>
        <w:rPr>
          <w:rFonts w:hint="eastAsia" w:ascii="仿宋_GB2312" w:hAnsi="仿宋_GB2312" w:eastAsia="仿宋_GB2312"/>
          <w:b/>
          <w:sz w:val="28"/>
          <w:lang w:val="en-US" w:eastAsia="zh-CN"/>
        </w:rPr>
        <w:t xml:space="preserve">    </w:t>
      </w:r>
      <w:r>
        <w:rPr>
          <w:rFonts w:hint="eastAsia" w:ascii="仿宋_GB2312" w:hAnsi="仿宋_GB2312" w:eastAsia="仿宋_GB2312"/>
          <w:b/>
          <w:sz w:val="28"/>
        </w:rPr>
        <w:t>台州恒金实业投资有限公司</w:t>
      </w:r>
      <w:r>
        <w:rPr>
          <w:rFonts w:hint="eastAsia" w:ascii="仿宋_GB2312" w:hAnsi="仿宋_GB2312" w:eastAsia="仿宋_GB2312"/>
          <w:b/>
          <w:sz w:val="28"/>
          <w:lang w:eastAsia="zh-CN"/>
        </w:rPr>
        <w:t>《</w:t>
      </w:r>
      <w:r>
        <w:rPr>
          <w:rFonts w:hint="eastAsia" w:ascii="仿宋_GB2312" w:hAnsi="仿宋_GB2312" w:eastAsia="仿宋_GB2312"/>
          <w:b/>
          <w:sz w:val="28"/>
        </w:rPr>
        <w:t>台州市万华汇二层商铺和台州市聚英路2518号的工业厂房</w:t>
      </w:r>
      <w:r>
        <w:rPr>
          <w:rFonts w:hint="eastAsia" w:ascii="仿宋_GB2312" w:hAnsi="仿宋_GB2312" w:eastAsia="仿宋_GB2312"/>
          <w:b/>
          <w:sz w:val="28"/>
          <w:lang w:val="en-US" w:eastAsia="zh-CN"/>
        </w:rPr>
        <w:t>转让》</w:t>
      </w:r>
      <w:r>
        <w:rPr>
          <w:rFonts w:hint="eastAsia" w:ascii="仿宋_GB2312" w:hAnsi="仿宋_GB2312" w:eastAsia="仿宋_GB2312"/>
          <w:b/>
          <w:sz w:val="28"/>
          <w:lang w:eastAsia="zh-CN"/>
        </w:rPr>
        <w:t>（</w:t>
      </w:r>
      <w:r>
        <w:rPr>
          <w:rFonts w:hint="eastAsia" w:ascii="仿宋_GB2312" w:hAnsi="仿宋_GB2312" w:eastAsia="仿宋_GB2312"/>
          <w:b/>
          <w:sz w:val="28"/>
          <w:lang w:val="en-US" w:eastAsia="zh-CN"/>
        </w:rPr>
        <w:t>项目编号：</w:t>
      </w:r>
      <w:r>
        <w:rPr>
          <w:rStyle w:val="5"/>
          <w:rFonts w:hint="eastAsia" w:ascii="仿宋_GB2312" w:hAnsi="仿宋_GB2312" w:eastAsia="仿宋_GB2312"/>
          <w:sz w:val="28"/>
        </w:rPr>
        <w:t>台交所挂【2020】23号</w:t>
      </w:r>
      <w:r>
        <w:rPr>
          <w:rStyle w:val="5"/>
          <w:rFonts w:hint="eastAsia" w:ascii="仿宋_GB2312" w:hAnsi="仿宋_GB2312" w:eastAsia="仿宋_GB2312"/>
          <w:sz w:val="28"/>
          <w:lang w:eastAsia="zh-CN"/>
        </w:rPr>
        <w:t>）</w:t>
      </w:r>
      <w:r>
        <w:rPr>
          <w:rStyle w:val="5"/>
          <w:rFonts w:hint="eastAsia" w:ascii="仿宋_GB2312" w:hAnsi="仿宋_GB2312" w:eastAsia="仿宋_GB2312"/>
          <w:sz w:val="28"/>
          <w:lang w:val="en-US" w:eastAsia="zh-CN"/>
        </w:rPr>
        <w:t>中的台州万华汇1幢2层商铺，约2200平方商铺已出租，租期至2026年12月31日。</w:t>
      </w:r>
    </w:p>
    <w:p>
      <w:pPr>
        <w:spacing w:line="500" w:lineRule="exact"/>
        <w:jc w:val="left"/>
        <w:rPr>
          <w:rFonts w:hint="eastAsia" w:ascii="仿宋_GB2312" w:hAnsi="仿宋_GB2312" w:eastAsia="仿宋_GB2312"/>
          <w:sz w:val="28"/>
        </w:rPr>
      </w:pPr>
    </w:p>
    <w:p>
      <w:pPr>
        <w:spacing w:line="500" w:lineRule="exact"/>
        <w:jc w:val="left"/>
        <w:rPr>
          <w:rFonts w:hint="eastAsia" w:ascii="仿宋_GB2312" w:hAnsi="仿宋_GB2312" w:eastAsia="仿宋_GB2312"/>
          <w:sz w:val="28"/>
        </w:rPr>
      </w:pPr>
    </w:p>
    <w:p>
      <w:pPr>
        <w:spacing w:line="500" w:lineRule="exact"/>
        <w:ind w:firstLine="4760" w:firstLineChars="1700"/>
        <w:jc w:val="left"/>
        <w:rPr>
          <w:rFonts w:hint="eastAsia" w:ascii="仿宋_GB2312" w:hAnsi="仿宋_GB2312" w:eastAsia="仿宋_GB2312"/>
          <w:sz w:val="28"/>
        </w:rPr>
      </w:pPr>
      <w:bookmarkStart w:id="0" w:name="_GoBack"/>
      <w:bookmarkEnd w:id="0"/>
      <w:r>
        <w:rPr>
          <w:rFonts w:hint="eastAsia" w:ascii="仿宋_GB2312" w:hAnsi="仿宋_GB2312" w:eastAsia="仿宋_GB2312"/>
          <w:sz w:val="28"/>
        </w:rPr>
        <w:t>台州市产权交易所有限公司</w:t>
      </w:r>
    </w:p>
    <w:p>
      <w:pPr>
        <w:spacing w:line="500" w:lineRule="exact"/>
        <w:jc w:val="left"/>
        <w:rPr>
          <w:rFonts w:hint="eastAsia" w:ascii="仿宋_GB2312" w:hAnsi="仿宋_GB2312" w:eastAsia="仿宋_GB2312"/>
          <w:sz w:val="28"/>
        </w:rPr>
      </w:pPr>
      <w:r>
        <w:rPr>
          <w:rFonts w:hint="eastAsia" w:ascii="仿宋_GB2312" w:hAnsi="仿宋_GB2312" w:eastAsia="仿宋_GB2312"/>
          <w:sz w:val="28"/>
        </w:rPr>
        <w:t xml:space="preserve">                                      　  2020年12月1</w:t>
      </w:r>
      <w:r>
        <w:rPr>
          <w:rFonts w:hint="eastAsia" w:ascii="仿宋_GB2312" w:hAnsi="仿宋_GB2312" w:eastAsia="仿宋_GB2312"/>
          <w:sz w:val="28"/>
          <w:lang w:val="en-US" w:eastAsia="zh-CN"/>
        </w:rPr>
        <w:t>5</w:t>
      </w:r>
      <w:r>
        <w:rPr>
          <w:rFonts w:hint="eastAsia" w:ascii="仿宋_GB2312" w:hAnsi="仿宋_GB2312" w:eastAsia="仿宋_GB2312"/>
          <w:sz w:val="28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18230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uiPriority w:val="0"/>
    <w:pPr>
      <w:jc w:val="both"/>
    </w:pPr>
    <w:rPr>
      <w:rFonts w:hint="default" w:ascii="Times New Roman" w:hAnsi="Times New Roman" w:eastAsia="宋体" w:cs="Times New Roman"/>
      <w:kern w:val="2"/>
      <w:sz w:val="21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link w:val="5"/>
    <w:unhideWhenUsed/>
    <w:qFormat/>
    <w:uiPriority w:val="0"/>
    <w:pPr>
      <w:spacing w:before="240" w:after="60"/>
      <w:jc w:val="center"/>
      <w:outlineLvl w:val="0"/>
    </w:pPr>
    <w:rPr>
      <w:rFonts w:hint="default" w:ascii="Cambria" w:hAnsi="Cambria"/>
      <w:b/>
      <w:sz w:val="32"/>
    </w:rPr>
  </w:style>
  <w:style w:type="character" w:customStyle="1" w:styleId="5">
    <w:name w:val="标题 字符"/>
    <w:link w:val="2"/>
    <w:unhideWhenUsed/>
    <w:qFormat/>
    <w:uiPriority w:val="0"/>
    <w:rPr>
      <w:rFonts w:hint="default" w:ascii="Cambria" w:hAnsi="Cambria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pan</dc:creator>
  <cp:lastModifiedBy>多年以后</cp:lastModifiedBy>
  <dcterms:modified xsi:type="dcterms:W3CDTF">2020-12-15T07:33:43Z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