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0" w:firstLineChars="0"/>
        <w:rPr>
          <w:rFonts w:ascii="宋体" w:hAnsi="宋体"/>
          <w:color w:val="000000" w:themeColor="text1"/>
          <w:sz w:val="28"/>
          <w:szCs w:val="28"/>
          <w:highlight w:val="none"/>
          <w14:textFill>
            <w14:solidFill>
              <w14:schemeClr w14:val="tx1"/>
            </w14:solidFill>
          </w14:textFill>
        </w:rPr>
      </w:pPr>
    </w:p>
    <w:p>
      <w:pPr>
        <w:ind w:firstLine="560"/>
        <w:rPr>
          <w:rFonts w:ascii="宋体" w:hAnsi="宋体"/>
          <w:color w:val="000000" w:themeColor="text1"/>
          <w:sz w:val="28"/>
          <w:szCs w:val="28"/>
          <w:highlight w:val="none"/>
          <w14:textFill>
            <w14:solidFill>
              <w14:schemeClr w14:val="tx1"/>
            </w14:solidFill>
          </w14:textFill>
        </w:rPr>
      </w:pPr>
    </w:p>
    <w:p>
      <w:pPr>
        <w:ind w:firstLine="560"/>
        <w:rPr>
          <w:rFonts w:ascii="宋体" w:hAnsi="宋体"/>
          <w:color w:val="000000" w:themeColor="text1"/>
          <w:sz w:val="28"/>
          <w:szCs w:val="28"/>
          <w:highlight w:val="none"/>
          <w14:textFill>
            <w14:solidFill>
              <w14:schemeClr w14:val="tx1"/>
            </w14:solidFill>
          </w14:textFill>
        </w:rPr>
      </w:pPr>
    </w:p>
    <w:p>
      <w:pPr>
        <w:ind w:firstLine="560"/>
        <w:rPr>
          <w:rFonts w:ascii="宋体" w:hAnsi="宋体"/>
          <w:color w:val="000000" w:themeColor="text1"/>
          <w:sz w:val="28"/>
          <w:szCs w:val="28"/>
          <w:highlight w:val="none"/>
          <w14:textFill>
            <w14:solidFill>
              <w14:schemeClr w14:val="tx1"/>
            </w14:solidFill>
          </w14:textFill>
        </w:rPr>
      </w:pPr>
    </w:p>
    <w:p>
      <w:pPr>
        <w:ind w:firstLine="560"/>
        <w:rPr>
          <w:rFonts w:ascii="宋体" w:hAnsi="宋体"/>
          <w:color w:val="000000" w:themeColor="text1"/>
          <w:sz w:val="28"/>
          <w:szCs w:val="28"/>
          <w:highlight w:val="none"/>
          <w14:textFill>
            <w14:solidFill>
              <w14:schemeClr w14:val="tx1"/>
            </w14:solidFill>
          </w14:textFill>
        </w:rPr>
      </w:pPr>
    </w:p>
    <w:p>
      <w:pPr>
        <w:spacing w:line="360" w:lineRule="auto"/>
        <w:ind w:left="8138" w:leftChars="-95" w:right="-395" w:rightChars="-188" w:hanging="8337" w:hangingChars="1654"/>
        <w:jc w:val="center"/>
        <w:rPr>
          <w:rFonts w:ascii="黑体" w:hAnsi="宋体" w:eastAsia="黑体"/>
          <w:b/>
          <w:color w:val="000000" w:themeColor="text1"/>
          <w:spacing w:val="-9"/>
          <w:sz w:val="52"/>
          <w:szCs w:val="48"/>
          <w:highlight w:val="none"/>
          <w14:textFill>
            <w14:solidFill>
              <w14:schemeClr w14:val="tx1"/>
            </w14:solidFill>
          </w14:textFill>
        </w:rPr>
      </w:pPr>
      <w:r>
        <w:rPr>
          <w:rFonts w:hint="eastAsia" w:ascii="黑体" w:hAnsi="宋体" w:eastAsia="黑体"/>
          <w:b/>
          <w:color w:val="000000" w:themeColor="text1"/>
          <w:spacing w:val="-9"/>
          <w:sz w:val="52"/>
          <w:szCs w:val="48"/>
          <w:highlight w:val="none"/>
          <w14:textFill>
            <w14:solidFill>
              <w14:schemeClr w14:val="tx1"/>
            </w14:solidFill>
          </w14:textFill>
        </w:rPr>
        <w:t>浙江嘉佑医疗器械有限公司</w:t>
      </w:r>
    </w:p>
    <w:p>
      <w:pPr>
        <w:spacing w:line="360" w:lineRule="auto"/>
        <w:ind w:left="8138" w:leftChars="-95" w:right="-395" w:rightChars="-188" w:hanging="8337" w:hangingChars="1654"/>
        <w:jc w:val="center"/>
        <w:rPr>
          <w:rFonts w:ascii="黑体" w:hAnsi="宋体" w:eastAsia="黑体"/>
          <w:b/>
          <w:color w:val="000000" w:themeColor="text1"/>
          <w:spacing w:val="-9"/>
          <w:sz w:val="52"/>
          <w:szCs w:val="48"/>
          <w:highlight w:val="none"/>
          <w14:textFill>
            <w14:solidFill>
              <w14:schemeClr w14:val="tx1"/>
            </w14:solidFill>
          </w14:textFill>
        </w:rPr>
      </w:pPr>
      <w:r>
        <w:rPr>
          <w:rFonts w:ascii="黑体" w:hAnsi="宋体" w:eastAsia="黑体"/>
          <w:b/>
          <w:color w:val="000000" w:themeColor="text1"/>
          <w:spacing w:val="-9"/>
          <w:sz w:val="52"/>
          <w:szCs w:val="48"/>
          <w:highlight w:val="none"/>
          <w14:textFill>
            <w14:solidFill>
              <w14:schemeClr w14:val="tx1"/>
            </w14:solidFill>
          </w14:textFill>
        </w:rPr>
        <w:t>33.33</w:t>
      </w:r>
      <w:r>
        <w:rPr>
          <w:rFonts w:hint="eastAsia" w:ascii="黑体" w:hAnsi="宋体" w:eastAsia="黑体"/>
          <w:b/>
          <w:color w:val="000000" w:themeColor="text1"/>
          <w:spacing w:val="-9"/>
          <w:sz w:val="52"/>
          <w:szCs w:val="48"/>
          <w:highlight w:val="none"/>
          <w14:textFill>
            <w14:solidFill>
              <w14:schemeClr w14:val="tx1"/>
            </w14:solidFill>
          </w14:textFill>
        </w:rPr>
        <w:t>%股权</w:t>
      </w:r>
    </w:p>
    <w:p>
      <w:pPr>
        <w:spacing w:line="360" w:lineRule="auto"/>
        <w:ind w:left="8138" w:leftChars="-95" w:right="-395" w:rightChars="-188" w:hanging="8337" w:hangingChars="1654"/>
        <w:jc w:val="center"/>
        <w:rPr>
          <w:rFonts w:ascii="黑体" w:hAnsi="宋体" w:eastAsia="黑体"/>
          <w:b/>
          <w:color w:val="000000" w:themeColor="text1"/>
          <w:spacing w:val="-9"/>
          <w:sz w:val="52"/>
          <w:szCs w:val="48"/>
          <w:highlight w:val="none"/>
          <w14:textFill>
            <w14:solidFill>
              <w14:schemeClr w14:val="tx1"/>
            </w14:solidFill>
          </w14:textFill>
        </w:rPr>
      </w:pPr>
    </w:p>
    <w:p>
      <w:pPr>
        <w:spacing w:line="360" w:lineRule="auto"/>
        <w:ind w:left="8435" w:leftChars="-95" w:right="-395" w:rightChars="-188" w:hanging="8634" w:hangingChars="1654"/>
        <w:jc w:val="center"/>
        <w:rPr>
          <w:rFonts w:ascii="黑体" w:hAnsi="宋体" w:eastAsia="黑体"/>
          <w:b/>
          <w:color w:val="000000" w:themeColor="text1"/>
          <w:sz w:val="52"/>
          <w:szCs w:val="48"/>
          <w:highlight w:val="none"/>
          <w14:textFill>
            <w14:solidFill>
              <w14:schemeClr w14:val="tx1"/>
            </w14:solidFill>
          </w14:textFill>
        </w:rPr>
      </w:pPr>
    </w:p>
    <w:p>
      <w:pPr>
        <w:spacing w:line="360" w:lineRule="auto"/>
        <w:ind w:firstLine="964"/>
        <w:jc w:val="center"/>
        <w:rPr>
          <w:rFonts w:ascii="黑体" w:hAnsi="宋体" w:eastAsia="黑体"/>
          <w:b/>
          <w:color w:val="000000" w:themeColor="text1"/>
          <w:sz w:val="48"/>
          <w:szCs w:val="48"/>
          <w:highlight w:val="none"/>
          <w14:textFill>
            <w14:solidFill>
              <w14:schemeClr w14:val="tx1"/>
            </w14:solidFill>
          </w14:textFill>
        </w:rPr>
      </w:pPr>
    </w:p>
    <w:p>
      <w:pPr>
        <w:spacing w:line="360" w:lineRule="auto"/>
        <w:ind w:firstLine="0" w:firstLineChars="0"/>
        <w:jc w:val="center"/>
        <w:rPr>
          <w:rFonts w:ascii="黑体" w:hAnsi="宋体" w:eastAsia="黑体"/>
          <w:b/>
          <w:color w:val="000000" w:themeColor="text1"/>
          <w:sz w:val="68"/>
          <w:szCs w:val="68"/>
          <w:highlight w:val="none"/>
          <w14:textFill>
            <w14:solidFill>
              <w14:schemeClr w14:val="tx1"/>
            </w14:solidFill>
          </w14:textFill>
        </w:rPr>
      </w:pPr>
      <w:r>
        <w:rPr>
          <w:rFonts w:hint="eastAsia" w:ascii="黑体" w:hAnsi="宋体" w:eastAsia="黑体"/>
          <w:b/>
          <w:color w:val="000000" w:themeColor="text1"/>
          <w:sz w:val="68"/>
          <w:szCs w:val="68"/>
          <w:highlight w:val="none"/>
          <w14:textFill>
            <w14:solidFill>
              <w14:schemeClr w14:val="tx1"/>
            </w14:solidFill>
          </w14:textFill>
        </w:rPr>
        <w:t>转 让 文 件</w:t>
      </w:r>
    </w:p>
    <w:p>
      <w:pPr>
        <w:spacing w:line="360" w:lineRule="auto"/>
        <w:ind w:firstLine="643"/>
        <w:jc w:val="center"/>
        <w:rPr>
          <w:rFonts w:ascii="黑体" w:hAnsi="宋体" w:eastAsia="黑体"/>
          <w:b/>
          <w:color w:val="000000" w:themeColor="text1"/>
          <w:sz w:val="32"/>
          <w:szCs w:val="32"/>
          <w:highlight w:val="none"/>
          <w14:textFill>
            <w14:solidFill>
              <w14:schemeClr w14:val="tx1"/>
            </w14:solidFill>
          </w14:textFill>
        </w:rPr>
      </w:pPr>
    </w:p>
    <w:p>
      <w:pPr>
        <w:spacing w:line="360" w:lineRule="auto"/>
        <w:ind w:firstLine="0" w:firstLineChars="0"/>
        <w:jc w:val="center"/>
        <w:rPr>
          <w:rFonts w:hint="eastAsia" w:ascii="黑体" w:hAnsi="宋体" w:eastAsia="黑体"/>
          <w:b/>
          <w:color w:val="000000" w:themeColor="text1"/>
          <w:sz w:val="32"/>
          <w:szCs w:val="32"/>
          <w:highlight w:val="none"/>
          <w:lang w:eastAsia="zh-CN"/>
          <w14:textFill>
            <w14:solidFill>
              <w14:schemeClr w14:val="tx1"/>
            </w14:solidFill>
          </w14:textFill>
        </w:rPr>
      </w:pPr>
      <w:r>
        <w:rPr>
          <w:rFonts w:hint="eastAsia" w:ascii="黑体" w:hAnsi="宋体" w:eastAsia="黑体"/>
          <w:b/>
          <w:color w:val="000000" w:themeColor="text1"/>
          <w:sz w:val="32"/>
          <w:szCs w:val="32"/>
          <w:highlight w:val="none"/>
          <w:lang w:eastAsia="zh-CN"/>
          <w14:textFill>
            <w14:solidFill>
              <w14:schemeClr w14:val="tx1"/>
            </w14:solidFill>
          </w14:textFill>
        </w:rPr>
        <w:t>台交所挂〔2020〕4号</w:t>
      </w:r>
    </w:p>
    <w:p>
      <w:pPr>
        <w:spacing w:line="360" w:lineRule="auto"/>
        <w:ind w:firstLine="643"/>
        <w:jc w:val="center"/>
        <w:rPr>
          <w:rFonts w:ascii="黑体" w:hAnsi="宋体" w:eastAsia="黑体"/>
          <w:b/>
          <w:color w:val="000000" w:themeColor="text1"/>
          <w:sz w:val="32"/>
          <w:szCs w:val="32"/>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ind w:firstLine="0" w:firstLineChars="0"/>
        <w:rPr>
          <w:rFonts w:ascii="宋体" w:hAnsi="宋体"/>
          <w:color w:val="000000" w:themeColor="text1"/>
          <w:sz w:val="28"/>
          <w:szCs w:val="28"/>
          <w:highlight w:val="none"/>
          <w14:textFill>
            <w14:solidFill>
              <w14:schemeClr w14:val="tx1"/>
            </w14:solidFill>
          </w14:textFill>
        </w:rPr>
      </w:pPr>
    </w:p>
    <w:p>
      <w:pPr>
        <w:ind w:firstLine="560"/>
        <w:rPr>
          <w:rFonts w:ascii="宋体" w:hAnsi="宋体"/>
          <w:color w:val="000000" w:themeColor="text1"/>
          <w:sz w:val="28"/>
          <w:szCs w:val="28"/>
          <w:highlight w:val="none"/>
          <w14:textFill>
            <w14:solidFill>
              <w14:schemeClr w14:val="tx1"/>
            </w14:solidFill>
          </w14:textFill>
        </w:rPr>
      </w:pPr>
    </w:p>
    <w:p>
      <w:pPr>
        <w:ind w:left="-540" w:leftChars="-257" w:right="-693" w:rightChars="-330" w:firstLine="560"/>
        <w:rPr>
          <w:rFonts w:ascii="宋体" w:hAnsi="宋体"/>
          <w:color w:val="000000" w:themeColor="text1"/>
          <w:sz w:val="28"/>
          <w:szCs w:val="28"/>
          <w:highlight w:val="none"/>
          <w14:textFill>
            <w14:solidFill>
              <w14:schemeClr w14:val="tx1"/>
            </w14:solidFill>
          </w14:textFill>
        </w:rPr>
      </w:pPr>
    </w:p>
    <w:p>
      <w:pPr>
        <w:ind w:firstLine="0" w:firstLineChars="0"/>
        <w:rPr>
          <w:rFonts w:ascii="宋体" w:hAnsi="宋体"/>
          <w:b/>
          <w:color w:val="000000" w:themeColor="text1"/>
          <w:sz w:val="18"/>
          <w:szCs w:val="18"/>
          <w:highlight w:val="none"/>
          <w14:textFill>
            <w14:solidFill>
              <w14:schemeClr w14:val="tx1"/>
            </w14:solidFill>
          </w14:textFill>
        </w:rPr>
      </w:pPr>
      <w:r>
        <w:rPr>
          <w:rFonts w:hint="eastAsia" w:ascii="宋体" w:hAnsi="宋体"/>
          <w:b/>
          <w:color w:val="000000" w:themeColor="text1"/>
          <w:sz w:val="18"/>
          <w:szCs w:val="18"/>
          <w:highlight w:val="none"/>
          <w14:textFill>
            <w14:solidFill>
              <w14:schemeClr w14:val="tx1"/>
            </w14:solidFill>
          </w14:textFill>
        </w:rPr>
        <w:t>◎台州市产权交易所有限公司◎地址：台州市市府大道777号民泰银行5楼511室◎电话：88685177 88685180◎网址：www.tzpre.com</w:t>
      </w:r>
    </w:p>
    <w:p>
      <w:pPr>
        <w:spacing w:line="720" w:lineRule="auto"/>
        <w:ind w:firstLine="562"/>
        <w:jc w:val="center"/>
        <w:rPr>
          <w:rFonts w:ascii="宋体" w:hAnsi="宋体"/>
          <w:b/>
          <w:bCs/>
          <w:color w:val="000000" w:themeColor="text1"/>
          <w:sz w:val="28"/>
          <w:szCs w:val="28"/>
          <w:highlight w:val="none"/>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docGrid w:type="lines" w:linePitch="312" w:charSpace="0"/>
        </w:sectPr>
      </w:pPr>
    </w:p>
    <w:p>
      <w:pPr>
        <w:spacing w:line="720" w:lineRule="auto"/>
        <w:ind w:firstLine="0" w:firstLineChars="0"/>
        <w:jc w:val="center"/>
        <w:rPr>
          <w:rFonts w:ascii="黑体" w:hAnsi="宋体" w:eastAsia="黑体"/>
          <w:b/>
          <w:bCs/>
          <w:color w:val="000000" w:themeColor="text1"/>
          <w:sz w:val="84"/>
          <w:highlight w:val="none"/>
          <w14:textFill>
            <w14:solidFill>
              <w14:schemeClr w14:val="tx1"/>
            </w14:solidFill>
          </w14:textFill>
        </w:rPr>
      </w:pPr>
      <w:r>
        <w:rPr>
          <w:rFonts w:hint="eastAsia" w:ascii="黑体" w:hAnsi="宋体" w:eastAsia="黑体"/>
          <w:b/>
          <w:bCs/>
          <w:color w:val="000000" w:themeColor="text1"/>
          <w:sz w:val="84"/>
          <w:highlight w:val="none"/>
          <w14:textFill>
            <w14:solidFill>
              <w14:schemeClr w14:val="tx1"/>
            </w14:solidFill>
          </w14:textFill>
        </w:rPr>
        <w:t>目　</w:t>
      </w:r>
      <w:r>
        <w:rPr>
          <w:rFonts w:ascii="黑体" w:hAnsi="宋体" w:eastAsia="黑体"/>
          <w:b/>
          <w:bCs/>
          <w:color w:val="000000" w:themeColor="text1"/>
          <w:sz w:val="84"/>
          <w:highlight w:val="none"/>
          <w14:textFill>
            <w14:solidFill>
              <w14:schemeClr w14:val="tx1"/>
            </w14:solidFill>
          </w14:textFill>
        </w:rPr>
        <w:t xml:space="preserve"> 录</w:t>
      </w:r>
    </w:p>
    <w:p>
      <w:pPr>
        <w:spacing w:line="60" w:lineRule="auto"/>
        <w:ind w:firstLine="0" w:firstLineChars="0"/>
        <w:jc w:val="center"/>
        <w:rPr>
          <w:rFonts w:ascii="宋体" w:hAnsi="宋体"/>
          <w:b/>
          <w:color w:val="000000" w:themeColor="text1"/>
          <w:sz w:val="40"/>
          <w:szCs w:val="32"/>
          <w:highlight w:val="none"/>
          <w14:textFill>
            <w14:solidFill>
              <w14:schemeClr w14:val="tx1"/>
            </w14:solidFill>
          </w14:textFill>
        </w:rPr>
      </w:pPr>
      <w:r>
        <w:rPr>
          <w:rFonts w:hint="eastAsia" w:ascii="宋体" w:hAnsi="宋体"/>
          <w:b/>
          <w:color w:val="000000" w:themeColor="text1"/>
          <w:sz w:val="40"/>
          <w:szCs w:val="32"/>
          <w:highlight w:val="none"/>
          <w14:textFill>
            <w14:solidFill>
              <w14:schemeClr w14:val="tx1"/>
            </w14:solidFill>
          </w14:textFill>
        </w:rPr>
        <w:t>浙江嘉佑医疗器械有限公司33.33%股权</w:t>
      </w:r>
    </w:p>
    <w:sdt>
      <w:sdtPr>
        <w:rPr>
          <w:rFonts w:ascii="Times New Roman" w:hAnsi="Times New Roman" w:eastAsia="宋体" w:cs="Times New Roman"/>
          <w:b w:val="0"/>
          <w:bCs w:val="0"/>
          <w:color w:val="000000" w:themeColor="text1"/>
          <w:kern w:val="2"/>
          <w:sz w:val="21"/>
          <w:szCs w:val="24"/>
          <w:highlight w:val="none"/>
          <w:lang w:val="zh-CN"/>
          <w14:textFill>
            <w14:solidFill>
              <w14:schemeClr w14:val="tx1"/>
            </w14:solidFill>
          </w14:textFill>
        </w:rPr>
        <w:id w:val="291027570"/>
        <w:docPartObj>
          <w:docPartGallery w:val="Table of Contents"/>
          <w:docPartUnique/>
        </w:docPartObj>
      </w:sdtPr>
      <w:sdtEndPr>
        <w:rPr>
          <w:rFonts w:ascii="Times New Roman" w:hAnsi="Times New Roman" w:eastAsia="宋体" w:cs="Times New Roman"/>
          <w:b w:val="0"/>
          <w:bCs w:val="0"/>
          <w:color w:val="000000" w:themeColor="text1"/>
          <w:kern w:val="2"/>
          <w:sz w:val="32"/>
          <w:szCs w:val="32"/>
          <w:highlight w:val="none"/>
          <w:lang w:val="zh-CN"/>
          <w14:textFill>
            <w14:solidFill>
              <w14:schemeClr w14:val="tx1"/>
            </w14:solidFill>
          </w14:textFill>
        </w:rPr>
      </w:sdtEndPr>
      <w:sdtContent>
        <w:p>
          <w:pPr>
            <w:pStyle w:val="35"/>
            <w:spacing w:line="360" w:lineRule="auto"/>
            <w:ind w:firstLine="420"/>
            <w:rPr>
              <w:color w:val="000000" w:themeColor="text1"/>
              <w:highlight w:val="none"/>
              <w14:textFill>
                <w14:solidFill>
                  <w14:schemeClr w14:val="tx1"/>
                </w14:solidFill>
              </w14:textFill>
            </w:rPr>
          </w:pPr>
          <w:bookmarkStart w:id="50" w:name="_GoBack"/>
          <w:bookmarkEnd w:id="50"/>
        </w:p>
        <w:p>
          <w:pPr>
            <w:pStyle w:val="11"/>
            <w:tabs>
              <w:tab w:val="right" w:leader="dot" w:pos="8844"/>
            </w:tabs>
            <w:spacing w:line="1000" w:lineRule="exact"/>
            <w:ind w:firstLine="0" w:firstLineChars="0"/>
            <w:rPr>
              <w:rFonts w:hint="eastAsia"/>
              <w:color w:val="000000" w:themeColor="text1"/>
              <w:sz w:val="32"/>
              <w:szCs w:val="32"/>
              <w:highlight w:val="none"/>
              <w14:textFill>
                <w14:solidFill>
                  <w14:schemeClr w14:val="tx1"/>
                </w14:solidFill>
              </w14:textFill>
            </w:rPr>
          </w:pPr>
          <w:r>
            <w:rPr>
              <w:b/>
              <w:bCs/>
              <w:color w:val="000000" w:themeColor="text1"/>
              <w:sz w:val="32"/>
              <w:szCs w:val="32"/>
              <w:highlight w:val="none"/>
              <w14:textFill>
                <w14:solidFill>
                  <w14:schemeClr w14:val="tx1"/>
                </w14:solidFill>
              </w14:textFill>
            </w:rPr>
            <w:fldChar w:fldCharType="begin"/>
          </w:r>
          <w:r>
            <w:rPr>
              <w:b/>
              <w:bCs/>
              <w:color w:val="000000" w:themeColor="text1"/>
              <w:sz w:val="32"/>
              <w:szCs w:val="32"/>
              <w:highlight w:val="none"/>
              <w14:textFill>
                <w14:solidFill>
                  <w14:schemeClr w14:val="tx1"/>
                </w14:solidFill>
              </w14:textFill>
            </w:rPr>
            <w:instrText xml:space="preserve"> TOC \o "1-3" \h \z \u </w:instrText>
          </w:r>
          <w:r>
            <w:rPr>
              <w:b/>
              <w:bCs/>
              <w:color w:val="000000" w:themeColor="text1"/>
              <w:sz w:val="32"/>
              <w:szCs w:val="32"/>
              <w:highlight w:val="none"/>
              <w14:textFill>
                <w14:solidFill>
                  <w14:schemeClr w14:val="tx1"/>
                </w14:solidFill>
              </w14:textFill>
            </w:rPr>
            <w:fldChar w:fldCharType="separate"/>
          </w: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"_Toc24912"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股权转让公告</w:t>
          </w:r>
          <w:r>
            <w:rPr>
              <w:color w:val="000000" w:themeColor="text1"/>
              <w:sz w:val="32"/>
              <w:szCs w:val="32"/>
              <w:highlight w:val="none"/>
              <w14:textFill>
                <w14:solidFill>
                  <w14:schemeClr w14:val="tx1"/>
                </w14:solidFill>
              </w14:textFill>
            </w:rPr>
            <w:tab/>
          </w:r>
          <w:r>
            <w:rPr>
              <w:color w:val="000000" w:themeColor="text1"/>
              <w:sz w:val="32"/>
              <w:szCs w:val="32"/>
              <w:highlight w:val="none"/>
              <w14:textFill>
                <w14:solidFill>
                  <w14:schemeClr w14:val="tx1"/>
                </w14:solidFill>
              </w14:textFill>
            </w:rPr>
            <w:fldChar w:fldCharType="end"/>
          </w:r>
          <w:r>
            <w:rPr>
              <w:rFonts w:hint="eastAsia"/>
              <w:color w:val="000000" w:themeColor="text1"/>
              <w:sz w:val="32"/>
              <w:szCs w:val="32"/>
              <w:highlight w:val="none"/>
              <w:lang w:val="en-US" w:eastAsia="zh-CN"/>
              <w14:textFill>
                <w14:solidFill>
                  <w14:schemeClr w14:val="tx1"/>
                </w14:solidFill>
              </w14:textFill>
            </w:rPr>
            <w:t>1</w:t>
          </w:r>
        </w:p>
        <w:p>
          <w:pPr>
            <w:pStyle w:val="11"/>
            <w:tabs>
              <w:tab w:val="right" w:leader="dot" w:pos="8844"/>
            </w:tabs>
            <w:spacing w:line="1000" w:lineRule="exact"/>
            <w:ind w:firstLine="0" w:firstLineChars="0"/>
            <w:rPr>
              <w:rFonts w:hint="eastAsia"/>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"_Toc14112"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转让须知</w:t>
          </w:r>
          <w:r>
            <w:rPr>
              <w:color w:val="000000" w:themeColor="text1"/>
              <w:sz w:val="32"/>
              <w:szCs w:val="32"/>
              <w:highlight w:val="none"/>
              <w14:textFill>
                <w14:solidFill>
                  <w14:schemeClr w14:val="tx1"/>
                </w14:solidFill>
              </w14:textFill>
            </w:rPr>
            <w:tab/>
          </w:r>
          <w:r>
            <w:rPr>
              <w:color w:val="000000" w:themeColor="text1"/>
              <w:sz w:val="32"/>
              <w:szCs w:val="32"/>
              <w:highlight w:val="none"/>
              <w14:textFill>
                <w14:solidFill>
                  <w14:schemeClr w14:val="tx1"/>
                </w14:solidFill>
              </w14:textFill>
            </w:rPr>
            <w:fldChar w:fldCharType="end"/>
          </w:r>
          <w:r>
            <w:rPr>
              <w:rFonts w:hint="eastAsia"/>
              <w:color w:val="000000" w:themeColor="text1"/>
              <w:sz w:val="32"/>
              <w:szCs w:val="32"/>
              <w:highlight w:val="none"/>
              <w:lang w:val="en-US" w:eastAsia="zh-CN"/>
              <w14:textFill>
                <w14:solidFill>
                  <w14:schemeClr w14:val="tx1"/>
                </w14:solidFill>
              </w14:textFill>
            </w:rPr>
            <w:t>3</w:t>
          </w:r>
        </w:p>
        <w:p>
          <w:pPr>
            <w:pStyle w:val="11"/>
            <w:tabs>
              <w:tab w:val="right" w:leader="dot" w:pos="8844"/>
            </w:tabs>
            <w:spacing w:line="1000" w:lineRule="exact"/>
            <w:ind w:firstLine="0" w:firstLineChars="0"/>
            <w:rPr>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"_Toc6233"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竞买申请书</w:t>
          </w:r>
          <w:r>
            <w:rPr>
              <w:color w:val="000000" w:themeColor="text1"/>
              <w:sz w:val="32"/>
              <w:szCs w:val="32"/>
              <w:highlight w:val="none"/>
              <w14:textFill>
                <w14:solidFill>
                  <w14:schemeClr w14:val="tx1"/>
                </w14:solidFill>
              </w14:textFill>
            </w:rPr>
            <w:tab/>
          </w:r>
          <w:r>
            <w:rPr>
              <w:rFonts w:hint="eastAsia"/>
              <w:color w:val="000000" w:themeColor="text1"/>
              <w:sz w:val="32"/>
              <w:szCs w:val="32"/>
              <w:highlight w:val="none"/>
              <w14:textFill>
                <w14:solidFill>
                  <w14:schemeClr w14:val="tx1"/>
                </w14:solidFill>
              </w14:textFill>
            </w:rPr>
            <w:t>1</w:t>
          </w:r>
          <w:r>
            <w:rPr>
              <w:rFonts w:hint="eastAsia"/>
              <w:color w:val="000000" w:themeColor="text1"/>
              <w:sz w:val="32"/>
              <w:szCs w:val="32"/>
              <w:highlight w:val="none"/>
              <w14:textFill>
                <w14:solidFill>
                  <w14:schemeClr w14:val="tx1"/>
                </w14:solidFill>
              </w14:textFill>
            </w:rPr>
            <w:fldChar w:fldCharType="end"/>
          </w:r>
          <w:r>
            <w:rPr>
              <w:rFonts w:hint="eastAsia"/>
              <w:bCs/>
              <w:color w:val="000000" w:themeColor="text1"/>
              <w:sz w:val="32"/>
              <w:szCs w:val="32"/>
              <w:highlight w:val="none"/>
              <w14:textFill>
                <w14:solidFill>
                  <w14:schemeClr w14:val="tx1"/>
                </w14:solidFill>
              </w14:textFill>
            </w:rPr>
            <w:t>0</w:t>
          </w:r>
        </w:p>
        <w:p>
          <w:pPr>
            <w:pStyle w:val="11"/>
            <w:tabs>
              <w:tab w:val="right" w:leader="dot" w:pos="8844"/>
            </w:tabs>
            <w:spacing w:line="1000" w:lineRule="exact"/>
            <w:ind w:firstLine="0" w:firstLineChars="0"/>
            <w:rPr>
              <w:rFonts w:hint="default"/>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"_Toc30560"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竞买人承诺函</w:t>
          </w:r>
          <w:r>
            <w:rPr>
              <w:color w:val="000000" w:themeColor="text1"/>
              <w:sz w:val="32"/>
              <w:szCs w:val="32"/>
              <w:highlight w:val="none"/>
              <w14:textFill>
                <w14:solidFill>
                  <w14:schemeClr w14:val="tx1"/>
                </w14:solidFill>
              </w14:textFill>
            </w:rPr>
            <w:tab/>
          </w:r>
          <w:r>
            <w:rPr>
              <w:color w:val="000000" w:themeColor="text1"/>
              <w:sz w:val="32"/>
              <w:szCs w:val="32"/>
              <w:highlight w:val="none"/>
              <w14:textFill>
                <w14:solidFill>
                  <w14:schemeClr w14:val="tx1"/>
                </w14:solidFill>
              </w14:textFill>
            </w:rPr>
            <w:fldChar w:fldCharType="end"/>
          </w:r>
          <w:r>
            <w:rPr>
              <w:rFonts w:hint="eastAsia"/>
              <w:color w:val="000000" w:themeColor="text1"/>
              <w:sz w:val="32"/>
              <w:szCs w:val="32"/>
              <w:highlight w:val="none"/>
              <w:lang w:val="en-US" w:eastAsia="zh-CN"/>
              <w14:textFill>
                <w14:solidFill>
                  <w14:schemeClr w14:val="tx1"/>
                </w14:solidFill>
              </w14:textFill>
            </w:rPr>
            <w:t>11</w:t>
          </w:r>
        </w:p>
        <w:p>
          <w:pPr>
            <w:pStyle w:val="11"/>
            <w:tabs>
              <w:tab w:val="right" w:leader="dot" w:pos="8844"/>
            </w:tabs>
            <w:spacing w:line="1000" w:lineRule="exact"/>
            <w:ind w:firstLine="0" w:firstLineChars="0"/>
            <w:rPr>
              <w:rFonts w:hint="default"/>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"_Toc4653"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成交确认书</w:t>
          </w:r>
          <w:r>
            <w:rPr>
              <w:color w:val="000000" w:themeColor="text1"/>
              <w:sz w:val="32"/>
              <w:szCs w:val="32"/>
              <w:highlight w:val="none"/>
              <w14:textFill>
                <w14:solidFill>
                  <w14:schemeClr w14:val="tx1"/>
                </w14:solidFill>
              </w14:textFill>
            </w:rPr>
            <w:tab/>
          </w:r>
          <w:r>
            <w:rPr>
              <w:color w:val="000000" w:themeColor="text1"/>
              <w:sz w:val="32"/>
              <w:szCs w:val="32"/>
              <w:highlight w:val="none"/>
              <w14:textFill>
                <w14:solidFill>
                  <w14:schemeClr w14:val="tx1"/>
                </w14:solidFill>
              </w14:textFill>
            </w:rPr>
            <w:fldChar w:fldCharType="end"/>
          </w:r>
          <w:r>
            <w:rPr>
              <w:rFonts w:hint="eastAsia"/>
              <w:color w:val="000000" w:themeColor="text1"/>
              <w:sz w:val="32"/>
              <w:szCs w:val="32"/>
              <w:highlight w:val="none"/>
              <w:lang w:val="en-US" w:eastAsia="zh-CN"/>
              <w14:textFill>
                <w14:solidFill>
                  <w14:schemeClr w14:val="tx1"/>
                </w14:solidFill>
              </w14:textFill>
            </w:rPr>
            <w:t>13</w:t>
          </w:r>
        </w:p>
        <w:p>
          <w:pPr>
            <w:pStyle w:val="11"/>
            <w:tabs>
              <w:tab w:val="right" w:leader="dot" w:pos="8844"/>
            </w:tabs>
            <w:spacing w:line="1000" w:lineRule="exact"/>
            <w:ind w:firstLine="0" w:firstLineChars="0"/>
            <w:rPr>
              <w:rFonts w:hint="default"/>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"_Toc6735"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转让合同</w:t>
          </w:r>
          <w:r>
            <w:rPr>
              <w:color w:val="000000" w:themeColor="text1"/>
              <w:sz w:val="32"/>
              <w:szCs w:val="32"/>
              <w:highlight w:val="none"/>
              <w14:textFill>
                <w14:solidFill>
                  <w14:schemeClr w14:val="tx1"/>
                </w14:solidFill>
              </w14:textFill>
            </w:rPr>
            <w:tab/>
          </w:r>
          <w:r>
            <w:rPr>
              <w:color w:val="000000" w:themeColor="text1"/>
              <w:sz w:val="32"/>
              <w:szCs w:val="32"/>
              <w:highlight w:val="none"/>
              <w14:textFill>
                <w14:solidFill>
                  <w14:schemeClr w14:val="tx1"/>
                </w14:solidFill>
              </w14:textFill>
            </w:rPr>
            <w:fldChar w:fldCharType="end"/>
          </w:r>
          <w:r>
            <w:rPr>
              <w:rFonts w:hint="eastAsia"/>
              <w:color w:val="000000" w:themeColor="text1"/>
              <w:sz w:val="32"/>
              <w:szCs w:val="32"/>
              <w:highlight w:val="none"/>
              <w:lang w:val="en-US" w:eastAsia="zh-CN"/>
              <w14:textFill>
                <w14:solidFill>
                  <w14:schemeClr w14:val="tx1"/>
                </w14:solidFill>
              </w14:textFill>
            </w:rPr>
            <w:t>15</w:t>
          </w:r>
        </w:p>
        <w:p>
          <w:pPr>
            <w:pStyle w:val="11"/>
            <w:tabs>
              <w:tab w:val="right" w:leader="dot" w:pos="8844"/>
            </w:tabs>
            <w:spacing w:line="1000" w:lineRule="exact"/>
            <w:ind w:firstLine="0" w:firstLineChars="0"/>
            <w:rPr>
              <w:rFonts w:hint="default"/>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"_Toc14269"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转让股权相关信息</w:t>
          </w:r>
          <w:r>
            <w:rPr>
              <w:color w:val="000000" w:themeColor="text1"/>
              <w:sz w:val="32"/>
              <w:szCs w:val="32"/>
              <w:highlight w:val="none"/>
              <w14:textFill>
                <w14:solidFill>
                  <w14:schemeClr w14:val="tx1"/>
                </w14:solidFill>
              </w14:textFill>
            </w:rPr>
            <w:tab/>
          </w:r>
          <w:r>
            <w:rPr>
              <w:color w:val="000000" w:themeColor="text1"/>
              <w:sz w:val="32"/>
              <w:szCs w:val="32"/>
              <w:highlight w:val="none"/>
              <w14:textFill>
                <w14:solidFill>
                  <w14:schemeClr w14:val="tx1"/>
                </w14:solidFill>
              </w14:textFill>
            </w:rPr>
            <w:fldChar w:fldCharType="end"/>
          </w:r>
          <w:r>
            <w:rPr>
              <w:rFonts w:hint="eastAsia"/>
              <w:color w:val="000000" w:themeColor="text1"/>
              <w:sz w:val="32"/>
              <w:szCs w:val="32"/>
              <w:highlight w:val="none"/>
              <w:lang w:val="en-US" w:eastAsia="zh-CN"/>
              <w14:textFill>
                <w14:solidFill>
                  <w14:schemeClr w14:val="tx1"/>
                </w14:solidFill>
              </w14:textFill>
            </w:rPr>
            <w:t>23</w:t>
          </w:r>
        </w:p>
        <w:p>
          <w:pPr>
            <w:pStyle w:val="11"/>
            <w:tabs>
              <w:tab w:val="right" w:leader="dot" w:pos="8844"/>
            </w:tabs>
            <w:spacing w:line="1000" w:lineRule="exact"/>
            <w:ind w:firstLine="0" w:firstLineChars="0"/>
            <w:rPr>
              <w:rFonts w:hint="default"/>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fldChar w:fldCharType="begin"/>
          </w:r>
          <w:r>
            <w:rPr>
              <w:color w:val="000000" w:themeColor="text1"/>
              <w:sz w:val="32"/>
              <w:szCs w:val="32"/>
              <w:highlight w:val="none"/>
              <w14:textFill>
                <w14:solidFill>
                  <w14:schemeClr w14:val="tx1"/>
                </w14:solidFill>
              </w14:textFill>
            </w:rPr>
            <w:instrText xml:space="preserve"> HYPERLINK \l "_Toc16293" </w:instrText>
          </w:r>
          <w:r>
            <w:rPr>
              <w:color w:val="000000" w:themeColor="text1"/>
              <w:sz w:val="32"/>
              <w:szCs w:val="32"/>
              <w:highlight w:val="none"/>
              <w14:textFill>
                <w14:solidFill>
                  <w14:schemeClr w14:val="tx1"/>
                </w14:solidFill>
              </w14:textFill>
            </w:rPr>
            <w:fldChar w:fldCharType="separate"/>
          </w:r>
          <w:r>
            <w:rPr>
              <w:rFonts w:hint="eastAsia"/>
              <w:color w:val="000000" w:themeColor="text1"/>
              <w:sz w:val="32"/>
              <w:szCs w:val="32"/>
              <w:highlight w:val="none"/>
              <w14:textFill>
                <w14:solidFill>
                  <w14:schemeClr w14:val="tx1"/>
                </w14:solidFill>
              </w14:textFill>
            </w:rPr>
            <w:t>台州市产权交易所有限公司简介</w:t>
          </w:r>
          <w:r>
            <w:rPr>
              <w:color w:val="000000" w:themeColor="text1"/>
              <w:sz w:val="32"/>
              <w:szCs w:val="32"/>
              <w:highlight w:val="none"/>
              <w14:textFill>
                <w14:solidFill>
                  <w14:schemeClr w14:val="tx1"/>
                </w14:solidFill>
              </w14:textFill>
            </w:rPr>
            <w:tab/>
          </w:r>
          <w:r>
            <w:rPr>
              <w:color w:val="000000" w:themeColor="text1"/>
              <w:sz w:val="32"/>
              <w:szCs w:val="32"/>
              <w:highlight w:val="none"/>
              <w14:textFill>
                <w14:solidFill>
                  <w14:schemeClr w14:val="tx1"/>
                </w14:solidFill>
              </w14:textFill>
            </w:rPr>
            <w:fldChar w:fldCharType="end"/>
          </w:r>
          <w:r>
            <w:rPr>
              <w:rFonts w:hint="eastAsia"/>
              <w:color w:val="000000" w:themeColor="text1"/>
              <w:sz w:val="32"/>
              <w:szCs w:val="32"/>
              <w:highlight w:val="none"/>
              <w:lang w:val="en-US" w:eastAsia="zh-CN"/>
              <w14:textFill>
                <w14:solidFill>
                  <w14:schemeClr w14:val="tx1"/>
                </w14:solidFill>
              </w14:textFill>
            </w:rPr>
            <w:t>25</w:t>
          </w:r>
        </w:p>
        <w:p>
          <w:pPr>
            <w:spacing w:beforeLines="100" w:afterLines="100" w:line="480" w:lineRule="auto"/>
            <w:ind w:firstLine="420"/>
            <w:rPr>
              <w:bCs/>
              <w:color w:val="000000" w:themeColor="text1"/>
              <w:sz w:val="32"/>
              <w:szCs w:val="32"/>
              <w:highlight w:val="none"/>
              <w:lang w:val="zh-CN"/>
              <w14:textFill>
                <w14:solidFill>
                  <w14:schemeClr w14:val="tx1"/>
                </w14:solidFill>
              </w14:textFill>
            </w:rPr>
          </w:pPr>
          <w:r>
            <w:rPr>
              <w:bCs/>
              <w:color w:val="000000" w:themeColor="text1"/>
              <w:sz w:val="32"/>
              <w:szCs w:val="32"/>
              <w:highlight w:val="none"/>
              <w:lang w:val="zh-CN"/>
              <w14:textFill>
                <w14:solidFill>
                  <w14:schemeClr w14:val="tx1"/>
                </w14:solidFill>
              </w14:textFill>
            </w:rPr>
            <w:fldChar w:fldCharType="end"/>
          </w:r>
        </w:p>
        <w:p>
          <w:pPr>
            <w:spacing w:beforeLines="100" w:afterLines="100" w:line="480" w:lineRule="auto"/>
            <w:ind w:firstLine="0" w:firstLineChars="0"/>
            <w:rPr>
              <w:color w:val="000000" w:themeColor="text1"/>
              <w:sz w:val="32"/>
              <w:szCs w:val="32"/>
              <w:highlight w:val="none"/>
              <w14:textFill>
                <w14:solidFill>
                  <w14:schemeClr w14:val="tx1"/>
                </w14:solidFill>
              </w14:textFill>
            </w:rPr>
          </w:pPr>
        </w:p>
      </w:sdtContent>
    </w:sdt>
    <w:p>
      <w:pPr>
        <w:ind w:firstLine="562"/>
        <w:rPr>
          <w:rFonts w:ascii="宋体" w:hAnsi="宋体"/>
          <w:b/>
          <w:bCs/>
          <w:color w:val="000000" w:themeColor="text1"/>
          <w:sz w:val="28"/>
          <w:szCs w:val="28"/>
          <w:highlight w:val="none"/>
          <w14:textFill>
            <w14:solidFill>
              <w14:schemeClr w14:val="tx1"/>
            </w14:solidFill>
          </w14:textFill>
        </w:rPr>
      </w:pPr>
    </w:p>
    <w:p>
      <w:pPr>
        <w:ind w:firstLine="562"/>
        <w:jc w:val="center"/>
        <w:rPr>
          <w:rFonts w:ascii="宋体" w:hAnsi="宋体"/>
          <w:b/>
          <w:color w:val="000000" w:themeColor="text1"/>
          <w:sz w:val="28"/>
          <w:szCs w:val="28"/>
          <w:highlight w:val="none"/>
          <w14:textFill>
            <w14:solidFill>
              <w14:schemeClr w14:val="tx1"/>
            </w14:solidFill>
          </w14:textFill>
        </w:rPr>
        <w:sectPr>
          <w:footerReference r:id="rId9" w:type="default"/>
          <w:pgSz w:w="11906" w:h="16838"/>
          <w:pgMar w:top="1440" w:right="1531" w:bottom="1327" w:left="1531" w:header="851" w:footer="992" w:gutter="0"/>
          <w:cols w:space="720" w:num="1"/>
          <w:docGrid w:type="lines" w:linePitch="312" w:charSpace="0"/>
        </w:sectPr>
      </w:pPr>
    </w:p>
    <w:p>
      <w:pPr>
        <w:pStyle w:val="2"/>
        <w:spacing w:before="100" w:beforeAutospacing="1" w:after="100" w:afterAutospacing="1" w:line="360" w:lineRule="auto"/>
        <w:jc w:val="center"/>
        <w:rPr>
          <w:color w:val="000000" w:themeColor="text1"/>
          <w:sz w:val="36"/>
          <w:highlight w:val="none"/>
          <w14:textFill>
            <w14:solidFill>
              <w14:schemeClr w14:val="tx1"/>
            </w14:solidFill>
          </w14:textFill>
        </w:rPr>
      </w:pPr>
      <w:bookmarkStart w:id="0" w:name="_Toc24912"/>
      <w:bookmarkStart w:id="1" w:name="_Toc528773690"/>
      <w:bookmarkStart w:id="2" w:name="_Toc13047"/>
      <w:r>
        <w:rPr>
          <w:rFonts w:hint="eastAsia"/>
          <w:color w:val="000000" w:themeColor="text1"/>
          <w:sz w:val="36"/>
          <w:highlight w:val="none"/>
          <w14:textFill>
            <w14:solidFill>
              <w14:schemeClr w14:val="tx1"/>
            </w14:solidFill>
          </w14:textFill>
        </w:rPr>
        <w:t>股权转让公告</w:t>
      </w:r>
      <w:bookmarkEnd w:id="0"/>
      <w:bookmarkEnd w:id="1"/>
      <w:bookmarkEnd w:id="2"/>
    </w:p>
    <w:p>
      <w:pPr>
        <w:ind w:firstLine="0" w:firstLineChars="0"/>
        <w:jc w:val="center"/>
        <w:rPr>
          <w:rFonts w:hint="eastAsia" w:ascii="宋体" w:hAnsi="宋体" w:eastAsia="宋体"/>
          <w:bCs/>
          <w:color w:val="000000" w:themeColor="text1"/>
          <w:sz w:val="28"/>
          <w:szCs w:val="28"/>
          <w:highlight w:val="none"/>
          <w:lang w:eastAsia="zh-CN"/>
          <w14:textFill>
            <w14:solidFill>
              <w14:schemeClr w14:val="tx1"/>
            </w14:solidFill>
          </w14:textFill>
        </w:rPr>
      </w:pPr>
      <w:r>
        <w:rPr>
          <w:rFonts w:hint="eastAsia" w:ascii="宋体" w:hAnsi="宋体"/>
          <w:bCs/>
          <w:color w:val="000000" w:themeColor="text1"/>
          <w:sz w:val="28"/>
          <w:szCs w:val="28"/>
          <w:highlight w:val="none"/>
          <w:lang w:eastAsia="zh-CN"/>
          <w14:textFill>
            <w14:solidFill>
              <w14:schemeClr w14:val="tx1"/>
            </w14:solidFill>
          </w14:textFill>
        </w:rPr>
        <w:t>台交所挂〔2020〕4号</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受有关单位委托，台州市产权交易所有限公司（以下简称产交所）对</w:t>
      </w:r>
      <w:bookmarkStart w:id="3" w:name="_Hlk527011094"/>
      <w:bookmarkStart w:id="4" w:name="_Hlk526956940"/>
      <w:r>
        <w:rPr>
          <w:rFonts w:hint="eastAsia" w:ascii="宋体" w:hAnsi="宋体"/>
          <w:color w:val="000000" w:themeColor="text1"/>
          <w:sz w:val="28"/>
          <w:szCs w:val="28"/>
          <w:highlight w:val="none"/>
          <w14:textFill>
            <w14:solidFill>
              <w14:schemeClr w14:val="tx1"/>
            </w14:solidFill>
          </w14:textFill>
        </w:rPr>
        <w:t>浙江海正药业股份有限公司持有的</w:t>
      </w:r>
      <w:bookmarkEnd w:id="3"/>
      <w:bookmarkEnd w:id="4"/>
      <w:r>
        <w:rPr>
          <w:rFonts w:hint="eastAsia" w:ascii="宋体" w:hAnsi="宋体"/>
          <w:color w:val="000000" w:themeColor="text1"/>
          <w:sz w:val="28"/>
          <w:szCs w:val="28"/>
          <w:highlight w:val="none"/>
          <w14:textFill>
            <w14:solidFill>
              <w14:schemeClr w14:val="tx1"/>
            </w14:solidFill>
          </w14:textFill>
        </w:rPr>
        <w:t>浙江嘉佑医疗器械有限公司33.33%股权进行公开转让，具体事宜公告如下：</w:t>
      </w:r>
    </w:p>
    <w:p>
      <w:pPr>
        <w:numPr>
          <w:ilvl w:val="0"/>
          <w:numId w:val="1"/>
        </w:numPr>
        <w:ind w:left="0" w:firstLine="562"/>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转让标的、底价及保证金</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本次转让标的为</w:t>
      </w:r>
      <w:bookmarkStart w:id="5" w:name="_Hlk525637256"/>
      <w:r>
        <w:rPr>
          <w:rFonts w:hint="eastAsia" w:ascii="宋体" w:hAnsi="宋体"/>
          <w:color w:val="000000" w:themeColor="text1"/>
          <w:sz w:val="28"/>
          <w:szCs w:val="28"/>
          <w:highlight w:val="none"/>
          <w14:textFill>
            <w14:solidFill>
              <w14:schemeClr w14:val="tx1"/>
            </w14:solidFill>
          </w14:textFill>
        </w:rPr>
        <w:t>浙江海正药业股份有限公司持有的</w:t>
      </w:r>
      <w:bookmarkEnd w:id="5"/>
      <w:r>
        <w:rPr>
          <w:rFonts w:hint="eastAsia" w:ascii="宋体" w:hAnsi="宋体"/>
          <w:color w:val="000000" w:themeColor="text1"/>
          <w:sz w:val="28"/>
          <w:szCs w:val="28"/>
          <w:highlight w:val="none"/>
          <w14:textFill>
            <w14:solidFill>
              <w14:schemeClr w14:val="tx1"/>
            </w14:solidFill>
          </w14:textFill>
        </w:rPr>
        <w:t>浙江嘉佑医疗器械有限公司33.33%股权，转让底价2500万元人民币或等值其他货币（不设保留价），竞买保证金7</w:t>
      </w:r>
      <w:r>
        <w:rPr>
          <w:rFonts w:ascii="宋体" w:hAnsi="宋体"/>
          <w:color w:val="000000" w:themeColor="text1"/>
          <w:sz w:val="28"/>
          <w:szCs w:val="28"/>
          <w:highlight w:val="none"/>
          <w14:textFill>
            <w14:solidFill>
              <w14:schemeClr w14:val="tx1"/>
            </w14:solidFill>
          </w14:textFill>
        </w:rPr>
        <w:t>5</w:t>
      </w:r>
      <w:r>
        <w:rPr>
          <w:rFonts w:hint="eastAsia" w:ascii="宋体" w:hAnsi="宋体"/>
          <w:color w:val="000000" w:themeColor="text1"/>
          <w:sz w:val="28"/>
          <w:szCs w:val="28"/>
          <w:highlight w:val="none"/>
          <w14:textFill>
            <w14:solidFill>
              <w14:schemeClr w14:val="tx1"/>
            </w14:solidFill>
          </w14:textFill>
        </w:rPr>
        <w:t>0万元人民币或等值其他货币。</w:t>
      </w:r>
    </w:p>
    <w:p>
      <w:pPr>
        <w:numPr>
          <w:ilvl w:val="0"/>
          <w:numId w:val="1"/>
        </w:numPr>
        <w:spacing w:line="360" w:lineRule="auto"/>
        <w:ind w:left="0" w:firstLine="562"/>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转让方式</w:t>
      </w:r>
    </w:p>
    <w:p>
      <w:pPr>
        <w:spacing w:line="360" w:lineRule="auto"/>
        <w:ind w:firstLine="56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报名截止日仅一家报名受让的，经确认后转让给该受让方；有两家或两家以上的，实施网络竞价程序，进行转让。</w:t>
      </w:r>
    </w:p>
    <w:p>
      <w:pPr>
        <w:numPr>
          <w:ilvl w:val="0"/>
          <w:numId w:val="1"/>
        </w:numPr>
        <w:spacing w:line="360" w:lineRule="auto"/>
        <w:ind w:left="0" w:firstLine="562"/>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付款方式</w:t>
      </w:r>
    </w:p>
    <w:p>
      <w:pPr>
        <w:numPr>
          <w:ilvl w:val="255"/>
          <w:numId w:val="0"/>
        </w:numPr>
        <w:tabs>
          <w:tab w:val="left" w:pos="6960"/>
        </w:tabs>
        <w:spacing w:line="360" w:lineRule="auto"/>
        <w:ind w:firstLine="560"/>
        <w:rPr>
          <w:rFonts w:ascii="宋体" w:hAnsi="宋体"/>
          <w:b/>
          <w:color w:val="000000" w:themeColor="text1"/>
          <w:sz w:val="28"/>
          <w:szCs w:val="28"/>
          <w:highlight w:val="none"/>
          <w14:textFill>
            <w14:solidFill>
              <w14:schemeClr w14:val="tx1"/>
            </w14:solidFill>
          </w14:textFill>
        </w:rPr>
      </w:pPr>
      <w:bookmarkStart w:id="6" w:name="_Hlk9514977"/>
      <w:r>
        <w:rPr>
          <w:rFonts w:hint="eastAsia" w:ascii="宋体" w:hAnsi="宋体"/>
          <w:color w:val="000000" w:themeColor="text1"/>
          <w:sz w:val="28"/>
          <w:szCs w:val="28"/>
          <w:highlight w:val="none"/>
          <w14:textFill>
            <w14:solidFill>
              <w14:schemeClr w14:val="tx1"/>
            </w14:solidFill>
          </w14:textFill>
        </w:rPr>
        <w:t>股权转让成交后，受让方在二个工作日内签署《成交确认书》和《股权转让合同》。《股权转让合同》生效后(如需</w:t>
      </w:r>
      <w:r>
        <w:rPr>
          <w:rFonts w:ascii="宋体" w:hAnsi="宋体"/>
          <w:color w:val="000000" w:themeColor="text1"/>
          <w:sz w:val="28"/>
          <w:szCs w:val="28"/>
          <w:highlight w:val="none"/>
          <w14:textFill>
            <w14:solidFill>
              <w14:schemeClr w14:val="tx1"/>
            </w14:solidFill>
          </w14:textFill>
        </w:rPr>
        <w:t>相关政府主管部门</w:t>
      </w:r>
      <w:r>
        <w:rPr>
          <w:rFonts w:hint="eastAsia" w:ascii="宋体" w:hAnsi="宋体"/>
          <w:color w:val="000000" w:themeColor="text1"/>
          <w:sz w:val="28"/>
          <w:szCs w:val="28"/>
          <w:highlight w:val="none"/>
          <w14:textFill>
            <w14:solidFill>
              <w14:schemeClr w14:val="tx1"/>
            </w14:solidFill>
          </w14:textFill>
        </w:rPr>
        <w:t>批准</w:t>
      </w:r>
      <w:r>
        <w:rPr>
          <w:rFonts w:ascii="宋体" w:hAnsi="宋体"/>
          <w:color w:val="000000" w:themeColor="text1"/>
          <w:sz w:val="28"/>
          <w:szCs w:val="28"/>
          <w:highlight w:val="none"/>
          <w14:textFill>
            <w14:solidFill>
              <w14:schemeClr w14:val="tx1"/>
            </w14:solidFill>
          </w14:textFill>
        </w:rPr>
        <w:t>、登记</w:t>
      </w:r>
      <w:r>
        <w:rPr>
          <w:rFonts w:hint="eastAsia" w:ascii="宋体" w:hAnsi="宋体"/>
          <w:color w:val="000000" w:themeColor="text1"/>
          <w:sz w:val="28"/>
          <w:szCs w:val="28"/>
          <w:highlight w:val="none"/>
          <w14:textFill>
            <w14:solidFill>
              <w14:schemeClr w14:val="tx1"/>
            </w14:solidFill>
          </w14:textFill>
        </w:rPr>
        <w:t>及/</w:t>
      </w:r>
      <w:r>
        <w:rPr>
          <w:rFonts w:ascii="宋体" w:hAnsi="宋体"/>
          <w:color w:val="000000" w:themeColor="text1"/>
          <w:sz w:val="28"/>
          <w:szCs w:val="28"/>
          <w:highlight w:val="none"/>
          <w14:textFill>
            <w14:solidFill>
              <w14:schemeClr w14:val="tx1"/>
            </w14:solidFill>
          </w14:textFill>
        </w:rPr>
        <w:t>或备案的，则在政府主管部门</w:t>
      </w:r>
      <w:r>
        <w:rPr>
          <w:rFonts w:hint="eastAsia" w:ascii="宋体" w:hAnsi="宋体"/>
          <w:color w:val="000000" w:themeColor="text1"/>
          <w:sz w:val="28"/>
          <w:szCs w:val="28"/>
          <w:highlight w:val="none"/>
          <w14:textFill>
            <w14:solidFill>
              <w14:schemeClr w14:val="tx1"/>
            </w14:solidFill>
          </w14:textFill>
        </w:rPr>
        <w:t>批准</w:t>
      </w:r>
      <w:r>
        <w:rPr>
          <w:rFonts w:ascii="宋体" w:hAnsi="宋体"/>
          <w:color w:val="000000" w:themeColor="text1"/>
          <w:sz w:val="28"/>
          <w:szCs w:val="28"/>
          <w:highlight w:val="none"/>
          <w14:textFill>
            <w14:solidFill>
              <w14:schemeClr w14:val="tx1"/>
            </w14:solidFill>
          </w14:textFill>
        </w:rPr>
        <w:t>、登记</w:t>
      </w:r>
      <w:r>
        <w:rPr>
          <w:rFonts w:hint="eastAsia" w:ascii="宋体" w:hAnsi="宋体"/>
          <w:color w:val="000000" w:themeColor="text1"/>
          <w:sz w:val="28"/>
          <w:szCs w:val="28"/>
          <w:highlight w:val="none"/>
          <w14:textFill>
            <w14:solidFill>
              <w14:schemeClr w14:val="tx1"/>
            </w14:solidFill>
          </w14:textFill>
        </w:rPr>
        <w:t>及/</w:t>
      </w:r>
      <w:r>
        <w:rPr>
          <w:rFonts w:ascii="宋体" w:hAnsi="宋体"/>
          <w:color w:val="000000" w:themeColor="text1"/>
          <w:sz w:val="28"/>
          <w:szCs w:val="28"/>
          <w:highlight w:val="none"/>
          <w14:textFill>
            <w14:solidFill>
              <w14:schemeClr w14:val="tx1"/>
            </w14:solidFill>
          </w14:textFill>
        </w:rPr>
        <w:t>或备案</w:t>
      </w:r>
      <w:r>
        <w:rPr>
          <w:rFonts w:hint="eastAsia" w:ascii="宋体" w:hAnsi="宋体"/>
          <w:color w:val="000000" w:themeColor="text1"/>
          <w:sz w:val="28"/>
          <w:szCs w:val="28"/>
          <w:highlight w:val="none"/>
          <w14:textFill>
            <w14:solidFill>
              <w14:schemeClr w14:val="tx1"/>
            </w14:solidFill>
          </w14:textFill>
        </w:rPr>
        <w:t>后)五个工作日内支付全部转让</w:t>
      </w:r>
      <w:r>
        <w:rPr>
          <w:rFonts w:hint="eastAsia" w:ascii="宋体" w:hAnsi="宋体"/>
          <w:color w:val="000000" w:themeColor="text1"/>
          <w:sz w:val="28"/>
          <w:szCs w:val="28"/>
          <w:highlight w:val="none"/>
          <w:lang w:val="en-US" w:eastAsia="zh-CN"/>
          <w14:textFill>
            <w14:solidFill>
              <w14:schemeClr w14:val="tx1"/>
            </w14:solidFill>
          </w14:textFill>
        </w:rPr>
        <w:t>价</w:t>
      </w:r>
      <w:r>
        <w:rPr>
          <w:rFonts w:hint="eastAsia" w:ascii="宋体" w:hAnsi="宋体"/>
          <w:color w:val="000000" w:themeColor="text1"/>
          <w:sz w:val="28"/>
          <w:szCs w:val="28"/>
          <w:highlight w:val="none"/>
          <w14:textFill>
            <w14:solidFill>
              <w14:schemeClr w14:val="tx1"/>
            </w14:solidFill>
          </w14:textFill>
        </w:rPr>
        <w:t>款。</w:t>
      </w:r>
      <w:bookmarkEnd w:id="6"/>
    </w:p>
    <w:p>
      <w:pPr>
        <w:numPr>
          <w:ilvl w:val="0"/>
          <w:numId w:val="1"/>
        </w:numPr>
        <w:spacing w:line="360" w:lineRule="auto"/>
        <w:ind w:left="0" w:firstLine="562"/>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竞买人条件</w:t>
      </w:r>
    </w:p>
    <w:p>
      <w:pPr>
        <w:tabs>
          <w:tab w:val="left" w:pos="1050"/>
        </w:tabs>
        <w:spacing w:line="360" w:lineRule="auto"/>
        <w:ind w:left="560" w:firstLine="0" w:firstLineChars="0"/>
        <w:rPr>
          <w:rFonts w:ascii="宋体" w:hAnsi="宋体"/>
          <w:color w:val="000000" w:themeColor="text1"/>
          <w:sz w:val="28"/>
          <w:szCs w:val="28"/>
          <w:highlight w:val="none"/>
          <w14:textFill>
            <w14:solidFill>
              <w14:schemeClr w14:val="tx1"/>
            </w14:solidFill>
          </w14:textFill>
        </w:rPr>
      </w:pPr>
      <w:bookmarkStart w:id="7" w:name="_Hlk497643561"/>
      <w:bookmarkStart w:id="8" w:name="_Hlk9530446"/>
      <w:bookmarkStart w:id="9" w:name="_Hlk9510541"/>
      <w:r>
        <w:rPr>
          <w:rFonts w:hint="eastAsia" w:ascii="宋体" w:hAnsi="宋体"/>
          <w:color w:val="000000" w:themeColor="text1"/>
          <w:sz w:val="28"/>
          <w:szCs w:val="28"/>
          <w:highlight w:val="none"/>
          <w14:textFill>
            <w14:solidFill>
              <w14:schemeClr w14:val="tx1"/>
            </w14:solidFill>
          </w14:textFill>
        </w:rPr>
        <w:t>具有良好的商业信用及支付能力的境内外企业或其他组织。</w:t>
      </w:r>
    </w:p>
    <w:bookmarkEnd w:id="7"/>
    <w:bookmarkEnd w:id="8"/>
    <w:bookmarkEnd w:id="9"/>
    <w:p>
      <w:pPr>
        <w:numPr>
          <w:ilvl w:val="0"/>
          <w:numId w:val="1"/>
        </w:numPr>
        <w:spacing w:line="360" w:lineRule="auto"/>
        <w:ind w:left="0" w:firstLine="562"/>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报名须知</w:t>
      </w:r>
    </w:p>
    <w:p>
      <w:pPr>
        <w:spacing w:line="360" w:lineRule="auto"/>
        <w:ind w:firstLine="560"/>
        <w:jc w:val="left"/>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凡报名的企业须持营业执照复印件（或商业登记证明）、法定代表人身份证、委托代理人身份证、法定代表人委托书、公司章程与相关决议。浙江嘉佑医疗器械有限公司股东享有优先购买权，股东须持股东证明和身份证报名。竞买人应在报名时缴付保证金7</w:t>
      </w:r>
      <w:r>
        <w:rPr>
          <w:rFonts w:ascii="宋体" w:hAnsi="宋体"/>
          <w:bCs/>
          <w:color w:val="000000" w:themeColor="text1"/>
          <w:sz w:val="28"/>
          <w:szCs w:val="28"/>
          <w:highlight w:val="none"/>
          <w14:textFill>
            <w14:solidFill>
              <w14:schemeClr w14:val="tx1"/>
            </w14:solidFill>
          </w14:textFill>
        </w:rPr>
        <w:t>5</w:t>
      </w:r>
      <w:r>
        <w:rPr>
          <w:rFonts w:hint="eastAsia" w:ascii="宋体" w:hAnsi="宋体"/>
          <w:bCs/>
          <w:color w:val="000000" w:themeColor="text1"/>
          <w:sz w:val="28"/>
          <w:szCs w:val="28"/>
          <w:highlight w:val="none"/>
          <w14:textFill>
            <w14:solidFill>
              <w14:schemeClr w14:val="tx1"/>
            </w14:solidFill>
          </w14:textFill>
        </w:rPr>
        <w:t>0万元人民币或等值其他货币。</w:t>
      </w:r>
    </w:p>
    <w:p>
      <w:pPr>
        <w:numPr>
          <w:ilvl w:val="0"/>
          <w:numId w:val="1"/>
        </w:numPr>
        <w:spacing w:line="360" w:lineRule="auto"/>
        <w:ind w:left="0" w:firstLine="562"/>
        <w:rPr>
          <w:rFonts w:ascii="宋体" w:hAnsi="宋体"/>
          <w:b/>
          <w:bCs/>
          <w:color w:val="000000" w:themeColor="text1"/>
          <w:sz w:val="28"/>
          <w:szCs w:val="28"/>
          <w:highlight w:val="none"/>
          <w14:textFill>
            <w14:solidFill>
              <w14:schemeClr w14:val="tx1"/>
            </w14:solidFill>
          </w14:textFill>
        </w:rPr>
      </w:pPr>
      <w:r>
        <w:rPr>
          <w:rFonts w:hint="eastAsia" w:ascii="宋体" w:hAnsi="宋体"/>
          <w:b/>
          <w:bCs/>
          <w:color w:val="000000" w:themeColor="text1"/>
          <w:sz w:val="28"/>
          <w:szCs w:val="28"/>
          <w:highlight w:val="none"/>
          <w14:textFill>
            <w14:solidFill>
              <w14:schemeClr w14:val="tx1"/>
            </w14:solidFill>
          </w14:textFill>
        </w:rPr>
        <w:t>实行网络报名：</w:t>
      </w:r>
      <w:r>
        <w:rPr>
          <w:rFonts w:hint="eastAsia" w:ascii="宋体" w:hAnsi="宋体"/>
          <w:color w:val="000000" w:themeColor="text1"/>
          <w:sz w:val="28"/>
          <w:szCs w:val="28"/>
          <w:highlight w:val="none"/>
          <w14:textFill>
            <w14:solidFill>
              <w14:schemeClr w14:val="tx1"/>
            </w14:solidFill>
          </w14:textFill>
        </w:rPr>
        <w:t>台州市公共资源交易网（</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"http://www.tzztb.com/tzcms/" </w:instrText>
      </w:r>
      <w:r>
        <w:rPr>
          <w:color w:val="000000" w:themeColor="text1"/>
          <w:highlight w:val="none"/>
          <w14:textFill>
            <w14:solidFill>
              <w14:schemeClr w14:val="tx1"/>
            </w14:solidFill>
          </w14:textFill>
        </w:rPr>
        <w:fldChar w:fldCharType="separate"/>
      </w:r>
      <w:r>
        <w:rPr>
          <w:rFonts w:hint="eastAsia" w:ascii="宋体" w:hAnsi="宋体"/>
          <w:color w:val="000000" w:themeColor="text1"/>
          <w:sz w:val="28"/>
          <w:szCs w:val="28"/>
          <w:highlight w:val="none"/>
          <w14:textFill>
            <w14:solidFill>
              <w14:schemeClr w14:val="tx1"/>
            </w14:solidFill>
          </w14:textFill>
        </w:rPr>
        <w:t>http://www.tzztb.com /</w:t>
      </w:r>
      <w:bookmarkStart w:id="10" w:name="_Hlt435007982"/>
      <w:bookmarkStart w:id="11" w:name="_Hlt435007981"/>
      <w:r>
        <w:rPr>
          <w:rFonts w:hint="eastAsia" w:ascii="宋体" w:hAnsi="宋体"/>
          <w:color w:val="000000" w:themeColor="text1"/>
          <w:sz w:val="28"/>
          <w:szCs w:val="28"/>
          <w:highlight w:val="none"/>
          <w14:textFill>
            <w14:solidFill>
              <w14:schemeClr w14:val="tx1"/>
            </w14:solidFill>
          </w14:textFill>
        </w:rPr>
        <w:t>t</w:t>
      </w:r>
      <w:bookmarkEnd w:id="10"/>
      <w:bookmarkEnd w:id="11"/>
      <w:r>
        <w:rPr>
          <w:rFonts w:hint="eastAsia" w:ascii="宋体" w:hAnsi="宋体"/>
          <w:color w:val="000000" w:themeColor="text1"/>
          <w:sz w:val="28"/>
          <w:szCs w:val="28"/>
          <w:highlight w:val="none"/>
          <w14:textFill>
            <w14:solidFill>
              <w14:schemeClr w14:val="tx1"/>
            </w14:solidFill>
          </w14:textFill>
        </w:rPr>
        <w:t>zcms/</w:t>
      </w:r>
      <w:r>
        <w:rPr>
          <w:rFonts w:hint="eastAsia" w:ascii="宋体" w:hAnsi="宋体"/>
          <w:color w:val="000000" w:themeColor="text1"/>
          <w:sz w:val="28"/>
          <w:szCs w:val="28"/>
          <w:highlight w:val="none"/>
          <w14:textFill>
            <w14:solidFill>
              <w14:schemeClr w14:val="tx1"/>
            </w14:solidFill>
          </w14:textFill>
        </w:rPr>
        <w:fldChar w:fldCharType="end"/>
      </w:r>
      <w:r>
        <w:rPr>
          <w:rFonts w:hint="eastAsia" w:ascii="宋体" w:hAnsi="宋体"/>
          <w:color w:val="000000" w:themeColor="text1"/>
          <w:sz w:val="28"/>
          <w:szCs w:val="28"/>
          <w:highlight w:val="none"/>
          <w14:textFill>
            <w14:solidFill>
              <w14:schemeClr w14:val="tx1"/>
            </w14:solidFill>
          </w14:textFill>
        </w:rPr>
        <w:t>），现场资格确认。</w:t>
      </w:r>
    </w:p>
    <w:p>
      <w:pPr>
        <w:widowControl/>
        <w:shd w:val="clear" w:color="auto" w:fill="FFFFFF"/>
        <w:spacing w:line="360" w:lineRule="auto"/>
        <w:ind w:firstLine="562"/>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b/>
          <w:color w:val="000000" w:themeColor="text1"/>
          <w:kern w:val="0"/>
          <w:sz w:val="28"/>
          <w:szCs w:val="28"/>
          <w:highlight w:val="none"/>
          <w14:textFill>
            <w14:solidFill>
              <w14:schemeClr w14:val="tx1"/>
            </w14:solidFill>
          </w14:textFill>
        </w:rPr>
        <w:t>资格确认时间</w:t>
      </w:r>
      <w:r>
        <w:rPr>
          <w:rFonts w:hint="eastAsia" w:ascii="宋体" w:hAnsi="宋体" w:cs="宋体"/>
          <w:color w:val="000000" w:themeColor="text1"/>
          <w:kern w:val="0"/>
          <w:sz w:val="28"/>
          <w:szCs w:val="28"/>
          <w:highlight w:val="none"/>
          <w14:textFill>
            <w14:solidFill>
              <w14:schemeClr w14:val="tx1"/>
            </w14:solidFill>
          </w14:textFill>
        </w:rPr>
        <w:t>：20</w:t>
      </w:r>
      <w:r>
        <w:rPr>
          <w:rFonts w:ascii="宋体" w:hAnsi="宋体" w:cs="宋体"/>
          <w:color w:val="000000" w:themeColor="text1"/>
          <w:kern w:val="0"/>
          <w:sz w:val="28"/>
          <w:szCs w:val="28"/>
          <w:highlight w:val="none"/>
          <w14:textFill>
            <w14:solidFill>
              <w14:schemeClr w14:val="tx1"/>
            </w14:solidFill>
          </w14:textFill>
        </w:rPr>
        <w:t>20</w:t>
      </w:r>
      <w:r>
        <w:rPr>
          <w:rFonts w:hint="eastAsia" w:ascii="宋体" w:hAnsi="宋体" w:cs="宋体"/>
          <w:color w:val="000000" w:themeColor="text1"/>
          <w:kern w:val="0"/>
          <w:sz w:val="28"/>
          <w:szCs w:val="28"/>
          <w:highlight w:val="none"/>
          <w14:textFill>
            <w14:solidFill>
              <w14:schemeClr w14:val="tx1"/>
            </w14:solidFill>
          </w14:textFill>
        </w:rPr>
        <w:t>年</w:t>
      </w:r>
      <w:r>
        <w:rPr>
          <w:rFonts w:hint="eastAsia" w:ascii="宋体" w:hAnsi="宋体" w:cs="宋体"/>
          <w:color w:val="000000" w:themeColor="text1"/>
          <w:kern w:val="0"/>
          <w:sz w:val="28"/>
          <w:szCs w:val="28"/>
          <w:highlight w:val="none"/>
          <w:lang w:val="en-US" w:eastAsia="zh-CN"/>
          <w14:textFill>
            <w14:solidFill>
              <w14:schemeClr w14:val="tx1"/>
            </w14:solidFill>
          </w14:textFill>
        </w:rPr>
        <w:t>3</w:t>
      </w:r>
      <w:r>
        <w:rPr>
          <w:rFonts w:hint="eastAsia" w:ascii="宋体" w:hAnsi="宋体" w:cs="宋体"/>
          <w:color w:val="000000" w:themeColor="text1"/>
          <w:kern w:val="0"/>
          <w:sz w:val="28"/>
          <w:szCs w:val="28"/>
          <w:highlight w:val="none"/>
          <w14:textFill>
            <w14:solidFill>
              <w14:schemeClr w14:val="tx1"/>
            </w14:solidFill>
          </w14:textFill>
        </w:rPr>
        <w:t>月</w:t>
      </w:r>
      <w:r>
        <w:rPr>
          <w:rFonts w:hint="eastAsia" w:ascii="宋体" w:hAnsi="宋体" w:cs="宋体"/>
          <w:color w:val="000000" w:themeColor="text1"/>
          <w:kern w:val="0"/>
          <w:sz w:val="28"/>
          <w:szCs w:val="28"/>
          <w:highlight w:val="none"/>
          <w:lang w:val="en-US" w:eastAsia="zh-CN"/>
          <w14:textFill>
            <w14:solidFill>
              <w14:schemeClr w14:val="tx1"/>
            </w14:solidFill>
          </w14:textFill>
        </w:rPr>
        <w:t>16</w:t>
      </w:r>
      <w:r>
        <w:rPr>
          <w:rFonts w:hint="eastAsia" w:ascii="宋体" w:hAnsi="宋体" w:cs="宋体"/>
          <w:color w:val="000000" w:themeColor="text1"/>
          <w:kern w:val="0"/>
          <w:sz w:val="28"/>
          <w:szCs w:val="28"/>
          <w:highlight w:val="none"/>
          <w14:textFill>
            <w14:solidFill>
              <w14:schemeClr w14:val="tx1"/>
            </w14:solidFill>
          </w14:textFill>
        </w:rPr>
        <w:t>日至20</w:t>
      </w:r>
      <w:r>
        <w:rPr>
          <w:rFonts w:ascii="宋体" w:hAnsi="宋体" w:cs="宋体"/>
          <w:color w:val="000000" w:themeColor="text1"/>
          <w:kern w:val="0"/>
          <w:sz w:val="28"/>
          <w:szCs w:val="28"/>
          <w:highlight w:val="none"/>
          <w14:textFill>
            <w14:solidFill>
              <w14:schemeClr w14:val="tx1"/>
            </w14:solidFill>
          </w14:textFill>
        </w:rPr>
        <w:t>20</w:t>
      </w:r>
      <w:r>
        <w:rPr>
          <w:rFonts w:hint="eastAsia" w:ascii="宋体" w:hAnsi="宋体" w:cs="宋体"/>
          <w:color w:val="000000" w:themeColor="text1"/>
          <w:kern w:val="0"/>
          <w:sz w:val="28"/>
          <w:szCs w:val="28"/>
          <w:highlight w:val="none"/>
          <w14:textFill>
            <w14:solidFill>
              <w14:schemeClr w14:val="tx1"/>
            </w14:solidFill>
          </w14:textFill>
        </w:rPr>
        <w:t>年</w:t>
      </w:r>
      <w:r>
        <w:rPr>
          <w:rFonts w:hint="eastAsia" w:ascii="宋体" w:hAnsi="宋体" w:cs="宋体"/>
          <w:color w:val="000000" w:themeColor="text1"/>
          <w:kern w:val="0"/>
          <w:sz w:val="28"/>
          <w:szCs w:val="28"/>
          <w:highlight w:val="none"/>
          <w:lang w:val="en-US" w:eastAsia="zh-CN"/>
          <w14:textFill>
            <w14:solidFill>
              <w14:schemeClr w14:val="tx1"/>
            </w14:solidFill>
          </w14:textFill>
        </w:rPr>
        <w:t>4</w:t>
      </w:r>
      <w:r>
        <w:rPr>
          <w:rFonts w:hint="eastAsia" w:ascii="宋体" w:hAnsi="宋体" w:cs="宋体"/>
          <w:color w:val="000000" w:themeColor="text1"/>
          <w:kern w:val="0"/>
          <w:sz w:val="28"/>
          <w:szCs w:val="28"/>
          <w:highlight w:val="none"/>
          <w14:textFill>
            <w14:solidFill>
              <w14:schemeClr w14:val="tx1"/>
            </w14:solidFill>
          </w14:textFill>
        </w:rPr>
        <w:t>月</w:t>
      </w:r>
      <w:r>
        <w:rPr>
          <w:rFonts w:hint="eastAsia" w:ascii="宋体" w:hAnsi="宋体" w:cs="宋体"/>
          <w:color w:val="000000" w:themeColor="text1"/>
          <w:kern w:val="0"/>
          <w:sz w:val="28"/>
          <w:szCs w:val="28"/>
          <w:highlight w:val="none"/>
          <w:lang w:val="en-US" w:eastAsia="zh-CN"/>
          <w14:textFill>
            <w14:solidFill>
              <w14:schemeClr w14:val="tx1"/>
            </w14:solidFill>
          </w14:textFill>
        </w:rPr>
        <w:t>13</w:t>
      </w:r>
      <w:r>
        <w:rPr>
          <w:rFonts w:hint="eastAsia" w:ascii="宋体" w:hAnsi="宋体" w:cs="宋体"/>
          <w:color w:val="000000" w:themeColor="text1"/>
          <w:kern w:val="0"/>
          <w:sz w:val="28"/>
          <w:szCs w:val="28"/>
          <w:highlight w:val="none"/>
          <w14:textFill>
            <w14:solidFill>
              <w14:schemeClr w14:val="tx1"/>
            </w14:solidFill>
          </w14:textFill>
        </w:rPr>
        <w:t>日下午4：00前（上午8：30－11：30，下午14：00－16：00时，节假日除外）。</w:t>
      </w:r>
    </w:p>
    <w:p>
      <w:pPr>
        <w:widowControl/>
        <w:shd w:val="clear" w:color="auto" w:fill="FFFFFF"/>
        <w:spacing w:line="360" w:lineRule="auto"/>
        <w:ind w:firstLine="562"/>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b/>
          <w:color w:val="000000" w:themeColor="text1"/>
          <w:kern w:val="0"/>
          <w:sz w:val="28"/>
          <w:szCs w:val="28"/>
          <w:highlight w:val="none"/>
          <w14:textFill>
            <w14:solidFill>
              <w14:schemeClr w14:val="tx1"/>
            </w14:solidFill>
          </w14:textFill>
        </w:rPr>
        <w:t>资格确认地址</w:t>
      </w:r>
      <w:r>
        <w:rPr>
          <w:rFonts w:hint="eastAsia" w:ascii="宋体" w:hAnsi="宋体" w:cs="宋体"/>
          <w:color w:val="000000" w:themeColor="text1"/>
          <w:kern w:val="0"/>
          <w:sz w:val="28"/>
          <w:szCs w:val="28"/>
          <w:highlight w:val="none"/>
          <w14:textFill>
            <w14:solidFill>
              <w14:schemeClr w14:val="tx1"/>
            </w14:solidFill>
          </w14:textFill>
        </w:rPr>
        <w:t>：台州市产权交易所（台州市市府大道777号浙江民泰商业银行五楼511室）。</w:t>
      </w:r>
    </w:p>
    <w:p>
      <w:pPr>
        <w:numPr>
          <w:ilvl w:val="0"/>
          <w:numId w:val="1"/>
        </w:numPr>
        <w:wordWrap w:val="0"/>
        <w:spacing w:line="360" w:lineRule="auto"/>
        <w:ind w:left="0" w:firstLine="562"/>
        <w:rPr>
          <w:rFonts w:ascii="宋体" w:hAnsi="宋体"/>
          <w:b/>
          <w:color w:val="000000" w:themeColor="text1"/>
          <w:sz w:val="28"/>
          <w:szCs w:val="28"/>
          <w:highlight w:val="none"/>
          <w14:textFill>
            <w14:solidFill>
              <w14:schemeClr w14:val="tx1"/>
            </w14:solidFill>
          </w14:textFill>
        </w:rPr>
      </w:pPr>
      <w:bookmarkStart w:id="12" w:name="_Hlk10111476"/>
      <w:r>
        <w:rPr>
          <w:rFonts w:hint="eastAsia" w:ascii="宋体" w:hAnsi="宋体" w:cs="宋体"/>
          <w:b/>
          <w:color w:val="000000" w:themeColor="text1"/>
          <w:kern w:val="0"/>
          <w:sz w:val="28"/>
          <w:szCs w:val="28"/>
          <w:highlight w:val="none"/>
          <w14:textFill>
            <w14:solidFill>
              <w14:schemeClr w14:val="tx1"/>
            </w14:solidFill>
          </w14:textFill>
        </w:rPr>
        <w:t>网络竞价时间：</w:t>
      </w:r>
      <w:r>
        <w:rPr>
          <w:rFonts w:hint="eastAsia" w:ascii="宋体" w:hAnsi="宋体" w:cs="宋体"/>
          <w:bCs/>
          <w:color w:val="000000" w:themeColor="text1"/>
          <w:kern w:val="0"/>
          <w:sz w:val="28"/>
          <w:szCs w:val="28"/>
          <w:highlight w:val="none"/>
          <w14:textFill>
            <w14:solidFill>
              <w14:schemeClr w14:val="tx1"/>
            </w14:solidFill>
          </w14:textFill>
        </w:rPr>
        <w:t>20</w:t>
      </w:r>
      <w:r>
        <w:rPr>
          <w:rFonts w:ascii="宋体" w:hAnsi="宋体" w:cs="宋体"/>
          <w:bCs/>
          <w:color w:val="000000" w:themeColor="text1"/>
          <w:kern w:val="0"/>
          <w:sz w:val="28"/>
          <w:szCs w:val="28"/>
          <w:highlight w:val="none"/>
          <w14:textFill>
            <w14:solidFill>
              <w14:schemeClr w14:val="tx1"/>
            </w14:solidFill>
          </w14:textFill>
        </w:rPr>
        <w:t>20</w:t>
      </w:r>
      <w:r>
        <w:rPr>
          <w:rFonts w:hint="eastAsia" w:ascii="宋体" w:hAnsi="宋体" w:cs="宋体"/>
          <w:bCs/>
          <w:color w:val="000000" w:themeColor="text1"/>
          <w:kern w:val="0"/>
          <w:sz w:val="28"/>
          <w:szCs w:val="28"/>
          <w:highlight w:val="none"/>
          <w14:textFill>
            <w14:solidFill>
              <w14:schemeClr w14:val="tx1"/>
            </w14:solidFill>
          </w14:textFill>
        </w:rPr>
        <w:t>年</w:t>
      </w:r>
      <w:r>
        <w:rPr>
          <w:rFonts w:hint="eastAsia" w:ascii="宋体" w:hAnsi="宋体" w:cs="宋体"/>
          <w:color w:val="000000" w:themeColor="text1"/>
          <w:kern w:val="0"/>
          <w:sz w:val="28"/>
          <w:szCs w:val="28"/>
          <w:highlight w:val="none"/>
          <w:lang w:val="en-US" w:eastAsia="zh-CN"/>
          <w14:textFill>
            <w14:solidFill>
              <w14:schemeClr w14:val="tx1"/>
            </w14:solidFill>
          </w14:textFill>
        </w:rPr>
        <w:t>4</w:t>
      </w:r>
      <w:r>
        <w:rPr>
          <w:rFonts w:hint="eastAsia" w:ascii="宋体" w:hAnsi="宋体" w:cs="宋体"/>
          <w:bCs/>
          <w:color w:val="000000" w:themeColor="text1"/>
          <w:kern w:val="0"/>
          <w:sz w:val="28"/>
          <w:szCs w:val="28"/>
          <w:highlight w:val="none"/>
          <w14:textFill>
            <w14:solidFill>
              <w14:schemeClr w14:val="tx1"/>
            </w14:solidFill>
          </w14:textFill>
        </w:rPr>
        <w:t>月</w:t>
      </w:r>
      <w:r>
        <w:rPr>
          <w:rFonts w:hint="eastAsia" w:ascii="宋体" w:hAnsi="宋体" w:cs="宋体"/>
          <w:color w:val="000000" w:themeColor="text1"/>
          <w:kern w:val="0"/>
          <w:sz w:val="28"/>
          <w:szCs w:val="28"/>
          <w:highlight w:val="none"/>
          <w:lang w:val="en-US" w:eastAsia="zh-CN"/>
          <w14:textFill>
            <w14:solidFill>
              <w14:schemeClr w14:val="tx1"/>
            </w14:solidFill>
          </w14:textFill>
        </w:rPr>
        <w:t>15</w:t>
      </w:r>
      <w:r>
        <w:rPr>
          <w:rFonts w:hint="eastAsia" w:ascii="宋体" w:hAnsi="宋体" w:cs="宋体"/>
          <w:bCs/>
          <w:color w:val="000000" w:themeColor="text1"/>
          <w:kern w:val="0"/>
          <w:sz w:val="28"/>
          <w:szCs w:val="28"/>
          <w:highlight w:val="none"/>
          <w14:textFill>
            <w14:solidFill>
              <w14:schemeClr w14:val="tx1"/>
            </w14:solidFill>
          </w14:textFill>
        </w:rPr>
        <w:t>日（星期</w:t>
      </w:r>
      <w:r>
        <w:rPr>
          <w:rFonts w:hint="eastAsia" w:ascii="宋体" w:hAnsi="宋体" w:cs="宋体"/>
          <w:color w:val="000000" w:themeColor="text1"/>
          <w:kern w:val="0"/>
          <w:sz w:val="28"/>
          <w:szCs w:val="28"/>
          <w:highlight w:val="none"/>
          <w:lang w:val="en-US" w:eastAsia="zh-CN"/>
          <w14:textFill>
            <w14:solidFill>
              <w14:schemeClr w14:val="tx1"/>
            </w14:solidFill>
          </w14:textFill>
        </w:rPr>
        <w:t>三</w:t>
      </w:r>
      <w:r>
        <w:rPr>
          <w:rFonts w:hint="eastAsia" w:ascii="宋体" w:hAnsi="宋体" w:cs="宋体"/>
          <w:bCs/>
          <w:color w:val="000000" w:themeColor="text1"/>
          <w:kern w:val="0"/>
          <w:sz w:val="28"/>
          <w:szCs w:val="28"/>
          <w:highlight w:val="none"/>
          <w14:textFill>
            <w14:solidFill>
              <w14:schemeClr w14:val="tx1"/>
            </w14:solidFill>
          </w14:textFill>
        </w:rPr>
        <w:t>）上午</w:t>
      </w:r>
      <w:r>
        <w:rPr>
          <w:rFonts w:ascii="宋体" w:hAnsi="宋体" w:cs="宋体"/>
          <w:bCs/>
          <w:color w:val="000000" w:themeColor="text1"/>
          <w:kern w:val="0"/>
          <w:sz w:val="28"/>
          <w:szCs w:val="28"/>
          <w:highlight w:val="none"/>
          <w14:textFill>
            <w14:solidFill>
              <w14:schemeClr w14:val="tx1"/>
            </w14:solidFill>
          </w14:textFill>
        </w:rPr>
        <w:t>9：30</w:t>
      </w:r>
      <w:r>
        <w:rPr>
          <w:rFonts w:hint="eastAsia" w:ascii="宋体" w:hAnsi="宋体" w:cs="宋体"/>
          <w:bCs/>
          <w:color w:val="000000" w:themeColor="text1"/>
          <w:kern w:val="0"/>
          <w:sz w:val="28"/>
          <w:szCs w:val="28"/>
          <w:highlight w:val="none"/>
          <w14:textFill>
            <w14:solidFill>
              <w14:schemeClr w14:val="tx1"/>
            </w14:solidFill>
          </w14:textFill>
        </w:rPr>
        <w:t>。</w:t>
      </w:r>
      <w:bookmarkEnd w:id="12"/>
    </w:p>
    <w:p>
      <w:pPr>
        <w:numPr>
          <w:ilvl w:val="0"/>
          <w:numId w:val="1"/>
        </w:numPr>
        <w:wordWrap w:val="0"/>
        <w:spacing w:line="360" w:lineRule="auto"/>
        <w:ind w:left="0" w:firstLine="560"/>
        <w:rPr>
          <w:rFonts w:ascii="宋体" w:hAnsi="宋体"/>
          <w:b/>
          <w:bCs/>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联系人：小潘    电话（传真）：0576-88685180</w:t>
      </w:r>
    </w:p>
    <w:p>
      <w:pPr>
        <w:numPr>
          <w:ilvl w:val="0"/>
          <w:numId w:val="1"/>
        </w:numPr>
        <w:wordWrap w:val="0"/>
        <w:spacing w:line="360" w:lineRule="auto"/>
        <w:ind w:left="0" w:firstLine="560"/>
        <w:rPr>
          <w:rFonts w:ascii="宋体" w:hAnsi="宋体"/>
          <w:b/>
          <w:bCs/>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具体情况详见转让须知。</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详情登陆 </w:t>
      </w:r>
      <w:r>
        <w:rPr>
          <w:rFonts w:hint="eastAsia" w:ascii="宋体" w:hAnsi="宋体"/>
          <w:color w:val="000000" w:themeColor="text1"/>
          <w:sz w:val="28"/>
          <w:szCs w:val="28"/>
          <w:highlight w:val="none"/>
          <w:u w:val="single"/>
          <w14:textFill>
            <w14:solidFill>
              <w14:schemeClr w14:val="tx1"/>
            </w14:solidFill>
          </w14:textFill>
        </w:rPr>
        <w:t>www.tzpre.com</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"http://www.tzztb.com" </w:instrText>
      </w:r>
      <w:r>
        <w:rPr>
          <w:color w:val="000000" w:themeColor="text1"/>
          <w:highlight w:val="none"/>
          <w14:textFill>
            <w14:solidFill>
              <w14:schemeClr w14:val="tx1"/>
            </w14:solidFill>
          </w14:textFill>
        </w:rPr>
        <w:fldChar w:fldCharType="separate"/>
      </w:r>
      <w:r>
        <w:rPr>
          <w:rStyle w:val="21"/>
          <w:rFonts w:hint="eastAsia" w:ascii="宋体" w:hAnsi="宋体"/>
          <w:color w:val="000000" w:themeColor="text1"/>
          <w:sz w:val="28"/>
          <w:szCs w:val="28"/>
          <w:highlight w:val="none"/>
          <w14:textFill>
            <w14:solidFill>
              <w14:schemeClr w14:val="tx1"/>
            </w14:solidFill>
          </w14:textFill>
        </w:rPr>
        <w:t>www.tzztb.com</w:t>
      </w:r>
      <w:r>
        <w:rPr>
          <w:rStyle w:val="21"/>
          <w:rFonts w:hint="eastAsia" w:ascii="宋体" w:hAnsi="宋体"/>
          <w:color w:val="000000" w:themeColor="text1"/>
          <w:sz w:val="28"/>
          <w:szCs w:val="28"/>
          <w:highlight w:val="none"/>
          <w14:textFill>
            <w14:solidFill>
              <w14:schemeClr w14:val="tx1"/>
            </w14:solidFill>
          </w14:textFill>
        </w:rPr>
        <w:fldChar w:fldCharType="end"/>
      </w:r>
      <w:r>
        <w:rPr>
          <w:rFonts w:hint="eastAsia" w:ascii="宋体" w:hAnsi="宋体"/>
          <w:color w:val="000000" w:themeColor="text1"/>
          <w:sz w:val="28"/>
          <w:szCs w:val="28"/>
          <w:highlight w:val="none"/>
          <w:u w:val="single"/>
          <w14:textFill>
            <w14:solidFill>
              <w14:schemeClr w14:val="tx1"/>
            </w14:solidFill>
          </w14:textFill>
        </w:rPr>
        <w:t>/tzcms</w:t>
      </w:r>
    </w:p>
    <w:p>
      <w:pPr>
        <w:ind w:firstLine="0" w:firstLineChars="0"/>
        <w:rPr>
          <w:rFonts w:ascii="宋体" w:hAnsi="宋体"/>
          <w:color w:val="000000" w:themeColor="text1"/>
          <w:sz w:val="28"/>
          <w:szCs w:val="28"/>
          <w:highlight w:val="none"/>
          <w14:textFill>
            <w14:solidFill>
              <w14:schemeClr w14:val="tx1"/>
            </w14:solidFill>
          </w14:textFill>
        </w:rPr>
      </w:pPr>
    </w:p>
    <w:p>
      <w:pPr>
        <w:ind w:firstLine="0" w:firstLineChars="0"/>
        <w:rPr>
          <w:rFonts w:ascii="宋体" w:hAnsi="宋体"/>
          <w:color w:val="000000" w:themeColor="text1"/>
          <w:sz w:val="28"/>
          <w:szCs w:val="28"/>
          <w:highlight w:val="none"/>
          <w14:textFill>
            <w14:solidFill>
              <w14:schemeClr w14:val="tx1"/>
            </w14:solidFill>
          </w14:textFill>
        </w:rPr>
      </w:pPr>
    </w:p>
    <w:p>
      <w:pPr>
        <w:ind w:firstLineChars="0"/>
        <w:jc w:val="righ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台州市产权交易所有限公司</w:t>
      </w:r>
    </w:p>
    <w:p>
      <w:pPr>
        <w:ind w:firstLineChars="0"/>
        <w:jc w:val="righ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二○二〇年</w:t>
      </w:r>
      <w:r>
        <w:rPr>
          <w:rFonts w:hint="eastAsia" w:ascii="宋体" w:hAnsi="宋体" w:cs="宋体"/>
          <w:color w:val="000000" w:themeColor="text1"/>
          <w:kern w:val="0"/>
          <w:sz w:val="28"/>
          <w:szCs w:val="28"/>
          <w:highlight w:val="none"/>
          <w:lang w:val="en-US" w:eastAsia="zh-CN"/>
          <w14:textFill>
            <w14:solidFill>
              <w14:schemeClr w14:val="tx1"/>
            </w14:solidFill>
          </w14:textFill>
        </w:rPr>
        <w:t>三</w:t>
      </w:r>
      <w:r>
        <w:rPr>
          <w:rFonts w:hint="eastAsia" w:ascii="宋体" w:hAnsi="宋体"/>
          <w:color w:val="000000" w:themeColor="text1"/>
          <w:sz w:val="28"/>
          <w:szCs w:val="28"/>
          <w:highlight w:val="none"/>
          <w14:textFill>
            <w14:solidFill>
              <w14:schemeClr w14:val="tx1"/>
            </w14:solidFill>
          </w14:textFill>
        </w:rPr>
        <w:t>月</w:t>
      </w:r>
      <w:r>
        <w:rPr>
          <w:rFonts w:hint="eastAsia" w:ascii="宋体" w:hAnsi="宋体" w:cs="宋体"/>
          <w:color w:val="000000" w:themeColor="text1"/>
          <w:kern w:val="0"/>
          <w:sz w:val="28"/>
          <w:szCs w:val="28"/>
          <w:highlight w:val="none"/>
          <w:lang w:val="en-US" w:eastAsia="zh-CN"/>
          <w14:textFill>
            <w14:solidFill>
              <w14:schemeClr w14:val="tx1"/>
            </w14:solidFill>
          </w14:textFill>
        </w:rPr>
        <w:t>一十六</w:t>
      </w:r>
      <w:r>
        <w:rPr>
          <w:rFonts w:hint="eastAsia" w:ascii="宋体" w:hAnsi="宋体"/>
          <w:color w:val="000000" w:themeColor="text1"/>
          <w:sz w:val="28"/>
          <w:szCs w:val="28"/>
          <w:highlight w:val="none"/>
          <w14:textFill>
            <w14:solidFill>
              <w14:schemeClr w14:val="tx1"/>
            </w14:solidFill>
          </w14:textFill>
        </w:rPr>
        <w:t>日</w:t>
      </w:r>
    </w:p>
    <w:p>
      <w:pPr>
        <w:spacing w:line="430" w:lineRule="exact"/>
        <w:ind w:firstLine="0" w:firstLineChars="0"/>
        <w:jc w:val="center"/>
        <w:rPr>
          <w:rFonts w:ascii="宋体" w:hAnsi="宋体"/>
          <w:b/>
          <w:color w:val="000000" w:themeColor="text1"/>
          <w:sz w:val="32"/>
          <w:szCs w:val="32"/>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br w:type="page"/>
      </w:r>
      <w:bookmarkStart w:id="13" w:name="_Hlk527013137"/>
      <w:r>
        <w:rPr>
          <w:rFonts w:hint="eastAsia" w:ascii="宋体" w:hAnsi="宋体"/>
          <w:b/>
          <w:color w:val="000000" w:themeColor="text1"/>
          <w:sz w:val="32"/>
          <w:szCs w:val="32"/>
          <w:highlight w:val="none"/>
          <w:lang w:val="ms-MY"/>
          <w14:textFill>
            <w14:solidFill>
              <w14:schemeClr w14:val="tx1"/>
            </w14:solidFill>
          </w14:textFill>
        </w:rPr>
        <w:t>浙江嘉佑医疗器械有限公司</w:t>
      </w:r>
      <w:r>
        <w:rPr>
          <w:rFonts w:hint="eastAsia" w:ascii="宋体" w:hAnsi="宋体"/>
          <w:b/>
          <w:color w:val="000000" w:themeColor="text1"/>
          <w:sz w:val="32"/>
          <w:szCs w:val="32"/>
          <w:highlight w:val="none"/>
          <w14:textFill>
            <w14:solidFill>
              <w14:schemeClr w14:val="tx1"/>
            </w14:solidFill>
          </w14:textFill>
        </w:rPr>
        <w:t>33.33%</w:t>
      </w:r>
      <w:r>
        <w:rPr>
          <w:rFonts w:hint="eastAsia" w:ascii="宋体" w:hAnsi="宋体"/>
          <w:b/>
          <w:color w:val="000000" w:themeColor="text1"/>
          <w:sz w:val="32"/>
          <w:szCs w:val="32"/>
          <w:highlight w:val="none"/>
          <w:lang w:val="ms-MY"/>
          <w14:textFill>
            <w14:solidFill>
              <w14:schemeClr w14:val="tx1"/>
            </w14:solidFill>
          </w14:textFill>
        </w:rPr>
        <w:t>股权</w:t>
      </w:r>
      <w:bookmarkEnd w:id="13"/>
    </w:p>
    <w:p>
      <w:pPr>
        <w:pStyle w:val="2"/>
        <w:spacing w:before="100" w:beforeAutospacing="1" w:after="100" w:afterAutospacing="1" w:line="360" w:lineRule="auto"/>
        <w:jc w:val="center"/>
        <w:rPr>
          <w:color w:val="000000" w:themeColor="text1"/>
          <w:sz w:val="32"/>
          <w:highlight w:val="none"/>
          <w14:textFill>
            <w14:solidFill>
              <w14:schemeClr w14:val="tx1"/>
            </w14:solidFill>
          </w14:textFill>
        </w:rPr>
      </w:pPr>
      <w:bookmarkStart w:id="14" w:name="_Toc528773691"/>
      <w:bookmarkStart w:id="15" w:name="_Toc14112"/>
      <w:bookmarkStart w:id="16" w:name="_Toc5069"/>
      <w:r>
        <w:rPr>
          <w:rFonts w:hint="eastAsia"/>
          <w:color w:val="000000" w:themeColor="text1"/>
          <w:sz w:val="32"/>
          <w:highlight w:val="none"/>
          <w14:textFill>
            <w14:solidFill>
              <w14:schemeClr w14:val="tx1"/>
            </w14:solidFill>
          </w14:textFill>
        </w:rPr>
        <w:t>转让须知</w:t>
      </w:r>
      <w:bookmarkEnd w:id="14"/>
      <w:bookmarkEnd w:id="15"/>
      <w:bookmarkEnd w:id="16"/>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受浙江海正药业股份有限公司委托，公开转让其所持有的</w:t>
      </w:r>
      <w:bookmarkStart w:id="17" w:name="_Hlk527011228"/>
      <w:r>
        <w:rPr>
          <w:rFonts w:hint="eastAsia" w:ascii="宋体" w:hAnsi="宋体"/>
          <w:color w:val="000000" w:themeColor="text1"/>
          <w:sz w:val="28"/>
          <w:szCs w:val="28"/>
          <w:highlight w:val="none"/>
          <w14:textFill>
            <w14:solidFill>
              <w14:schemeClr w14:val="tx1"/>
            </w14:solidFill>
          </w14:textFill>
        </w:rPr>
        <w:t>浙江嘉佑医疗器械有限公司的</w:t>
      </w:r>
      <w:bookmarkEnd w:id="17"/>
      <w:r>
        <w:rPr>
          <w:rFonts w:hint="eastAsia" w:ascii="宋体" w:hAnsi="宋体"/>
          <w:color w:val="000000" w:themeColor="text1"/>
          <w:sz w:val="28"/>
          <w:szCs w:val="28"/>
          <w:highlight w:val="none"/>
          <w14:textFill>
            <w14:solidFill>
              <w14:schemeClr w14:val="tx1"/>
            </w14:solidFill>
          </w14:textFill>
        </w:rPr>
        <w:t>33.33%股权。现将有关事项告知意向受让人，请认真阅读与遵守。</w:t>
      </w:r>
    </w:p>
    <w:p>
      <w:pPr>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一、转让标的底价及保证金</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本次转让标的为浙江海正药业股份有限公司所持有的浙江嘉佑医疗器械有限公司的33.33%股权。转让底价2500万元人民币或等值其他货币（不设保留价），竞买保证金7</w:t>
      </w:r>
      <w:r>
        <w:rPr>
          <w:rFonts w:ascii="宋体" w:hAnsi="宋体"/>
          <w:color w:val="000000" w:themeColor="text1"/>
          <w:sz w:val="28"/>
          <w:szCs w:val="28"/>
          <w:highlight w:val="none"/>
          <w14:textFill>
            <w14:solidFill>
              <w14:schemeClr w14:val="tx1"/>
            </w14:solidFill>
          </w14:textFill>
        </w:rPr>
        <w:t>5</w:t>
      </w:r>
      <w:r>
        <w:rPr>
          <w:rFonts w:hint="eastAsia" w:ascii="宋体" w:hAnsi="宋体"/>
          <w:color w:val="000000" w:themeColor="text1"/>
          <w:sz w:val="28"/>
          <w:szCs w:val="28"/>
          <w:highlight w:val="none"/>
          <w14:textFill>
            <w14:solidFill>
              <w14:schemeClr w14:val="tx1"/>
            </w14:solidFill>
          </w14:textFill>
        </w:rPr>
        <w:t>0万元人民币或等值其他货币。</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二、本次股权转让行为已经必要的内部决策和批准程序，资产评估项目已经台州市椒江区国有资产监督管理委员会备案，本次转让行为经台州市椒江区国有资产监督管理委员会批准。</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三、企业基本情况</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1、公司注册情况</w:t>
      </w:r>
    </w:p>
    <w:p>
      <w:pPr>
        <w:ind w:firstLine="638" w:firstLineChars="228"/>
        <w:rPr>
          <w:rFonts w:ascii="宋体" w:hAnsi="宋体"/>
          <w:color w:val="000000" w:themeColor="text1"/>
          <w:sz w:val="28"/>
          <w:szCs w:val="28"/>
          <w:highlight w:val="none"/>
          <w14:textFill>
            <w14:solidFill>
              <w14:schemeClr w14:val="tx1"/>
            </w14:solidFill>
          </w14:textFill>
        </w:rPr>
      </w:pPr>
      <w:bookmarkStart w:id="18" w:name="_Hlk12372237"/>
      <w:r>
        <w:rPr>
          <w:rFonts w:hint="eastAsia" w:ascii="宋体" w:hAnsi="宋体"/>
          <w:color w:val="000000" w:themeColor="text1"/>
          <w:sz w:val="28"/>
          <w:szCs w:val="28"/>
          <w:highlight w:val="none"/>
          <w14:textFill>
            <w14:solidFill>
              <w14:schemeClr w14:val="tx1"/>
            </w14:solidFill>
          </w14:textFill>
        </w:rPr>
        <w:t>浙江嘉佑医疗器械有限公司（下称“嘉佑医疗”）是一家专业从事骨科医疗器械研发、生产、销售的高新技术企业，主要研发、生产脊柱系列产品。嘉佑医疗组建于2014年5月，注册资本2250万元，统一社会信用代码为913306003073033994，法定代表人黄海生；经营范围：生产、销售：第一类医疗器械、第二类医疗器械（凭有效许可证经营）、第三类医疗器械（凭有效许可证经营）；货物进出口；展览、展示服务。</w:t>
      </w:r>
    </w:p>
    <w:bookmarkEnd w:id="18"/>
    <w:p>
      <w:pPr>
        <w:ind w:firstLine="638" w:firstLineChars="228"/>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2、公司经营情况</w:t>
      </w:r>
    </w:p>
    <w:p>
      <w:pPr>
        <w:pStyle w:val="4"/>
        <w:spacing w:line="360" w:lineRule="auto"/>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浙江嘉佑医疗器械有限公司自成立至今，一直处于营业状态。</w:t>
      </w:r>
    </w:p>
    <w:p>
      <w:pPr>
        <w:ind w:firstLine="638" w:firstLineChars="228"/>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3</w:t>
      </w:r>
      <w:r>
        <w:rPr>
          <w:rFonts w:hint="eastAsia" w:ascii="宋体" w:hAnsi="宋体"/>
          <w:color w:val="000000" w:themeColor="text1"/>
          <w:sz w:val="28"/>
          <w:szCs w:val="28"/>
          <w:highlight w:val="none"/>
          <w14:textFill>
            <w14:solidFill>
              <w14:schemeClr w14:val="tx1"/>
            </w14:solidFill>
          </w14:textFill>
        </w:rPr>
        <w:t>、公司股权结构</w:t>
      </w:r>
    </w:p>
    <w:p>
      <w:pPr>
        <w:autoSpaceDE w:val="0"/>
        <w:autoSpaceDN w:val="0"/>
        <w:adjustRightInd w:val="0"/>
        <w:spacing w:beforeLines="50" w:line="360" w:lineRule="auto"/>
        <w:ind w:firstLine="56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截至20</w:t>
      </w:r>
      <w:r>
        <w:rPr>
          <w:rFonts w:ascii="宋体" w:hAnsi="宋体" w:cs="宋体"/>
          <w:color w:val="000000" w:themeColor="text1"/>
          <w:sz w:val="28"/>
          <w:szCs w:val="28"/>
          <w:highlight w:val="none"/>
          <w14:textFill>
            <w14:solidFill>
              <w14:schemeClr w14:val="tx1"/>
            </w14:solidFill>
          </w14:textFill>
        </w:rPr>
        <w:t>20</w:t>
      </w:r>
      <w:r>
        <w:rPr>
          <w:rFonts w:hint="eastAsia" w:ascii="宋体" w:hAnsi="宋体" w:cs="宋体"/>
          <w:color w:val="000000" w:themeColor="text1"/>
          <w:sz w:val="28"/>
          <w:szCs w:val="28"/>
          <w:highlight w:val="none"/>
          <w14:textFill>
            <w14:solidFill>
              <w14:schemeClr w14:val="tx1"/>
            </w14:solidFill>
          </w14:textFill>
        </w:rPr>
        <w:t>年</w:t>
      </w:r>
      <w:r>
        <w:rPr>
          <w:rFonts w:ascii="宋体" w:hAnsi="宋体" w:cs="宋体"/>
          <w:color w:val="000000" w:themeColor="text1"/>
          <w:sz w:val="28"/>
          <w:szCs w:val="28"/>
          <w:highlight w:val="none"/>
          <w14:textFill>
            <w14:solidFill>
              <w14:schemeClr w14:val="tx1"/>
            </w14:solidFill>
          </w14:textFill>
        </w:rPr>
        <w:t>2</w:t>
      </w:r>
      <w:r>
        <w:rPr>
          <w:rFonts w:hint="eastAsia" w:ascii="宋体" w:hAnsi="宋体" w:cs="宋体"/>
          <w:color w:val="000000" w:themeColor="text1"/>
          <w:sz w:val="28"/>
          <w:szCs w:val="28"/>
          <w:highlight w:val="none"/>
          <w14:textFill>
            <w14:solidFill>
              <w14:schemeClr w14:val="tx1"/>
            </w14:solidFill>
          </w14:textFill>
        </w:rPr>
        <w:t>月</w:t>
      </w:r>
      <w:r>
        <w:rPr>
          <w:rFonts w:hint="eastAsia" w:ascii="宋体" w:hAnsi="宋体" w:cs="宋体"/>
          <w:color w:val="000000" w:themeColor="text1"/>
          <w:sz w:val="28"/>
          <w:szCs w:val="28"/>
          <w:highlight w:val="none"/>
          <w:lang w:val="en-US" w:eastAsia="zh-CN"/>
          <w14:textFill>
            <w14:solidFill>
              <w14:schemeClr w14:val="tx1"/>
            </w14:solidFill>
          </w14:textFill>
        </w:rPr>
        <w:t>29</w:t>
      </w:r>
      <w:r>
        <w:rPr>
          <w:rFonts w:hint="eastAsia" w:ascii="宋体" w:hAnsi="宋体" w:cs="宋体"/>
          <w:color w:val="000000" w:themeColor="text1"/>
          <w:sz w:val="28"/>
          <w:szCs w:val="28"/>
          <w:highlight w:val="none"/>
          <w14:textFill>
            <w14:solidFill>
              <w14:schemeClr w14:val="tx1"/>
            </w14:solidFill>
          </w14:textFill>
        </w:rPr>
        <w:t>日，嘉佑医疗股权结构如下：</w:t>
      </w:r>
    </w:p>
    <w:tbl>
      <w:tblPr>
        <w:tblStyle w:val="15"/>
        <w:tblW w:w="8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3065"/>
        <w:gridCol w:w="1489"/>
        <w:gridCol w:w="1489"/>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1279" w:type="dxa"/>
            <w:shd w:val="clear" w:color="auto" w:fill="D7D7D7" w:themeFill="background1" w:themeFillShade="D8"/>
            <w:vAlign w:val="center"/>
          </w:tcPr>
          <w:p>
            <w:pPr>
              <w:widowControl/>
              <w:autoSpaceDE w:val="0"/>
              <w:autoSpaceDN w:val="0"/>
              <w:adjustRightInd w:val="0"/>
              <w:ind w:firstLine="0" w:firstLineChars="0"/>
              <w:jc w:val="center"/>
              <w:rPr>
                <w:b/>
                <w:snapToGrid w:val="0"/>
                <w:color w:val="000000" w:themeColor="text1"/>
                <w:kern w:val="0"/>
                <w:highlight w:val="none"/>
                <w14:textFill>
                  <w14:solidFill>
                    <w14:schemeClr w14:val="tx1"/>
                  </w14:solidFill>
                </w14:textFill>
              </w:rPr>
            </w:pPr>
            <w:r>
              <w:rPr>
                <w:rFonts w:hint="eastAsia"/>
                <w:b/>
                <w:snapToGrid w:val="0"/>
                <w:color w:val="000000" w:themeColor="text1"/>
                <w:kern w:val="0"/>
                <w:highlight w:val="none"/>
                <w14:textFill>
                  <w14:solidFill>
                    <w14:schemeClr w14:val="tx1"/>
                  </w14:solidFill>
                </w14:textFill>
              </w:rPr>
              <w:t>序号</w:t>
            </w:r>
          </w:p>
        </w:tc>
        <w:tc>
          <w:tcPr>
            <w:tcW w:w="3065" w:type="dxa"/>
            <w:shd w:val="clear" w:color="auto" w:fill="D7D7D7" w:themeFill="background1" w:themeFillShade="D8"/>
            <w:tcMar>
              <w:top w:w="0" w:type="dxa"/>
              <w:left w:w="0" w:type="dxa"/>
              <w:bottom w:w="0" w:type="dxa"/>
              <w:right w:w="0" w:type="dxa"/>
            </w:tcMar>
            <w:vAlign w:val="center"/>
          </w:tcPr>
          <w:p>
            <w:pPr>
              <w:widowControl/>
              <w:autoSpaceDE w:val="0"/>
              <w:autoSpaceDN w:val="0"/>
              <w:adjustRightIn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股东名称</w:t>
            </w:r>
          </w:p>
        </w:tc>
        <w:tc>
          <w:tcPr>
            <w:tcW w:w="1489" w:type="dxa"/>
            <w:shd w:val="clear" w:color="auto" w:fill="D7D7D7" w:themeFill="background1" w:themeFillShade="D8"/>
            <w:tcMar>
              <w:top w:w="0" w:type="dxa"/>
              <w:left w:w="0" w:type="dxa"/>
              <w:bottom w:w="0" w:type="dxa"/>
              <w:right w:w="0" w:type="dxa"/>
            </w:tcMar>
            <w:vAlign w:val="center"/>
          </w:tcPr>
          <w:p>
            <w:pPr>
              <w:widowControl/>
              <w:autoSpaceDE w:val="0"/>
              <w:autoSpaceDN w:val="0"/>
              <w:adjustRightInd w:val="0"/>
              <w:ind w:firstLine="0" w:firstLineChars="0"/>
              <w:jc w:val="center"/>
              <w:rPr>
                <w:b/>
                <w:bCs/>
                <w:color w:val="000000" w:themeColor="text1"/>
                <w:kern w:val="0"/>
                <w:highlight w:val="none"/>
                <w14:textFill>
                  <w14:solidFill>
                    <w14:schemeClr w14:val="tx1"/>
                  </w14:solidFill>
                </w14:textFill>
              </w:rPr>
            </w:pPr>
            <w:r>
              <w:rPr>
                <w:b/>
                <w:bCs/>
                <w:color w:val="000000" w:themeColor="text1"/>
                <w:kern w:val="0"/>
                <w:highlight w:val="none"/>
                <w14:textFill>
                  <w14:solidFill>
                    <w14:schemeClr w14:val="tx1"/>
                  </w14:solidFill>
                </w14:textFill>
              </w:rPr>
              <w:t>认缴出资额</w:t>
            </w:r>
          </w:p>
          <w:p>
            <w:pPr>
              <w:widowControl/>
              <w:autoSpaceDE w:val="0"/>
              <w:autoSpaceDN w:val="0"/>
              <w:adjustRightInd w:val="0"/>
              <w:ind w:firstLine="0" w:firstLineChars="0"/>
              <w:jc w:val="center"/>
              <w:rPr>
                <w:b/>
                <w:snapToGrid w:val="0"/>
                <w:color w:val="000000" w:themeColor="text1"/>
                <w:kern w:val="0"/>
                <w:highlight w:val="none"/>
                <w14:textFill>
                  <w14:solidFill>
                    <w14:schemeClr w14:val="tx1"/>
                  </w14:solidFill>
                </w14:textFill>
              </w:rPr>
            </w:pPr>
            <w:r>
              <w:rPr>
                <w:b/>
                <w:bCs/>
                <w:color w:val="000000" w:themeColor="text1"/>
                <w:kern w:val="0"/>
                <w:highlight w:val="none"/>
                <w14:textFill>
                  <w14:solidFill>
                    <w14:schemeClr w14:val="tx1"/>
                  </w14:solidFill>
                </w14:textFill>
              </w:rPr>
              <w:t>（万元）</w:t>
            </w:r>
          </w:p>
        </w:tc>
        <w:tc>
          <w:tcPr>
            <w:tcW w:w="1489" w:type="dxa"/>
            <w:shd w:val="clear" w:color="auto" w:fill="D7D7D7" w:themeFill="background1" w:themeFillShade="D8"/>
            <w:tcMar>
              <w:top w:w="0" w:type="dxa"/>
              <w:left w:w="0" w:type="dxa"/>
              <w:bottom w:w="0" w:type="dxa"/>
              <w:right w:w="0" w:type="dxa"/>
            </w:tcMar>
            <w:vAlign w:val="center"/>
          </w:tcPr>
          <w:p>
            <w:pPr>
              <w:widowControl/>
              <w:autoSpaceDE w:val="0"/>
              <w:autoSpaceDN w:val="0"/>
              <w:adjustRightIn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实缴出资额</w:t>
            </w:r>
          </w:p>
          <w:p>
            <w:pPr>
              <w:widowControl/>
              <w:autoSpaceDE w:val="0"/>
              <w:autoSpaceDN w:val="0"/>
              <w:adjustRightInd w:val="0"/>
              <w:ind w:firstLine="0" w:firstLineChars="0"/>
              <w:jc w:val="center"/>
              <w:rPr>
                <w:b/>
                <w:snapToGrid w:val="0"/>
                <w:color w:val="000000" w:themeColor="text1"/>
                <w:kern w:val="0"/>
                <w:highlight w:val="none"/>
                <w14:textFill>
                  <w14:solidFill>
                    <w14:schemeClr w14:val="tx1"/>
                  </w14:solidFill>
                </w14:textFill>
              </w:rPr>
            </w:pPr>
            <w:r>
              <w:rPr>
                <w:b/>
                <w:bCs/>
                <w:color w:val="000000" w:themeColor="text1"/>
                <w:kern w:val="0"/>
                <w:highlight w:val="none"/>
                <w14:textFill>
                  <w14:solidFill>
                    <w14:schemeClr w14:val="tx1"/>
                  </w14:solidFill>
                </w14:textFill>
              </w:rPr>
              <w:t>（万元）</w:t>
            </w:r>
          </w:p>
        </w:tc>
        <w:tc>
          <w:tcPr>
            <w:tcW w:w="1491" w:type="dxa"/>
            <w:shd w:val="clear" w:color="auto" w:fill="D7D7D7" w:themeFill="background1" w:themeFillShade="D8"/>
            <w:tcMar>
              <w:top w:w="0" w:type="dxa"/>
              <w:left w:w="0" w:type="dxa"/>
              <w:bottom w:w="0" w:type="dxa"/>
              <w:right w:w="0" w:type="dxa"/>
            </w:tcMar>
            <w:vAlign w:val="center"/>
          </w:tcPr>
          <w:p>
            <w:pPr>
              <w:widowControl/>
              <w:autoSpaceDE w:val="0"/>
              <w:autoSpaceDN w:val="0"/>
              <w:adjustRightIn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持股比例</w:t>
            </w:r>
          </w:p>
          <w:p>
            <w:pPr>
              <w:widowControl/>
              <w:autoSpaceDE w:val="0"/>
              <w:autoSpaceDN w:val="0"/>
              <w:adjustRightIn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9" w:type="dxa"/>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rFonts w:hint="eastAsia"/>
                <w:snapToGrid w:val="0"/>
                <w:color w:val="000000" w:themeColor="text1"/>
                <w:kern w:val="0"/>
                <w:highlight w:val="none"/>
                <w14:textFill>
                  <w14:solidFill>
                    <w14:schemeClr w14:val="tx1"/>
                  </w14:solidFill>
                </w14:textFill>
              </w:rPr>
              <w:t>1</w:t>
            </w:r>
          </w:p>
        </w:tc>
        <w:tc>
          <w:tcPr>
            <w:tcW w:w="3065"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snapToGrid w:val="0"/>
                <w:color w:val="000000" w:themeColor="text1"/>
                <w:kern w:val="0"/>
                <w:highlight w:val="none"/>
                <w14:textFill>
                  <w14:solidFill>
                    <w14:schemeClr w14:val="tx1"/>
                  </w14:solidFill>
                </w14:textFill>
              </w:rPr>
              <w:t>浙江时光家纺有限公司</w:t>
            </w:r>
          </w:p>
        </w:tc>
        <w:tc>
          <w:tcPr>
            <w:tcW w:w="1489"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712.5</w:t>
            </w:r>
          </w:p>
        </w:tc>
        <w:tc>
          <w:tcPr>
            <w:tcW w:w="1489"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712.5</w:t>
            </w:r>
          </w:p>
        </w:tc>
        <w:tc>
          <w:tcPr>
            <w:tcW w:w="1491"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snapToGrid w:val="0"/>
                <w:color w:val="000000" w:themeColor="text1"/>
                <w:kern w:val="0"/>
                <w:highlight w:val="none"/>
                <w14:textFill>
                  <w14:solidFill>
                    <w14:schemeClr w14:val="tx1"/>
                  </w14:solidFill>
                </w14:textFill>
              </w:rPr>
              <w:t>31.67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9" w:type="dxa"/>
            <w:vAlign w:val="center"/>
          </w:tcPr>
          <w:p>
            <w:pPr>
              <w:widowControl/>
              <w:autoSpaceDE w:val="0"/>
              <w:autoSpaceDN w:val="0"/>
              <w:adjustRightInd w:val="0"/>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3065" w:type="dxa"/>
            <w:tcMar>
              <w:top w:w="0" w:type="dxa"/>
              <w:left w:w="0" w:type="dxa"/>
              <w:bottom w:w="0" w:type="dxa"/>
              <w:right w:w="0" w:type="dxa"/>
            </w:tcMar>
            <w:vAlign w:val="center"/>
          </w:tcPr>
          <w:p>
            <w:pPr>
              <w:widowControl/>
              <w:autoSpaceDE w:val="0"/>
              <w:autoSpaceDN w:val="0"/>
              <w:adjustRightInd w:val="0"/>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浙江振德控股有限公司</w:t>
            </w:r>
          </w:p>
        </w:tc>
        <w:tc>
          <w:tcPr>
            <w:tcW w:w="1489" w:type="dxa"/>
            <w:tcMar>
              <w:top w:w="0" w:type="dxa"/>
              <w:left w:w="0" w:type="dxa"/>
              <w:bottom w:w="0" w:type="dxa"/>
              <w:right w:w="0" w:type="dxa"/>
            </w:tcMar>
            <w:vAlign w:val="center"/>
          </w:tcPr>
          <w:p>
            <w:pPr>
              <w:widowControl/>
              <w:autoSpaceDE w:val="0"/>
              <w:autoSpaceDN w:val="0"/>
              <w:adjustRightInd w:val="0"/>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562.5</w:t>
            </w:r>
          </w:p>
        </w:tc>
        <w:tc>
          <w:tcPr>
            <w:tcW w:w="1489" w:type="dxa"/>
            <w:tcMar>
              <w:top w:w="0" w:type="dxa"/>
              <w:left w:w="0" w:type="dxa"/>
              <w:bottom w:w="0" w:type="dxa"/>
              <w:right w:w="0" w:type="dxa"/>
            </w:tcMar>
            <w:vAlign w:val="center"/>
          </w:tcPr>
          <w:p>
            <w:pPr>
              <w:widowControl/>
              <w:autoSpaceDE w:val="0"/>
              <w:autoSpaceDN w:val="0"/>
              <w:adjustRightInd w:val="0"/>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562.5</w:t>
            </w:r>
          </w:p>
        </w:tc>
        <w:tc>
          <w:tcPr>
            <w:tcW w:w="1491"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snapToGrid w:val="0"/>
                <w:color w:val="000000" w:themeColor="text1"/>
                <w:kern w:val="0"/>
                <w:highlight w:val="none"/>
                <w14:textFill>
                  <w14:solidFill>
                    <w14:schemeClr w14:val="tx1"/>
                  </w14:solidFill>
                </w14:textFill>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9" w:type="dxa"/>
            <w:vAlign w:val="center"/>
          </w:tcPr>
          <w:p>
            <w:pPr>
              <w:widowControl/>
              <w:autoSpaceDE w:val="0"/>
              <w:autoSpaceDN w:val="0"/>
              <w:adjustRightInd w:val="0"/>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3065"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浙江海正药业股份有限公司*</w:t>
            </w:r>
          </w:p>
        </w:tc>
        <w:tc>
          <w:tcPr>
            <w:tcW w:w="1489"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750</w:t>
            </w:r>
          </w:p>
        </w:tc>
        <w:tc>
          <w:tcPr>
            <w:tcW w:w="1489"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750</w:t>
            </w:r>
          </w:p>
        </w:tc>
        <w:tc>
          <w:tcPr>
            <w:tcW w:w="1491" w:type="dxa"/>
            <w:tcMar>
              <w:top w:w="0" w:type="dxa"/>
              <w:left w:w="0" w:type="dxa"/>
              <w:bottom w:w="0" w:type="dxa"/>
              <w:right w:w="0" w:type="dxa"/>
            </w:tcMar>
            <w:vAlign w:val="center"/>
          </w:tcPr>
          <w:p>
            <w:pPr>
              <w:widowControl/>
              <w:autoSpaceDE w:val="0"/>
              <w:autoSpaceDN w:val="0"/>
              <w:adjustRightInd w:val="0"/>
              <w:ind w:firstLine="0" w:firstLineChars="0"/>
              <w:jc w:val="center"/>
              <w:rPr>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9" w:type="dxa"/>
            <w:vAlign w:val="center"/>
          </w:tcPr>
          <w:p>
            <w:pPr>
              <w:widowControl/>
              <w:tabs>
                <w:tab w:val="center" w:pos="4153"/>
                <w:tab w:val="right" w:pos="8306"/>
              </w:tabs>
              <w:autoSpaceDE w:val="0"/>
              <w:autoSpaceDN w:val="0"/>
              <w:adjustRightInd w:val="0"/>
              <w:snapToGrid w:val="0"/>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3065"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李  坚</w:t>
            </w:r>
          </w:p>
        </w:tc>
        <w:tc>
          <w:tcPr>
            <w:tcW w:w="1489" w:type="dxa"/>
            <w:tcMar>
              <w:top w:w="0" w:type="dxa"/>
              <w:left w:w="0" w:type="dxa"/>
              <w:bottom w:w="0" w:type="dxa"/>
              <w:right w:w="0" w:type="dxa"/>
            </w:tcMar>
            <w:vAlign w:val="center"/>
          </w:tcPr>
          <w:p>
            <w:pPr>
              <w:widowControl/>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150</w:t>
            </w:r>
          </w:p>
        </w:tc>
        <w:tc>
          <w:tcPr>
            <w:tcW w:w="1489" w:type="dxa"/>
            <w:tcMar>
              <w:top w:w="0" w:type="dxa"/>
              <w:left w:w="0" w:type="dxa"/>
              <w:bottom w:w="0" w:type="dxa"/>
              <w:right w:w="0" w:type="dxa"/>
            </w:tcMar>
            <w:vAlign w:val="center"/>
          </w:tcPr>
          <w:p>
            <w:pPr>
              <w:widowControl/>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150</w:t>
            </w:r>
          </w:p>
        </w:tc>
        <w:tc>
          <w:tcPr>
            <w:tcW w:w="1491"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9" w:type="dxa"/>
            <w:vAlign w:val="center"/>
          </w:tcPr>
          <w:p>
            <w:pPr>
              <w:tabs>
                <w:tab w:val="center" w:pos="4153"/>
                <w:tab w:val="right" w:pos="8306"/>
              </w:tabs>
              <w:autoSpaceDE w:val="0"/>
              <w:autoSpaceDN w:val="0"/>
              <w:adjustRightInd w:val="0"/>
              <w:snapToGrid w:val="0"/>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3065" w:type="dxa"/>
            <w:tcMar>
              <w:top w:w="0" w:type="dxa"/>
              <w:left w:w="0" w:type="dxa"/>
              <w:bottom w:w="0" w:type="dxa"/>
              <w:right w:w="0" w:type="dxa"/>
            </w:tcMar>
            <w:vAlign w:val="center"/>
          </w:tcPr>
          <w:p>
            <w:pPr>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郭  炜</w:t>
            </w:r>
          </w:p>
        </w:tc>
        <w:tc>
          <w:tcPr>
            <w:tcW w:w="1489" w:type="dxa"/>
            <w:tcMar>
              <w:top w:w="0" w:type="dxa"/>
              <w:left w:w="0" w:type="dxa"/>
              <w:bottom w:w="0" w:type="dxa"/>
              <w:right w:w="0" w:type="dxa"/>
            </w:tcMar>
            <w:vAlign w:val="center"/>
          </w:tcPr>
          <w:p>
            <w:pPr>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75</w:t>
            </w:r>
          </w:p>
        </w:tc>
        <w:tc>
          <w:tcPr>
            <w:tcW w:w="1489" w:type="dxa"/>
            <w:tcMar>
              <w:top w:w="0" w:type="dxa"/>
              <w:left w:w="0" w:type="dxa"/>
              <w:bottom w:w="0" w:type="dxa"/>
              <w:right w:w="0" w:type="dxa"/>
            </w:tcMar>
            <w:vAlign w:val="center"/>
          </w:tcPr>
          <w:p>
            <w:pPr>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75</w:t>
            </w:r>
          </w:p>
        </w:tc>
        <w:tc>
          <w:tcPr>
            <w:tcW w:w="1491" w:type="dxa"/>
            <w:tcMar>
              <w:top w:w="0" w:type="dxa"/>
              <w:left w:w="0" w:type="dxa"/>
              <w:bottom w:w="0" w:type="dxa"/>
              <w:right w:w="0" w:type="dxa"/>
            </w:tcMar>
            <w:vAlign w:val="center"/>
          </w:tcPr>
          <w:p>
            <w:pPr>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9" w:type="dxa"/>
            <w:vAlign w:val="center"/>
          </w:tcPr>
          <w:p>
            <w:pPr>
              <w:widowControl/>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p>
        </w:tc>
        <w:tc>
          <w:tcPr>
            <w:tcW w:w="3065"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合  计</w:t>
            </w:r>
          </w:p>
        </w:tc>
        <w:tc>
          <w:tcPr>
            <w:tcW w:w="1489"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2,250</w:t>
            </w:r>
          </w:p>
        </w:tc>
        <w:tc>
          <w:tcPr>
            <w:tcW w:w="1489"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2,250</w:t>
            </w:r>
          </w:p>
        </w:tc>
        <w:tc>
          <w:tcPr>
            <w:tcW w:w="1491"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center"/>
              <w:rPr>
                <w:b/>
                <w:snapToGrid w:val="0"/>
                <w:color w:val="000000" w:themeColor="text1"/>
                <w:kern w:val="0"/>
                <w:highlight w:val="none"/>
                <w14:textFill>
                  <w14:solidFill>
                    <w14:schemeClr w14:val="tx1"/>
                  </w14:solidFill>
                </w14:textFill>
              </w:rPr>
            </w:pPr>
            <w:r>
              <w:rPr>
                <w:b/>
                <w:snapToGrid w:val="0"/>
                <w:color w:val="000000" w:themeColor="text1"/>
                <w:kern w:val="0"/>
                <w:highlight w:val="none"/>
                <w14:textFill>
                  <w14:solidFill>
                    <w14:schemeClr w14:val="tx1"/>
                  </w14:solidFill>
                </w14:textFill>
              </w:rPr>
              <w:t>100.00</w:t>
            </w:r>
          </w:p>
        </w:tc>
      </w:tr>
    </w:tbl>
    <w:p>
      <w:pPr>
        <w:numPr>
          <w:ilvl w:val="0"/>
          <w:numId w:val="2"/>
        </w:numPr>
        <w:ind w:firstLine="56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公司资产、负债情况</w:t>
      </w:r>
    </w:p>
    <w:tbl>
      <w:tblPr>
        <w:tblStyle w:val="15"/>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1"/>
        <w:gridCol w:w="1840"/>
        <w:gridCol w:w="1862"/>
        <w:gridCol w:w="1701"/>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6" w:hRule="exact"/>
          <w:jc w:val="center"/>
        </w:trPr>
        <w:tc>
          <w:tcPr>
            <w:tcW w:w="1961" w:type="dxa"/>
            <w:vMerge w:val="restart"/>
            <w:vAlign w:val="center"/>
          </w:tcPr>
          <w:p>
            <w:pPr>
              <w:ind w:firstLine="0" w:firstLineChars="0"/>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主要财务指标</w:t>
            </w:r>
          </w:p>
          <w:p>
            <w:pPr>
              <w:ind w:firstLine="0" w:firstLineChars="0"/>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（单位：元人民币）</w:t>
            </w:r>
          </w:p>
        </w:tc>
        <w:tc>
          <w:tcPr>
            <w:tcW w:w="7095" w:type="dxa"/>
            <w:gridSpan w:val="4"/>
            <w:vAlign w:val="center"/>
          </w:tcPr>
          <w:p>
            <w:pPr>
              <w:ind w:firstLine="48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以下数据出自企业2019年1-</w:t>
            </w:r>
            <w:r>
              <w:rPr>
                <w:rFonts w:ascii="宋体" w:hAnsi="宋体"/>
                <w:color w:val="000000" w:themeColor="text1"/>
                <w:sz w:val="24"/>
                <w:highlight w:val="none"/>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vAlign w:val="center"/>
          </w:tcPr>
          <w:p>
            <w:pPr>
              <w:ind w:firstLine="482"/>
              <w:jc w:val="center"/>
              <w:rPr>
                <w:rFonts w:ascii="宋体" w:hAnsi="宋体"/>
                <w:b/>
                <w:color w:val="000000" w:themeColor="text1"/>
                <w:sz w:val="24"/>
                <w:highlight w:val="none"/>
                <w14:textFill>
                  <w14:solidFill>
                    <w14:schemeClr w14:val="tx1"/>
                  </w14:solidFill>
                </w14:textFill>
              </w:rPr>
            </w:pPr>
          </w:p>
        </w:tc>
        <w:tc>
          <w:tcPr>
            <w:tcW w:w="1840" w:type="dxa"/>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年度日期</w:t>
            </w:r>
          </w:p>
        </w:tc>
        <w:tc>
          <w:tcPr>
            <w:tcW w:w="1862" w:type="dxa"/>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资产总计</w:t>
            </w:r>
          </w:p>
        </w:tc>
        <w:tc>
          <w:tcPr>
            <w:tcW w:w="1701" w:type="dxa"/>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负债总计</w:t>
            </w:r>
          </w:p>
        </w:tc>
        <w:tc>
          <w:tcPr>
            <w:tcW w:w="1692" w:type="dxa"/>
            <w:vAlign w:val="center"/>
          </w:tcPr>
          <w:p>
            <w:pPr>
              <w:ind w:firstLine="0" w:firstLineChars="0"/>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vAlign w:val="center"/>
          </w:tcPr>
          <w:p>
            <w:pPr>
              <w:ind w:firstLine="482"/>
              <w:jc w:val="center"/>
              <w:rPr>
                <w:rFonts w:ascii="宋体" w:hAnsi="宋体"/>
                <w:b/>
                <w:color w:val="000000" w:themeColor="text1"/>
                <w:sz w:val="24"/>
                <w:highlight w:val="none"/>
                <w14:textFill>
                  <w14:solidFill>
                    <w14:schemeClr w14:val="tx1"/>
                  </w14:solidFill>
                </w14:textFill>
              </w:rPr>
            </w:pPr>
          </w:p>
        </w:tc>
        <w:tc>
          <w:tcPr>
            <w:tcW w:w="1840" w:type="dxa"/>
            <w:vMerge w:val="restart"/>
            <w:vAlign w:val="center"/>
          </w:tcPr>
          <w:p>
            <w:pPr>
              <w:ind w:firstLine="0" w:firstLineChars="0"/>
              <w:jc w:val="center"/>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2019.</w:t>
            </w:r>
            <w:r>
              <w:rPr>
                <w:rFonts w:ascii="宋体" w:hAnsi="宋体"/>
                <w:color w:val="000000" w:themeColor="text1"/>
                <w:sz w:val="24"/>
                <w:highlight w:val="none"/>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30</w:t>
            </w:r>
          </w:p>
        </w:tc>
        <w:tc>
          <w:tcPr>
            <w:tcW w:w="1862" w:type="dxa"/>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26,701,045.90</w:t>
            </w:r>
          </w:p>
        </w:tc>
        <w:tc>
          <w:tcPr>
            <w:tcW w:w="1701" w:type="dxa"/>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50,099,766.10</w:t>
            </w:r>
          </w:p>
        </w:tc>
        <w:tc>
          <w:tcPr>
            <w:tcW w:w="1692" w:type="dxa"/>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-23,398,720.20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000000" w:themeColor="text1"/>
                <w:sz w:val="24"/>
                <w:highlight w:val="none"/>
                <w14:textFill>
                  <w14:solidFill>
                    <w14:schemeClr w14:val="tx1"/>
                  </w14:solidFill>
                </w14:textFill>
              </w:rPr>
            </w:pPr>
          </w:p>
        </w:tc>
        <w:tc>
          <w:tcPr>
            <w:tcW w:w="1840" w:type="dxa"/>
            <w:vMerge w:val="continue"/>
            <w:shd w:val="clear" w:color="auto" w:fill="auto"/>
            <w:vAlign w:val="center"/>
          </w:tcPr>
          <w:p>
            <w:pPr>
              <w:ind w:firstLine="480"/>
              <w:jc w:val="center"/>
              <w:rPr>
                <w:rFonts w:ascii="宋体" w:hAnsi="宋体"/>
                <w:color w:val="000000" w:themeColor="text1"/>
                <w:sz w:val="24"/>
                <w:highlight w:val="none"/>
                <w:u w:val="single"/>
                <w14:textFill>
                  <w14:solidFill>
                    <w14:schemeClr w14:val="tx1"/>
                  </w14:solidFill>
                </w14:textFill>
              </w:rPr>
            </w:pPr>
          </w:p>
        </w:tc>
        <w:tc>
          <w:tcPr>
            <w:tcW w:w="1862" w:type="dxa"/>
            <w:shd w:val="clear" w:color="auto" w:fill="auto"/>
            <w:vAlign w:val="center"/>
          </w:tcPr>
          <w:p>
            <w:pPr>
              <w:ind w:firstLine="0" w:firstLineChars="0"/>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营业收入</w:t>
            </w:r>
          </w:p>
        </w:tc>
        <w:tc>
          <w:tcPr>
            <w:tcW w:w="1701" w:type="dxa"/>
            <w:shd w:val="clear" w:color="auto" w:fill="FFFFFF"/>
            <w:vAlign w:val="center"/>
          </w:tcPr>
          <w:p>
            <w:pPr>
              <w:ind w:firstLine="0" w:firstLineChars="0"/>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利润总额</w:t>
            </w:r>
          </w:p>
        </w:tc>
        <w:tc>
          <w:tcPr>
            <w:tcW w:w="1692" w:type="dxa"/>
            <w:shd w:val="clear" w:color="auto" w:fill="FFFFFF"/>
            <w:vAlign w:val="center"/>
          </w:tcPr>
          <w:p>
            <w:pPr>
              <w:ind w:firstLine="0" w:firstLineChars="0"/>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000000" w:themeColor="text1"/>
                <w:sz w:val="24"/>
                <w:highlight w:val="none"/>
                <w14:textFill>
                  <w14:solidFill>
                    <w14:schemeClr w14:val="tx1"/>
                  </w14:solidFill>
                </w14:textFill>
              </w:rPr>
            </w:pPr>
          </w:p>
        </w:tc>
        <w:tc>
          <w:tcPr>
            <w:tcW w:w="1840" w:type="dxa"/>
            <w:vMerge w:val="continue"/>
            <w:shd w:val="clear" w:color="auto" w:fill="auto"/>
            <w:vAlign w:val="center"/>
          </w:tcPr>
          <w:p>
            <w:pPr>
              <w:ind w:firstLine="480"/>
              <w:jc w:val="center"/>
              <w:rPr>
                <w:rFonts w:ascii="宋体" w:hAnsi="宋体"/>
                <w:color w:val="000000" w:themeColor="text1"/>
                <w:sz w:val="24"/>
                <w:highlight w:val="none"/>
                <w:u w:val="single"/>
                <w14:textFill>
                  <w14:solidFill>
                    <w14:schemeClr w14:val="tx1"/>
                  </w14:solidFill>
                </w14:textFill>
              </w:rPr>
            </w:pPr>
          </w:p>
        </w:tc>
        <w:tc>
          <w:tcPr>
            <w:tcW w:w="1862" w:type="dxa"/>
            <w:shd w:val="clear" w:color="auto" w:fill="auto"/>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96,911.51</w:t>
            </w:r>
          </w:p>
        </w:tc>
        <w:tc>
          <w:tcPr>
            <w:tcW w:w="1701" w:type="dxa"/>
            <w:shd w:val="clear" w:color="auto" w:fill="FFFFFF"/>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-16,831,899.98</w:t>
            </w:r>
          </w:p>
        </w:tc>
        <w:tc>
          <w:tcPr>
            <w:tcW w:w="1692" w:type="dxa"/>
            <w:shd w:val="clear" w:color="auto" w:fill="FFFFFF"/>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-16,831,899.98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000000" w:themeColor="text1"/>
                <w:sz w:val="24"/>
                <w:highlight w:val="none"/>
                <w14:textFill>
                  <w14:solidFill>
                    <w14:schemeClr w14:val="tx1"/>
                  </w14:solidFill>
                </w14:textFill>
              </w:rPr>
            </w:pPr>
          </w:p>
        </w:tc>
        <w:tc>
          <w:tcPr>
            <w:tcW w:w="1840" w:type="dxa"/>
            <w:shd w:val="clear" w:color="auto" w:fill="auto"/>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审计机构</w:t>
            </w:r>
          </w:p>
        </w:tc>
        <w:tc>
          <w:tcPr>
            <w:tcW w:w="5255" w:type="dxa"/>
            <w:gridSpan w:val="3"/>
            <w:shd w:val="clear" w:color="auto" w:fill="FFFFFF"/>
            <w:vAlign w:val="center"/>
          </w:tcPr>
          <w:p>
            <w:pPr>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中兴财光华会计师事务所（特殊普通合伙）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000000" w:themeColor="text1"/>
                <w:sz w:val="24"/>
                <w:highlight w:val="none"/>
                <w14:textFill>
                  <w14:solidFill>
                    <w14:schemeClr w14:val="tx1"/>
                  </w14:solidFill>
                </w14:textFill>
              </w:rPr>
            </w:pPr>
          </w:p>
        </w:tc>
        <w:tc>
          <w:tcPr>
            <w:tcW w:w="7095" w:type="dxa"/>
            <w:gridSpan w:val="4"/>
            <w:shd w:val="clear" w:color="auto" w:fill="FFFFFF"/>
            <w:vAlign w:val="center"/>
          </w:tcPr>
          <w:p>
            <w:pPr>
              <w:ind w:firstLine="48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0"/>
              <w:jc w:val="center"/>
              <w:rPr>
                <w:rFonts w:ascii="宋体" w:hAnsi="宋体"/>
                <w:color w:val="000000" w:themeColor="text1"/>
                <w:sz w:val="24"/>
                <w:highlight w:val="none"/>
                <w14:textFill>
                  <w14:solidFill>
                    <w14:schemeClr w14:val="tx1"/>
                  </w14:solidFill>
                </w14:textFill>
              </w:rPr>
            </w:pPr>
          </w:p>
        </w:tc>
        <w:tc>
          <w:tcPr>
            <w:tcW w:w="1840" w:type="dxa"/>
            <w:shd w:val="clear" w:color="auto" w:fill="auto"/>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报表日期</w:t>
            </w:r>
          </w:p>
        </w:tc>
        <w:tc>
          <w:tcPr>
            <w:tcW w:w="1862" w:type="dxa"/>
            <w:shd w:val="clear" w:color="auto" w:fill="auto"/>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资产总计</w:t>
            </w:r>
          </w:p>
        </w:tc>
        <w:tc>
          <w:tcPr>
            <w:tcW w:w="1701" w:type="dxa"/>
            <w:shd w:val="clear" w:color="auto" w:fill="FFFFFF"/>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负债总计</w:t>
            </w:r>
          </w:p>
        </w:tc>
        <w:tc>
          <w:tcPr>
            <w:tcW w:w="1692" w:type="dxa"/>
            <w:shd w:val="clear" w:color="auto" w:fill="FFFFFF"/>
            <w:vAlign w:val="center"/>
          </w:tcPr>
          <w:p>
            <w:pPr>
              <w:ind w:firstLine="0" w:firstLineChars="0"/>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5" w:hRule="exact"/>
          <w:jc w:val="center"/>
        </w:trPr>
        <w:tc>
          <w:tcPr>
            <w:tcW w:w="1961" w:type="dxa"/>
            <w:vMerge w:val="continue"/>
            <w:shd w:val="clear" w:color="auto" w:fill="auto"/>
            <w:vAlign w:val="center"/>
          </w:tcPr>
          <w:p>
            <w:pPr>
              <w:ind w:firstLine="480"/>
              <w:rPr>
                <w:rFonts w:ascii="宋体" w:hAnsi="宋体"/>
                <w:color w:val="000000" w:themeColor="text1"/>
                <w:sz w:val="24"/>
                <w:highlight w:val="none"/>
                <w14:textFill>
                  <w14:solidFill>
                    <w14:schemeClr w14:val="tx1"/>
                  </w14:solidFill>
                </w14:textFill>
              </w:rPr>
            </w:pPr>
          </w:p>
        </w:tc>
        <w:tc>
          <w:tcPr>
            <w:tcW w:w="1840" w:type="dxa"/>
            <w:shd w:val="clear" w:color="auto" w:fill="auto"/>
            <w:vAlign w:val="center"/>
          </w:tcPr>
          <w:p>
            <w:pPr>
              <w:ind w:firstLine="0" w:firstLineChars="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2019.</w:t>
            </w:r>
            <w:r>
              <w:rPr>
                <w:rFonts w:ascii="宋体" w:hAnsi="宋体"/>
                <w:color w:val="000000" w:themeColor="text1"/>
                <w:sz w:val="24"/>
                <w:highlight w:val="none"/>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30</w:t>
            </w:r>
          </w:p>
        </w:tc>
        <w:tc>
          <w:tcPr>
            <w:tcW w:w="1862" w:type="dxa"/>
            <w:shd w:val="clear" w:color="auto" w:fill="auto"/>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26,701,045.90</w:t>
            </w:r>
          </w:p>
        </w:tc>
        <w:tc>
          <w:tcPr>
            <w:tcW w:w="1701" w:type="dxa"/>
            <w:shd w:val="clear" w:color="auto" w:fill="FFFFFF"/>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50,099,766.10</w:t>
            </w:r>
          </w:p>
        </w:tc>
        <w:tc>
          <w:tcPr>
            <w:tcW w:w="1692" w:type="dxa"/>
            <w:shd w:val="clear" w:color="auto" w:fill="FFFFFF"/>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-23,398,720.20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0"/>
              <w:rPr>
                <w:rFonts w:ascii="宋体" w:hAnsi="宋体"/>
                <w:color w:val="000000" w:themeColor="text1"/>
                <w:sz w:val="24"/>
                <w:highlight w:val="none"/>
                <w14:textFill>
                  <w14:solidFill>
                    <w14:schemeClr w14:val="tx1"/>
                  </w14:solidFill>
                </w14:textFill>
              </w:rPr>
            </w:pPr>
          </w:p>
        </w:tc>
        <w:tc>
          <w:tcPr>
            <w:tcW w:w="1840" w:type="dxa"/>
            <w:shd w:val="clear" w:color="auto" w:fill="auto"/>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报表类型</w:t>
            </w:r>
          </w:p>
        </w:tc>
        <w:tc>
          <w:tcPr>
            <w:tcW w:w="1862" w:type="dxa"/>
            <w:shd w:val="clear" w:color="auto" w:fill="auto"/>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营业收入</w:t>
            </w:r>
          </w:p>
        </w:tc>
        <w:tc>
          <w:tcPr>
            <w:tcW w:w="1701" w:type="dxa"/>
            <w:shd w:val="clear" w:color="auto" w:fill="FFFFFF"/>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利润总额</w:t>
            </w:r>
          </w:p>
        </w:tc>
        <w:tc>
          <w:tcPr>
            <w:tcW w:w="1692" w:type="dxa"/>
            <w:shd w:val="clear" w:color="auto" w:fill="FFFFFF"/>
            <w:vAlign w:val="center"/>
          </w:tcPr>
          <w:p>
            <w:pPr>
              <w:ind w:firstLine="198" w:firstLineChars="82"/>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1" w:hRule="exact"/>
          <w:jc w:val="center"/>
        </w:trPr>
        <w:tc>
          <w:tcPr>
            <w:tcW w:w="1961" w:type="dxa"/>
            <w:vMerge w:val="continue"/>
            <w:shd w:val="clear" w:color="auto" w:fill="auto"/>
            <w:vAlign w:val="center"/>
          </w:tcPr>
          <w:p>
            <w:pPr>
              <w:ind w:firstLine="480"/>
              <w:rPr>
                <w:rFonts w:ascii="宋体" w:hAnsi="宋体"/>
                <w:color w:val="000000" w:themeColor="text1"/>
                <w:sz w:val="24"/>
                <w:highlight w:val="none"/>
                <w14:textFill>
                  <w14:solidFill>
                    <w14:schemeClr w14:val="tx1"/>
                  </w14:solidFill>
                </w14:textFill>
              </w:rPr>
            </w:pPr>
          </w:p>
        </w:tc>
        <w:tc>
          <w:tcPr>
            <w:tcW w:w="1840" w:type="dxa"/>
            <w:shd w:val="clear" w:color="auto" w:fill="auto"/>
            <w:vAlign w:val="center"/>
          </w:tcPr>
          <w:p>
            <w:pPr>
              <w:ind w:firstLine="199" w:firstLineChars="83"/>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中期报表</w:t>
            </w:r>
          </w:p>
        </w:tc>
        <w:tc>
          <w:tcPr>
            <w:tcW w:w="1862" w:type="dxa"/>
            <w:shd w:val="clear" w:color="auto" w:fill="auto"/>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96,911.51</w:t>
            </w:r>
          </w:p>
        </w:tc>
        <w:tc>
          <w:tcPr>
            <w:tcW w:w="1701" w:type="dxa"/>
            <w:shd w:val="clear" w:color="auto" w:fill="FFFFFF"/>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-16,831,899.98</w:t>
            </w:r>
          </w:p>
        </w:tc>
        <w:tc>
          <w:tcPr>
            <w:tcW w:w="1692" w:type="dxa"/>
            <w:shd w:val="clear" w:color="auto" w:fill="FFFFFF"/>
            <w:vAlign w:val="center"/>
          </w:tcPr>
          <w:p>
            <w:pPr>
              <w:ind w:firstLine="0" w:firstLineChars="0"/>
              <w:jc w:val="righ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-16,831,899.98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exact"/>
          <w:jc w:val="center"/>
        </w:trPr>
        <w:tc>
          <w:tcPr>
            <w:tcW w:w="1961" w:type="dxa"/>
            <w:shd w:val="clear" w:color="auto" w:fill="auto"/>
            <w:vAlign w:val="center"/>
          </w:tcPr>
          <w:p>
            <w:pPr>
              <w:ind w:firstLine="0" w:firstLineChars="0"/>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其他披露内容</w:t>
            </w:r>
          </w:p>
        </w:tc>
        <w:tc>
          <w:tcPr>
            <w:tcW w:w="7095" w:type="dxa"/>
            <w:gridSpan w:val="4"/>
            <w:shd w:val="clear" w:color="auto" w:fill="auto"/>
            <w:vAlign w:val="center"/>
          </w:tcPr>
          <w:p>
            <w:pPr>
              <w:ind w:firstLine="400"/>
              <w:jc w:val="center"/>
              <w:rPr>
                <w:rFonts w:ascii="宋体" w:hAnsi="宋体" w:cs="宋体"/>
                <w:color w:val="000000" w:themeColor="text1"/>
                <w:sz w:val="20"/>
                <w:szCs w:val="18"/>
                <w:highlight w:val="none"/>
                <w14:textFill>
                  <w14:solidFill>
                    <w14:schemeClr w14:val="tx1"/>
                  </w14:solidFill>
                </w14:textFill>
              </w:rPr>
            </w:pPr>
          </w:p>
        </w:tc>
      </w:tr>
    </w:tbl>
    <w:p>
      <w:pPr>
        <w:ind w:firstLine="422"/>
        <w:rPr>
          <w:rFonts w:ascii="仿宋_GB2312" w:eastAsia="仿宋_GB2312"/>
          <w:b/>
          <w:color w:val="000000" w:themeColor="text1"/>
          <w:szCs w:val="21"/>
          <w:highlight w:val="none"/>
          <w14:textFill>
            <w14:solidFill>
              <w14:schemeClr w14:val="tx1"/>
            </w14:solidFill>
          </w14:textFill>
        </w:rPr>
      </w:pPr>
    </w:p>
    <w:tbl>
      <w:tblPr>
        <w:tblStyle w:val="15"/>
        <w:tblW w:w="8835" w:type="dxa"/>
        <w:tblInd w:w="11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1740" w:type="dxa"/>
            <w:vMerge w:val="restart"/>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中介机构</w:t>
            </w:r>
          </w:p>
        </w:tc>
        <w:tc>
          <w:tcPr>
            <w:tcW w:w="2820" w:type="dxa"/>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律 师 事 务 所</w:t>
            </w:r>
          </w:p>
        </w:tc>
        <w:tc>
          <w:tcPr>
            <w:tcW w:w="4275" w:type="dxa"/>
            <w:vAlign w:val="center"/>
          </w:tcPr>
          <w:p>
            <w:pPr>
              <w:ind w:firstLine="0" w:firstLineChars="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北京康达（杭州）律师事务所</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9" w:hRule="atLeast"/>
        </w:trPr>
        <w:tc>
          <w:tcPr>
            <w:tcW w:w="1740" w:type="dxa"/>
            <w:vMerge w:val="continue"/>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p>
        </w:tc>
        <w:tc>
          <w:tcPr>
            <w:tcW w:w="2820" w:type="dxa"/>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会 计 师 事 务 所</w:t>
            </w:r>
          </w:p>
        </w:tc>
        <w:tc>
          <w:tcPr>
            <w:tcW w:w="4275" w:type="dxa"/>
            <w:vAlign w:val="center"/>
          </w:tcPr>
          <w:p>
            <w:pPr>
              <w:ind w:firstLine="0" w:firstLineChars="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天健会计师事务所（特殊普通合伙）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p>
        </w:tc>
        <w:tc>
          <w:tcPr>
            <w:tcW w:w="2820" w:type="dxa"/>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评 估 事 务 所</w:t>
            </w:r>
          </w:p>
        </w:tc>
        <w:tc>
          <w:tcPr>
            <w:tcW w:w="4275" w:type="dxa"/>
            <w:vAlign w:val="center"/>
          </w:tcPr>
          <w:p>
            <w:pPr>
              <w:ind w:firstLine="0" w:firstLineChars="0"/>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坤元资产评估有限公司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资产评估核准</w:t>
            </w:r>
          </w:p>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或备案情况</w:t>
            </w:r>
          </w:p>
        </w:tc>
        <w:tc>
          <w:tcPr>
            <w:tcW w:w="2820" w:type="dxa"/>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评 估 基 准 日</w:t>
            </w:r>
          </w:p>
        </w:tc>
        <w:tc>
          <w:tcPr>
            <w:tcW w:w="4275" w:type="dxa"/>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2019年</w:t>
            </w:r>
            <w:r>
              <w:rPr>
                <w:rFonts w:ascii="宋体" w:hAnsi="宋体" w:cs="宋体"/>
                <w:color w:val="000000" w:themeColor="text1"/>
                <w:sz w:val="24"/>
                <w:highlight w:val="none"/>
                <w14:textFill>
                  <w14:solidFill>
                    <w14:schemeClr w14:val="tx1"/>
                  </w14:solidFill>
                </w14:textFill>
              </w:rPr>
              <w:t>11</w:t>
            </w:r>
            <w:r>
              <w:rPr>
                <w:rFonts w:hint="eastAsia" w:ascii="宋体" w:hAnsi="宋体" w:cs="宋体"/>
                <w:color w:val="000000" w:themeColor="text1"/>
                <w:sz w:val="24"/>
                <w:highlight w:val="none"/>
                <w14:textFill>
                  <w14:solidFill>
                    <w14:schemeClr w14:val="tx1"/>
                  </w14:solidFill>
                </w14:textFill>
              </w:rPr>
              <w:t>月3</w:t>
            </w:r>
            <w:r>
              <w:rPr>
                <w:rFonts w:ascii="宋体" w:hAnsi="宋体" w:cs="宋体"/>
                <w:color w:val="000000" w:themeColor="text1"/>
                <w:sz w:val="24"/>
                <w:highlight w:val="none"/>
                <w14:textFill>
                  <w14:solidFill>
                    <w14:schemeClr w14:val="tx1"/>
                  </w14:solidFill>
                </w14:textFill>
              </w:rPr>
              <w:t>0</w:t>
            </w:r>
            <w:r>
              <w:rPr>
                <w:rFonts w:hint="eastAsia" w:ascii="宋体" w:hAnsi="宋体" w:cs="宋体"/>
                <w:color w:val="000000" w:themeColor="text1"/>
                <w:sz w:val="24"/>
                <w:highlight w:val="none"/>
                <w14:textFill>
                  <w14:solidFill>
                    <w14:schemeClr w14:val="tx1"/>
                  </w14:solidFill>
                </w14:textFill>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p>
        </w:tc>
        <w:tc>
          <w:tcPr>
            <w:tcW w:w="2820" w:type="dxa"/>
            <w:vAlign w:val="center"/>
          </w:tcPr>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评估核准（备案）机构</w:t>
            </w:r>
          </w:p>
        </w:tc>
        <w:tc>
          <w:tcPr>
            <w:tcW w:w="4275" w:type="dxa"/>
            <w:vAlign w:val="center"/>
          </w:tcPr>
          <w:p>
            <w:pPr>
              <w:ind w:firstLine="0" w:firstLineChars="0"/>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台州市椒江区国资委</w:t>
            </w:r>
          </w:p>
          <w:p>
            <w:pPr>
              <w:ind w:firstLine="0" w:firstLineChars="0"/>
              <w:jc w:val="center"/>
              <w:rPr>
                <w:rFonts w:ascii="仿宋_GB2312" w:eastAsia="仿宋_GB2312"/>
                <w:b/>
                <w:color w:val="000000" w:themeColor="text1"/>
                <w:szCs w:val="2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核准□ 备案</w:t>
            </w:r>
            <w:r>
              <w:rPr>
                <w:rFonts w:hint="eastAsia" w:ascii="宋体" w:hAnsi="宋体" w:cs="宋体"/>
                <w:color w:val="000000" w:themeColor="text1"/>
                <w:sz w:val="24"/>
                <w:highlight w:val="none"/>
                <w14:textFill>
                  <w14:solidFill>
                    <w14:schemeClr w14:val="tx1"/>
                  </w14:solidFill>
                </w14:textFill>
              </w:rPr>
              <w:sym w:font="Wingdings 2" w:char="0052"/>
            </w:r>
          </w:p>
        </w:tc>
      </w:tr>
    </w:tbl>
    <w:p>
      <w:pPr>
        <w:ind w:firstLine="422"/>
        <w:rPr>
          <w:rFonts w:ascii="仿宋_GB2312" w:eastAsia="仿宋_GB2312"/>
          <w:b/>
          <w:color w:val="000000" w:themeColor="text1"/>
          <w:szCs w:val="21"/>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五、职工安置</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本次股权转让完成后，职工的劳动合同继续有效，其劳动关系、社会保险及住房公积金关系保持不变。</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六、债权债务处置</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本次股权转让完成后，浙江嘉佑医疗器械有限公司的法人主体未发生变化，为依法存续的有限责任公司。故此，其所有债权、债务依然由浙江嘉佑医疗器械有限公司承继。</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七、竞买人条件</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具有良好的商业信用及支付能力的境内外企业或其他组织。</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八、竞买保证金缴纳、使用、退还</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1、竞买保证金缴纳：竞买人缴付的竞买保证金应在报名截止日前以转账方式缴入。</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2、竞买保证金使用：竞买人竞得标的后，竞买保证金可抵作应支付部分转让款项。</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3、出现下列情形竞买人保证金可在五个工作日内退还（不计息）：</w:t>
      </w:r>
    </w:p>
    <w:p>
      <w:pPr>
        <w:spacing w:line="360" w:lineRule="auto"/>
        <w:ind w:firstLine="565" w:firstLineChars="202"/>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（1）经资格审核，不符合竞买资格的；</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（2）参加竞价并应价但未能竞得标的者；</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（3）竞价转让前，因政策等正当理由取消竞价转让的。</w:t>
      </w:r>
    </w:p>
    <w:p>
      <w:pPr>
        <w:tabs>
          <w:tab w:val="left" w:pos="636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4、出现下列情形竞买人保证金不予退还：</w:t>
      </w:r>
    </w:p>
    <w:p>
      <w:pPr>
        <w:tabs>
          <w:tab w:val="left" w:pos="636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（1）竞买人存在不当行为，包括但不限于：竞买人提供的资料和信息存在虚假、不真实、不具有效力等情形。</w:t>
      </w:r>
    </w:p>
    <w:p>
      <w:pPr>
        <w:tabs>
          <w:tab w:val="left" w:pos="636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（2）竞买人交纳保证金后单方撤回竞买申请的；</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（3）公告期满，产生两个或两个以上符合条件的竞买人时，竞买人交纳保证金后未参加后续竞价程序的；</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（4）在竞价过程中以挂牌底价为起始价格，各竞买人均不应价的；</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（5）被确定为最终受让方后，未按期支付首期成交款项的；</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（6）未按期与出让方签订《成交确定书》和《转让合同》的；</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（7）竞买人存在影响标的正常转让、竞价公正性或其他竞价程序要求的情形的。</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九、报名受理</w:t>
      </w:r>
    </w:p>
    <w:p>
      <w:pPr>
        <w:spacing w:line="360" w:lineRule="auto"/>
        <w:ind w:firstLine="560"/>
        <w:rPr>
          <w:rFonts w:ascii="宋体" w:hAnsi="宋体"/>
          <w:color w:val="000000" w:themeColor="text1"/>
          <w:sz w:val="28"/>
          <w:szCs w:val="28"/>
          <w:highlight w:val="none"/>
          <w14:textFill>
            <w14:solidFill>
              <w14:schemeClr w14:val="tx1"/>
            </w14:solidFill>
          </w14:textFill>
        </w:rPr>
      </w:pPr>
      <w:bookmarkStart w:id="19" w:name="_Hlk25272905"/>
      <w:r>
        <w:rPr>
          <w:rFonts w:hint="eastAsia" w:ascii="宋体" w:hAnsi="宋体"/>
          <w:color w:val="000000" w:themeColor="text1"/>
          <w:sz w:val="28"/>
          <w:szCs w:val="28"/>
          <w:highlight w:val="none"/>
          <w14:textFill>
            <w14:solidFill>
              <w14:schemeClr w14:val="tx1"/>
            </w14:solidFill>
          </w14:textFill>
        </w:rPr>
        <w:t>竞买人应提供下列竞买资料后，台州市产权交易所有限公司（下称“产交所”）予以报名受理，并出具受理通知书。</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1、竞买申请书及承诺函；</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2、竞买人的主体资格证明文件：企业法人须提交有效的企业法人营业执照、法定代表人身份证（复印件加盖竞买人公章）；</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3、章程（复印件加盖竞买人公章）、参加本次股权竞买的内部决策文件及相应批准文件；</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4、其他有关本次批准挂牌转让报名所需的材料；</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5、竞买保证金缴纳依据。</w:t>
      </w:r>
    </w:p>
    <w:bookmarkEnd w:id="19"/>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十、竞买资格审核</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根据竞买人提供的上述资料，产交所在本次股权转让报名截止时间后当日对竞买资格进行审核，并将审核意见书面告知转让方进行征询、确认。</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十一、竞买资格确认</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竞买人的竞买资格经审核后，产交所将审核确认意见即时通知竞买人。</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十二、本次股权挂牌转让按照下列情况确定是否成交</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1、在挂牌报名截止时，只有一个竞买人报名的，竞买人的受让资格经审核合格被确定为受让人后，则在不变更公告挂牌的竞买条件和合同条款的前提下，本次挂牌价或竞买人竞价结果为转让的成交价。</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2、在挂牌报名截止时，无人报名或竞买人经竞买资格审核不符合条件的，则本次股权挂牌转让不成交。</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3、在挂牌报名截止时，有两个或两个以上竞买人报名，竞买人的竞买资格经审核均合格的，则按照本次股权网络竞价规则实施竞价程序，出价最高者为受让方，其出价为本次项目挂牌转让的成交价。</w:t>
      </w:r>
    </w:p>
    <w:p>
      <w:pPr>
        <w:spacing w:line="360" w:lineRule="auto"/>
        <w:ind w:firstLine="560"/>
        <w:rPr>
          <w:rFonts w:ascii="宋体" w:hAnsi="宋体" w:cs="宋体"/>
          <w:bCs/>
          <w:color w:val="000000" w:themeColor="text1"/>
          <w:kern w:val="0"/>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网络竞价时间：</w:t>
      </w:r>
      <w:bookmarkStart w:id="20" w:name="待定13"/>
      <w:r>
        <w:rPr>
          <w:rFonts w:hint="eastAsia" w:ascii="宋体" w:hAnsi="宋体" w:cs="宋体"/>
          <w:bCs/>
          <w:color w:val="000000" w:themeColor="text1"/>
          <w:kern w:val="0"/>
          <w:sz w:val="28"/>
          <w:szCs w:val="28"/>
          <w:highlight w:val="none"/>
          <w14:textFill>
            <w14:solidFill>
              <w14:schemeClr w14:val="tx1"/>
            </w14:solidFill>
          </w14:textFill>
        </w:rPr>
        <w:t>20</w:t>
      </w:r>
      <w:r>
        <w:rPr>
          <w:rFonts w:ascii="宋体" w:hAnsi="宋体" w:cs="宋体"/>
          <w:bCs/>
          <w:color w:val="000000" w:themeColor="text1"/>
          <w:kern w:val="0"/>
          <w:sz w:val="28"/>
          <w:szCs w:val="28"/>
          <w:highlight w:val="none"/>
          <w14:textFill>
            <w14:solidFill>
              <w14:schemeClr w14:val="tx1"/>
            </w14:solidFill>
          </w14:textFill>
        </w:rPr>
        <w:t>20</w:t>
      </w:r>
      <w:r>
        <w:rPr>
          <w:rFonts w:hint="eastAsia" w:ascii="宋体" w:hAnsi="宋体" w:cs="宋体"/>
          <w:bCs/>
          <w:color w:val="000000" w:themeColor="text1"/>
          <w:kern w:val="0"/>
          <w:sz w:val="28"/>
          <w:szCs w:val="28"/>
          <w:highlight w:val="none"/>
          <w14:textFill>
            <w14:solidFill>
              <w14:schemeClr w14:val="tx1"/>
            </w14:solidFill>
          </w14:textFill>
        </w:rPr>
        <w:t>年</w:t>
      </w:r>
      <w:r>
        <w:rPr>
          <w:rFonts w:hint="eastAsia" w:ascii="宋体" w:hAnsi="宋体" w:cs="宋体"/>
          <w:bCs/>
          <w:color w:val="000000" w:themeColor="text1"/>
          <w:kern w:val="0"/>
          <w:sz w:val="28"/>
          <w:szCs w:val="28"/>
          <w:highlight w:val="none"/>
          <w:lang w:val="en-US" w:eastAsia="zh-CN"/>
          <w14:textFill>
            <w14:solidFill>
              <w14:schemeClr w14:val="tx1"/>
            </w14:solidFill>
          </w14:textFill>
        </w:rPr>
        <w:t>4</w:t>
      </w:r>
      <w:r>
        <w:rPr>
          <w:rFonts w:hint="eastAsia" w:ascii="宋体" w:hAnsi="宋体" w:cs="宋体"/>
          <w:bCs/>
          <w:color w:val="000000" w:themeColor="text1"/>
          <w:kern w:val="0"/>
          <w:sz w:val="28"/>
          <w:szCs w:val="28"/>
          <w:highlight w:val="none"/>
          <w14:textFill>
            <w14:solidFill>
              <w14:schemeClr w14:val="tx1"/>
            </w14:solidFill>
          </w14:textFill>
        </w:rPr>
        <w:t>月</w:t>
      </w:r>
      <w:r>
        <w:rPr>
          <w:rFonts w:hint="eastAsia" w:ascii="宋体" w:hAnsi="宋体" w:cs="宋体"/>
          <w:bCs/>
          <w:color w:val="000000" w:themeColor="text1"/>
          <w:kern w:val="0"/>
          <w:sz w:val="28"/>
          <w:szCs w:val="28"/>
          <w:highlight w:val="none"/>
          <w:lang w:val="en-US" w:eastAsia="zh-CN"/>
          <w14:textFill>
            <w14:solidFill>
              <w14:schemeClr w14:val="tx1"/>
            </w14:solidFill>
          </w14:textFill>
        </w:rPr>
        <w:t>15</w:t>
      </w:r>
      <w:r>
        <w:rPr>
          <w:rFonts w:hint="eastAsia" w:ascii="宋体" w:hAnsi="宋体" w:cs="宋体"/>
          <w:bCs/>
          <w:color w:val="000000" w:themeColor="text1"/>
          <w:kern w:val="0"/>
          <w:sz w:val="28"/>
          <w:szCs w:val="28"/>
          <w:highlight w:val="none"/>
          <w14:textFill>
            <w14:solidFill>
              <w14:schemeClr w14:val="tx1"/>
            </w14:solidFill>
          </w14:textFill>
        </w:rPr>
        <w:t>日（星期</w:t>
      </w:r>
      <w:r>
        <w:rPr>
          <w:rFonts w:hint="eastAsia" w:ascii="宋体" w:hAnsi="宋体" w:cs="宋体"/>
          <w:bCs/>
          <w:color w:val="000000" w:themeColor="text1"/>
          <w:kern w:val="0"/>
          <w:sz w:val="28"/>
          <w:szCs w:val="28"/>
          <w:highlight w:val="none"/>
          <w:lang w:val="en-US" w:eastAsia="zh-CN"/>
          <w14:textFill>
            <w14:solidFill>
              <w14:schemeClr w14:val="tx1"/>
            </w14:solidFill>
          </w14:textFill>
        </w:rPr>
        <w:t>三</w:t>
      </w:r>
      <w:r>
        <w:rPr>
          <w:rFonts w:hint="eastAsia" w:ascii="宋体" w:hAnsi="宋体" w:cs="宋体"/>
          <w:bCs/>
          <w:color w:val="000000" w:themeColor="text1"/>
          <w:kern w:val="0"/>
          <w:sz w:val="28"/>
          <w:szCs w:val="28"/>
          <w:highlight w:val="none"/>
          <w14:textFill>
            <w14:solidFill>
              <w14:schemeClr w14:val="tx1"/>
            </w14:solidFill>
          </w14:textFill>
        </w:rPr>
        <w:t>）上午9：30</w:t>
      </w:r>
      <w:bookmarkEnd w:id="20"/>
      <w:r>
        <w:rPr>
          <w:rFonts w:hint="eastAsia" w:ascii="宋体" w:hAnsi="宋体" w:cs="宋体"/>
          <w:bCs/>
          <w:color w:val="000000" w:themeColor="text1"/>
          <w:kern w:val="0"/>
          <w:sz w:val="28"/>
          <w:szCs w:val="28"/>
          <w:highlight w:val="none"/>
          <w14:textFill>
            <w14:solidFill>
              <w14:schemeClr w14:val="tx1"/>
            </w14:solidFill>
          </w14:textFill>
        </w:rPr>
        <w:t>。</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实行网络报名：台州市公共资源交易网（http://www.tzztb.com /tzcms/），现场资格确认。</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资格确认地址：台州市产权交易所（台州市府大道777号民泰商业银行大楼五楼511室）。</w:t>
      </w:r>
    </w:p>
    <w:p>
      <w:pPr>
        <w:spacing w:line="360" w:lineRule="auto"/>
        <w:ind w:firstLine="56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上述成交价不包括买受人在办理相关手续时所发生的税、费等。</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十三、挂牌转让成交后，受让方须两个工作日内签署《成交确认书》和《股权转让合同》。</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十四、交易佣金</w:t>
      </w:r>
    </w:p>
    <w:p>
      <w:pPr>
        <w:spacing w:line="360" w:lineRule="auto"/>
        <w:ind w:firstLine="560"/>
        <w:rPr>
          <w:rFonts w:ascii="宋体" w:hAnsi="宋体"/>
          <w:color w:val="000000" w:themeColor="text1"/>
          <w:sz w:val="28"/>
          <w:szCs w:val="28"/>
          <w:highlight w:val="none"/>
          <w14:textFill>
            <w14:solidFill>
              <w14:schemeClr w14:val="tx1"/>
            </w14:solidFill>
          </w14:textFill>
        </w:rPr>
      </w:pPr>
      <w:bookmarkStart w:id="21" w:name="待定14"/>
      <w:r>
        <w:rPr>
          <w:rFonts w:hint="eastAsia" w:ascii="宋体" w:hAnsi="宋体"/>
          <w:color w:val="000000" w:themeColor="text1"/>
          <w:sz w:val="28"/>
          <w:szCs w:val="28"/>
          <w:highlight w:val="none"/>
          <w14:textFill>
            <w14:solidFill>
              <w14:schemeClr w14:val="tx1"/>
            </w14:solidFill>
          </w14:textFill>
        </w:rPr>
        <w:t>交易佣金为</w:t>
      </w:r>
      <w:bookmarkEnd w:id="21"/>
      <w:r>
        <w:rPr>
          <w:rFonts w:hint="eastAsia" w:ascii="宋体" w:hAnsi="宋体"/>
          <w:color w:val="000000" w:themeColor="text1"/>
          <w:sz w:val="28"/>
          <w:szCs w:val="28"/>
          <w:highlight w:val="none"/>
          <w:lang w:val="en-US" w:eastAsia="zh-CN"/>
          <w14:textFill>
            <w14:solidFill>
              <w14:schemeClr w14:val="tx1"/>
            </w14:solidFill>
          </w14:textFill>
        </w:rPr>
        <w:t>成交价格的0.34%，在双方</w:t>
      </w:r>
      <w:r>
        <w:rPr>
          <w:rFonts w:hint="eastAsia" w:ascii="宋体" w:hAnsi="宋体"/>
          <w:color w:val="000000" w:themeColor="text1"/>
          <w:sz w:val="28"/>
          <w:szCs w:val="28"/>
          <w:highlight w:val="none"/>
          <w14:textFill>
            <w14:solidFill>
              <w14:schemeClr w14:val="tx1"/>
            </w14:solidFill>
          </w14:textFill>
        </w:rPr>
        <w:t>签订《股权转让合同》生效后五个工作日内一次性付清。</w:t>
      </w:r>
    </w:p>
    <w:p>
      <w:pPr>
        <w:numPr>
          <w:ilvl w:val="0"/>
          <w:numId w:val="3"/>
        </w:num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付款方式</w:t>
      </w:r>
    </w:p>
    <w:p>
      <w:pPr>
        <w:numPr>
          <w:ilvl w:val="255"/>
          <w:numId w:val="0"/>
        </w:numPr>
        <w:tabs>
          <w:tab w:val="left" w:pos="696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受让方与出让方的《股权转让合同》签订生效后(如需</w:t>
      </w:r>
      <w:r>
        <w:rPr>
          <w:rFonts w:ascii="宋体" w:hAnsi="宋体"/>
          <w:color w:val="000000" w:themeColor="text1"/>
          <w:sz w:val="28"/>
          <w:szCs w:val="28"/>
          <w:highlight w:val="none"/>
          <w14:textFill>
            <w14:solidFill>
              <w14:schemeClr w14:val="tx1"/>
            </w14:solidFill>
          </w14:textFill>
        </w:rPr>
        <w:t>相关政府主管部门</w:t>
      </w:r>
      <w:r>
        <w:rPr>
          <w:rFonts w:hint="eastAsia" w:ascii="宋体" w:hAnsi="宋体"/>
          <w:color w:val="000000" w:themeColor="text1"/>
          <w:sz w:val="28"/>
          <w:szCs w:val="28"/>
          <w:highlight w:val="none"/>
          <w14:textFill>
            <w14:solidFill>
              <w14:schemeClr w14:val="tx1"/>
            </w14:solidFill>
          </w14:textFill>
        </w:rPr>
        <w:t>批准</w:t>
      </w:r>
      <w:r>
        <w:rPr>
          <w:rFonts w:ascii="宋体" w:hAnsi="宋体"/>
          <w:color w:val="000000" w:themeColor="text1"/>
          <w:sz w:val="28"/>
          <w:szCs w:val="28"/>
          <w:highlight w:val="none"/>
          <w14:textFill>
            <w14:solidFill>
              <w14:schemeClr w14:val="tx1"/>
            </w14:solidFill>
          </w14:textFill>
        </w:rPr>
        <w:t>、登记</w:t>
      </w:r>
      <w:r>
        <w:rPr>
          <w:rFonts w:hint="eastAsia" w:ascii="宋体" w:hAnsi="宋体"/>
          <w:color w:val="000000" w:themeColor="text1"/>
          <w:sz w:val="28"/>
          <w:szCs w:val="28"/>
          <w:highlight w:val="none"/>
          <w14:textFill>
            <w14:solidFill>
              <w14:schemeClr w14:val="tx1"/>
            </w14:solidFill>
          </w14:textFill>
        </w:rPr>
        <w:t>及/</w:t>
      </w:r>
      <w:r>
        <w:rPr>
          <w:rFonts w:ascii="宋体" w:hAnsi="宋体"/>
          <w:color w:val="000000" w:themeColor="text1"/>
          <w:sz w:val="28"/>
          <w:szCs w:val="28"/>
          <w:highlight w:val="none"/>
          <w14:textFill>
            <w14:solidFill>
              <w14:schemeClr w14:val="tx1"/>
            </w14:solidFill>
          </w14:textFill>
        </w:rPr>
        <w:t>或备案的，则在政府主管部门</w:t>
      </w:r>
      <w:r>
        <w:rPr>
          <w:rFonts w:hint="eastAsia" w:ascii="宋体" w:hAnsi="宋体"/>
          <w:color w:val="000000" w:themeColor="text1"/>
          <w:sz w:val="28"/>
          <w:szCs w:val="28"/>
          <w:highlight w:val="none"/>
          <w14:textFill>
            <w14:solidFill>
              <w14:schemeClr w14:val="tx1"/>
            </w14:solidFill>
          </w14:textFill>
        </w:rPr>
        <w:t>批准</w:t>
      </w:r>
      <w:r>
        <w:rPr>
          <w:rFonts w:ascii="宋体" w:hAnsi="宋体"/>
          <w:color w:val="000000" w:themeColor="text1"/>
          <w:sz w:val="28"/>
          <w:szCs w:val="28"/>
          <w:highlight w:val="none"/>
          <w14:textFill>
            <w14:solidFill>
              <w14:schemeClr w14:val="tx1"/>
            </w14:solidFill>
          </w14:textFill>
        </w:rPr>
        <w:t>、登记</w:t>
      </w:r>
      <w:r>
        <w:rPr>
          <w:rFonts w:hint="eastAsia" w:ascii="宋体" w:hAnsi="宋体"/>
          <w:color w:val="000000" w:themeColor="text1"/>
          <w:sz w:val="28"/>
          <w:szCs w:val="28"/>
          <w:highlight w:val="none"/>
          <w14:textFill>
            <w14:solidFill>
              <w14:schemeClr w14:val="tx1"/>
            </w14:solidFill>
          </w14:textFill>
        </w:rPr>
        <w:t>及/</w:t>
      </w:r>
      <w:r>
        <w:rPr>
          <w:rFonts w:ascii="宋体" w:hAnsi="宋体"/>
          <w:color w:val="000000" w:themeColor="text1"/>
          <w:sz w:val="28"/>
          <w:szCs w:val="28"/>
          <w:highlight w:val="none"/>
          <w14:textFill>
            <w14:solidFill>
              <w14:schemeClr w14:val="tx1"/>
            </w14:solidFill>
          </w14:textFill>
        </w:rPr>
        <w:t>或备案</w:t>
      </w:r>
      <w:r>
        <w:rPr>
          <w:rFonts w:hint="eastAsia" w:ascii="宋体" w:hAnsi="宋体"/>
          <w:color w:val="000000" w:themeColor="text1"/>
          <w:sz w:val="28"/>
          <w:szCs w:val="28"/>
          <w:highlight w:val="none"/>
          <w14:textFill>
            <w14:solidFill>
              <w14:schemeClr w14:val="tx1"/>
            </w14:solidFill>
          </w14:textFill>
        </w:rPr>
        <w:t>后）五个工作日内支付本次股权转让成交价款及交易佣金。</w:t>
      </w:r>
    </w:p>
    <w:p>
      <w:pPr>
        <w:spacing w:line="500" w:lineRule="atLeast"/>
        <w:ind w:firstLine="560"/>
        <w:rPr>
          <w:bCs/>
          <w:color w:val="000000" w:themeColor="text1"/>
          <w:sz w:val="28"/>
          <w:szCs w:val="28"/>
          <w:highlight w:val="none"/>
          <w14:textFill>
            <w14:solidFill>
              <w14:schemeClr w14:val="tx1"/>
            </w14:solidFill>
          </w14:textFill>
        </w:rPr>
      </w:pPr>
      <w:r>
        <w:rPr>
          <w:rFonts w:hint="eastAsia"/>
          <w:bCs/>
          <w:color w:val="000000" w:themeColor="text1"/>
          <w:sz w:val="28"/>
          <w:szCs w:val="28"/>
          <w:highlight w:val="none"/>
          <w14:textFill>
            <w14:solidFill>
              <w14:schemeClr w14:val="tx1"/>
            </w14:solidFill>
          </w14:textFill>
        </w:rPr>
        <w:t>受让方为境内竞买人的，成交款缴入账户（</w:t>
      </w:r>
      <w:r>
        <w:rPr>
          <w:rFonts w:hint="eastAsia" w:ascii="宋体" w:hAnsi="宋体"/>
          <w:bCs/>
          <w:color w:val="000000" w:themeColor="text1"/>
          <w:sz w:val="28"/>
          <w:szCs w:val="28"/>
          <w:highlight w:val="none"/>
          <w14:textFill>
            <w14:solidFill>
              <w14:schemeClr w14:val="tx1"/>
            </w14:solidFill>
          </w14:textFill>
        </w:rPr>
        <w:t>人民币开户</w:t>
      </w:r>
      <w:r>
        <w:rPr>
          <w:rFonts w:hint="eastAsia" w:ascii="宋体" w:hAnsi="宋体"/>
          <w:b/>
          <w:bCs/>
          <w:color w:val="000000" w:themeColor="text1"/>
          <w:sz w:val="28"/>
          <w:szCs w:val="28"/>
          <w:highlight w:val="none"/>
          <w14:textFill>
            <w14:solidFill>
              <w14:schemeClr w14:val="tx1"/>
            </w14:solidFill>
          </w14:textFill>
        </w:rPr>
        <w:t>单位名称：台州市产权交易所有限公司，人民币开户行：</w:t>
      </w:r>
      <w:r>
        <w:rPr>
          <w:rFonts w:ascii="宋体" w:hAnsi="宋体"/>
          <w:b/>
          <w:bCs/>
          <w:color w:val="000000" w:themeColor="text1"/>
          <w:sz w:val="28"/>
          <w:szCs w:val="28"/>
          <w:highlight w:val="none"/>
          <w14:textFill>
            <w14:solidFill>
              <w14:schemeClr w14:val="tx1"/>
            </w14:solidFill>
          </w14:textFill>
        </w:rPr>
        <w:t>浙江民泰商业银行台州椒江支行</w:t>
      </w:r>
      <w:r>
        <w:rPr>
          <w:rFonts w:hint="eastAsia" w:ascii="宋体" w:hAnsi="宋体"/>
          <w:b/>
          <w:bCs/>
          <w:color w:val="000000" w:themeColor="text1"/>
          <w:sz w:val="28"/>
          <w:szCs w:val="28"/>
          <w:highlight w:val="none"/>
          <w14:textFill>
            <w14:solidFill>
              <w14:schemeClr w14:val="tx1"/>
            </w14:solidFill>
          </w14:textFill>
        </w:rPr>
        <w:t>，人民币账号：</w:t>
      </w:r>
      <w:r>
        <w:rPr>
          <w:rFonts w:ascii="宋体" w:hAnsi="宋体"/>
          <w:b/>
          <w:bCs/>
          <w:color w:val="000000" w:themeColor="text1"/>
          <w:sz w:val="28"/>
          <w:szCs w:val="28"/>
          <w:highlight w:val="none"/>
          <w14:textFill>
            <w14:solidFill>
              <w14:schemeClr w14:val="tx1"/>
            </w14:solidFill>
          </w14:textFill>
        </w:rPr>
        <w:t>583016260</w:t>
      </w:r>
      <w:r>
        <w:rPr>
          <w:rFonts w:hint="eastAsia" w:ascii="宋体" w:hAnsi="宋体"/>
          <w:b/>
          <w:bCs/>
          <w:color w:val="000000" w:themeColor="text1"/>
          <w:sz w:val="28"/>
          <w:szCs w:val="28"/>
          <w:highlight w:val="none"/>
          <w14:textFill>
            <w14:solidFill>
              <w14:schemeClr w14:val="tx1"/>
            </w14:solidFill>
          </w14:textFill>
        </w:rPr>
        <w:t>8</w:t>
      </w:r>
      <w:r>
        <w:rPr>
          <w:rFonts w:ascii="宋体" w:hAnsi="宋体"/>
          <w:b/>
          <w:bCs/>
          <w:color w:val="000000" w:themeColor="text1"/>
          <w:sz w:val="28"/>
          <w:szCs w:val="28"/>
          <w:highlight w:val="none"/>
          <w14:textFill>
            <w14:solidFill>
              <w14:schemeClr w14:val="tx1"/>
            </w14:solidFill>
          </w14:textFill>
        </w:rPr>
        <w:t>000</w:t>
      </w:r>
      <w:r>
        <w:rPr>
          <w:rFonts w:hint="eastAsia" w:ascii="宋体" w:hAnsi="宋体"/>
          <w:b/>
          <w:bCs/>
          <w:color w:val="000000" w:themeColor="text1"/>
          <w:sz w:val="28"/>
          <w:szCs w:val="28"/>
          <w:highlight w:val="none"/>
          <w14:textFill>
            <w14:solidFill>
              <w14:schemeClr w14:val="tx1"/>
            </w14:solidFill>
          </w14:textFill>
        </w:rPr>
        <w:t>28）</w:t>
      </w:r>
      <w:r>
        <w:rPr>
          <w:rFonts w:hint="eastAsia"/>
          <w:bCs/>
          <w:color w:val="000000" w:themeColor="text1"/>
          <w:sz w:val="28"/>
          <w:szCs w:val="28"/>
          <w:highlight w:val="none"/>
          <w14:textFill>
            <w14:solidFill>
              <w14:schemeClr w14:val="tx1"/>
            </w14:solidFill>
          </w14:textFill>
        </w:rPr>
        <w:t>。</w:t>
      </w:r>
    </w:p>
    <w:p>
      <w:pPr>
        <w:numPr>
          <w:ilvl w:val="255"/>
          <w:numId w:val="0"/>
        </w:numPr>
        <w:spacing w:line="500" w:lineRule="atLeast"/>
        <w:ind w:firstLine="560"/>
        <w:jc w:val="left"/>
        <w:rPr>
          <w:rFonts w:ascii="宋体" w:hAnsi="宋体"/>
          <w:color w:val="000000" w:themeColor="text1"/>
          <w:sz w:val="28"/>
          <w:szCs w:val="28"/>
          <w:highlight w:val="none"/>
          <w14:textFill>
            <w14:solidFill>
              <w14:schemeClr w14:val="tx1"/>
            </w14:solidFill>
          </w14:textFill>
        </w:rPr>
      </w:pPr>
      <w:r>
        <w:rPr>
          <w:rFonts w:hint="eastAsia"/>
          <w:bCs/>
          <w:color w:val="000000" w:themeColor="text1"/>
          <w:sz w:val="28"/>
          <w:szCs w:val="28"/>
          <w:highlight w:val="none"/>
          <w14:textFill>
            <w14:solidFill>
              <w14:schemeClr w14:val="tx1"/>
            </w14:solidFill>
          </w14:textFill>
        </w:rPr>
        <w:t>受让方为境外竞买人的，以外币支付股权转让价款，在转让方</w:t>
      </w:r>
      <w:r>
        <w:rPr>
          <w:rFonts w:hint="eastAsia" w:ascii="宋体" w:hAnsi="宋体"/>
          <w:bCs/>
          <w:color w:val="000000" w:themeColor="text1"/>
          <w:sz w:val="28"/>
          <w:szCs w:val="28"/>
          <w:highlight w:val="none"/>
          <w14:textFill>
            <w14:solidFill>
              <w14:schemeClr w14:val="tx1"/>
            </w14:solidFill>
          </w14:textFill>
        </w:rPr>
        <w:t>浙江海正药业股份有限公司</w:t>
      </w:r>
      <w:r>
        <w:rPr>
          <w:rFonts w:hint="eastAsia"/>
          <w:bCs/>
          <w:color w:val="000000" w:themeColor="text1"/>
          <w:sz w:val="28"/>
          <w:szCs w:val="28"/>
          <w:highlight w:val="none"/>
          <w14:textFill>
            <w14:solidFill>
              <w14:schemeClr w14:val="tx1"/>
            </w14:solidFill>
          </w14:textFill>
        </w:rPr>
        <w:t>开具外币资本账户后五个工作日内支付。</w:t>
      </w:r>
    </w:p>
    <w:p>
      <w:pPr>
        <w:numPr>
          <w:ilvl w:val="255"/>
          <w:numId w:val="0"/>
        </w:numPr>
        <w:tabs>
          <w:tab w:val="left" w:pos="6960"/>
        </w:tabs>
        <w:spacing w:line="360" w:lineRule="auto"/>
        <w:ind w:firstLine="560"/>
        <w:jc w:val="left"/>
        <w:rPr>
          <w:rFonts w:ascii="宋体" w:hAnsi="宋体"/>
          <w:b/>
          <w:bCs/>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受让方先期缴纳的竞买保证金转为履约保证金并可抵作部分转让价款。</w:t>
      </w:r>
    </w:p>
    <w:p>
      <w:pPr>
        <w:spacing w:line="360" w:lineRule="auto"/>
        <w:ind w:firstLine="0" w:firstLineChars="0"/>
        <w:rPr>
          <w:rFonts w:ascii="宋体" w:hAnsi="宋体"/>
          <w:bCs/>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十六、</w:t>
      </w:r>
      <w:r>
        <w:rPr>
          <w:rFonts w:hint="eastAsia" w:ascii="宋体" w:hAnsi="宋体"/>
          <w:bCs/>
          <w:color w:val="000000" w:themeColor="text1"/>
          <w:sz w:val="28"/>
          <w:szCs w:val="28"/>
          <w:highlight w:val="none"/>
          <w14:textFill>
            <w14:solidFill>
              <w14:schemeClr w14:val="tx1"/>
            </w14:solidFill>
          </w14:textFill>
        </w:rPr>
        <w:t>股权转让的移交、交割与清算</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1、本次股权转让的交接，在出让方与受让方之间进行。受让方负责向产交所指定账户付清本次股权转让竞买保证金，且受让方付清其应承担的交易佣金后，产交所审核后向受让方出具本次股权转让的《产权交易凭证》，受让方方能要求与出让方办理股权挂牌转让标的交接手续。</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2、股权转让交割日：工商变更登记之日为股权转让交割日，表示本次股权转让交割完毕。</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3、股权转让评估基准日（20</w:t>
      </w:r>
      <w:r>
        <w:rPr>
          <w:rFonts w:ascii="宋体" w:hAnsi="宋体"/>
          <w:bCs/>
          <w:color w:val="000000" w:themeColor="text1"/>
          <w:sz w:val="28"/>
          <w:szCs w:val="28"/>
          <w:highlight w:val="none"/>
          <w14:textFill>
            <w14:solidFill>
              <w14:schemeClr w14:val="tx1"/>
            </w14:solidFill>
          </w14:textFill>
        </w:rPr>
        <w:t>19</w:t>
      </w:r>
      <w:r>
        <w:rPr>
          <w:rFonts w:hint="eastAsia" w:ascii="宋体" w:hAnsi="宋体"/>
          <w:bCs/>
          <w:color w:val="000000" w:themeColor="text1"/>
          <w:sz w:val="28"/>
          <w:szCs w:val="28"/>
          <w:highlight w:val="none"/>
          <w14:textFill>
            <w14:solidFill>
              <w14:schemeClr w14:val="tx1"/>
            </w14:solidFill>
          </w14:textFill>
        </w:rPr>
        <w:t>年</w:t>
      </w:r>
      <w:r>
        <w:rPr>
          <w:rFonts w:ascii="宋体" w:hAnsi="宋体"/>
          <w:bCs/>
          <w:color w:val="000000" w:themeColor="text1"/>
          <w:sz w:val="28"/>
          <w:szCs w:val="28"/>
          <w:highlight w:val="none"/>
          <w14:textFill>
            <w14:solidFill>
              <w14:schemeClr w14:val="tx1"/>
            </w14:solidFill>
          </w14:textFill>
        </w:rPr>
        <w:t>11</w:t>
      </w:r>
      <w:r>
        <w:rPr>
          <w:rFonts w:hint="eastAsia" w:ascii="宋体" w:hAnsi="宋体"/>
          <w:bCs/>
          <w:color w:val="000000" w:themeColor="text1"/>
          <w:sz w:val="28"/>
          <w:szCs w:val="28"/>
          <w:highlight w:val="none"/>
          <w14:textFill>
            <w14:solidFill>
              <w14:schemeClr w14:val="tx1"/>
            </w14:solidFill>
          </w14:textFill>
        </w:rPr>
        <w:t>月3</w:t>
      </w:r>
      <w:r>
        <w:rPr>
          <w:rFonts w:ascii="宋体" w:hAnsi="宋体"/>
          <w:bCs/>
          <w:color w:val="000000" w:themeColor="text1"/>
          <w:sz w:val="28"/>
          <w:szCs w:val="28"/>
          <w:highlight w:val="none"/>
          <w14:textFill>
            <w14:solidFill>
              <w14:schemeClr w14:val="tx1"/>
            </w14:solidFill>
          </w14:textFill>
        </w:rPr>
        <w:t>0</w:t>
      </w:r>
      <w:r>
        <w:rPr>
          <w:rFonts w:hint="eastAsia" w:ascii="宋体" w:hAnsi="宋体"/>
          <w:bCs/>
          <w:color w:val="000000" w:themeColor="text1"/>
          <w:sz w:val="28"/>
          <w:szCs w:val="28"/>
          <w:highlight w:val="none"/>
          <w14:textFill>
            <w14:solidFill>
              <w14:schemeClr w14:val="tx1"/>
            </w14:solidFill>
          </w14:textFill>
        </w:rPr>
        <w:t>日）至股权转让交割日期间，标的企业经营损益不再进行审计清算，相关权利和义务由受让方按照受让</w:t>
      </w:r>
      <w:r>
        <w:rPr>
          <w:rFonts w:ascii="宋体" w:hAnsi="宋体"/>
          <w:bCs/>
          <w:color w:val="000000" w:themeColor="text1"/>
          <w:sz w:val="28"/>
          <w:szCs w:val="28"/>
          <w:highlight w:val="none"/>
          <w14:textFill>
            <w14:solidFill>
              <w14:schemeClr w14:val="tx1"/>
            </w14:solidFill>
          </w14:textFill>
        </w:rPr>
        <w:t>股权比例</w:t>
      </w:r>
      <w:r>
        <w:rPr>
          <w:rFonts w:hint="eastAsia" w:ascii="宋体" w:hAnsi="宋体"/>
          <w:bCs/>
          <w:color w:val="000000" w:themeColor="text1"/>
          <w:sz w:val="28"/>
          <w:szCs w:val="28"/>
          <w:highlight w:val="none"/>
          <w14:textFill>
            <w14:solidFill>
              <w14:schemeClr w14:val="tx1"/>
            </w14:solidFill>
          </w14:textFill>
        </w:rPr>
        <w:t>享有或承担。</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十七</w:t>
      </w:r>
      <w:r>
        <w:rPr>
          <w:rFonts w:hint="eastAsia" w:ascii="宋体" w:hAnsi="宋体"/>
          <w:bCs/>
          <w:color w:val="000000" w:themeColor="text1"/>
          <w:sz w:val="28"/>
          <w:szCs w:val="28"/>
          <w:highlight w:val="none"/>
          <w14:textFill>
            <w14:solidFill>
              <w14:schemeClr w14:val="tx1"/>
            </w14:solidFill>
          </w14:textFill>
        </w:rPr>
        <w:t>、股权变更登记</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受让方取得产交所出具的《产权交易凭证》后，应在出让方及</w:t>
      </w:r>
      <w:r>
        <w:rPr>
          <w:rFonts w:ascii="宋体" w:hAnsi="宋体"/>
          <w:bCs/>
          <w:color w:val="000000" w:themeColor="text1"/>
          <w:sz w:val="28"/>
          <w:szCs w:val="28"/>
          <w:highlight w:val="none"/>
          <w14:textFill>
            <w14:solidFill>
              <w14:schemeClr w14:val="tx1"/>
            </w14:solidFill>
          </w14:textFill>
        </w:rPr>
        <w:t>标的公司</w:t>
      </w:r>
      <w:r>
        <w:rPr>
          <w:rFonts w:hint="eastAsia" w:ascii="宋体" w:hAnsi="宋体"/>
          <w:bCs/>
          <w:color w:val="000000" w:themeColor="text1"/>
          <w:sz w:val="28"/>
          <w:szCs w:val="28"/>
          <w:highlight w:val="none"/>
          <w14:textFill>
            <w14:solidFill>
              <w14:schemeClr w14:val="tx1"/>
            </w14:solidFill>
          </w14:textFill>
        </w:rPr>
        <w:t>配合协助下自行办妥股权转让法律程序必备的文件资料，并上报有关部门进行股权变更登记申请手续。股权变更所发生的费用（除法律、法规规定应由转让方承担的税金及</w:t>
      </w:r>
      <w:r>
        <w:rPr>
          <w:rFonts w:ascii="宋体" w:hAnsi="宋体"/>
          <w:bCs/>
          <w:color w:val="000000" w:themeColor="text1"/>
          <w:sz w:val="28"/>
          <w:szCs w:val="28"/>
          <w:highlight w:val="none"/>
          <w14:textFill>
            <w14:solidFill>
              <w14:schemeClr w14:val="tx1"/>
            </w14:solidFill>
          </w14:textFill>
        </w:rPr>
        <w:t>由双方承担的</w:t>
      </w:r>
      <w:r>
        <w:rPr>
          <w:rFonts w:hint="eastAsia" w:ascii="宋体" w:hAnsi="宋体"/>
          <w:bCs/>
          <w:color w:val="000000" w:themeColor="text1"/>
          <w:sz w:val="28"/>
          <w:szCs w:val="28"/>
          <w:highlight w:val="none"/>
          <w14:textFill>
            <w14:solidFill>
              <w14:schemeClr w14:val="tx1"/>
            </w14:solidFill>
          </w14:textFill>
        </w:rPr>
        <w:t>交易</w:t>
      </w:r>
      <w:r>
        <w:rPr>
          <w:rFonts w:ascii="宋体" w:hAnsi="宋体"/>
          <w:bCs/>
          <w:color w:val="000000" w:themeColor="text1"/>
          <w:sz w:val="28"/>
          <w:szCs w:val="28"/>
          <w:highlight w:val="none"/>
          <w14:textFill>
            <w14:solidFill>
              <w14:schemeClr w14:val="tx1"/>
            </w14:solidFill>
          </w14:textFill>
        </w:rPr>
        <w:t>佣金</w:t>
      </w:r>
      <w:r>
        <w:rPr>
          <w:rFonts w:hint="eastAsia" w:ascii="宋体" w:hAnsi="宋体"/>
          <w:bCs/>
          <w:color w:val="000000" w:themeColor="text1"/>
          <w:sz w:val="28"/>
          <w:szCs w:val="28"/>
          <w:highlight w:val="none"/>
          <w14:textFill>
            <w14:solidFill>
              <w14:schemeClr w14:val="tx1"/>
            </w14:solidFill>
          </w14:textFill>
        </w:rPr>
        <w:t>外）由标的公司承担。</w:t>
      </w:r>
    </w:p>
    <w:p>
      <w:pPr>
        <w:tabs>
          <w:tab w:val="left" w:pos="8222"/>
        </w:tabs>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十九、违约责任</w:t>
      </w:r>
    </w:p>
    <w:p>
      <w:pPr>
        <w:spacing w:line="360" w:lineRule="auto"/>
        <w:ind w:firstLine="560"/>
        <w:rPr>
          <w:rFonts w:ascii="宋体" w:hAnsi="宋体"/>
          <w:bCs/>
          <w:color w:val="000000" w:themeColor="text1"/>
          <w:sz w:val="28"/>
          <w:szCs w:val="28"/>
          <w:highlight w:val="none"/>
          <w:u w:val="singl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竞买人撤回报价或成交后拒绝签署《成交确认书》、《股权转让合同》，视为其毁约，产交所有权追究其违约责任；受让方逾期支付首期股权转让成交款项的，视为受让方根本违约；出让方有权解除《股权转让合同》，产权交易所有权解除《成交确认书》，保证金不予退还。</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二十、竞买人应仔细分析投资风险。请竞买人自行对标的企业的资产、负债、经营以及相关政策等情况进行全面考察和了解。一旦报名，即表明竞买人自愿承担投资风险和责任。</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二十一、本次挂牌转让是经公告后才举行的，挂牌转让标的涉及的相关资产、负债以现状为准。故产交所对本次挂牌转让标的涉及的相关资产、负债的状态及品质不作担保，也不承担瑕疵的担保责任。</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二十二、凡参加本次挂牌转让的竞买人，即表明已全部了解《浙江嘉佑医疗器械有限公司33.33%股权转让文件》所涉及的相关资料，并愿意履行有关的义务；表明对转让标的已充分了解，并愿意承担投资风险和责任。</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二十三、本次转让文件的最终解释权归委托方和台州市产权交易所。</w:t>
      </w:r>
    </w:p>
    <w:p>
      <w:pPr>
        <w:spacing w:line="360" w:lineRule="auto"/>
        <w:ind w:firstLine="560"/>
        <w:jc w:val="right"/>
        <w:rPr>
          <w:rFonts w:hint="eastAsia" w:ascii="宋体" w:hAnsi="宋体"/>
          <w:bCs/>
          <w:color w:val="000000" w:themeColor="text1"/>
          <w:sz w:val="28"/>
          <w:szCs w:val="28"/>
          <w:highlight w:val="none"/>
          <w14:textFill>
            <w14:solidFill>
              <w14:schemeClr w14:val="tx1"/>
            </w14:solidFill>
          </w14:textFill>
        </w:rPr>
      </w:pPr>
    </w:p>
    <w:p>
      <w:pPr>
        <w:spacing w:line="360" w:lineRule="auto"/>
        <w:ind w:firstLine="560"/>
        <w:jc w:val="right"/>
        <w:rPr>
          <w:rFonts w:ascii="宋体" w:hAnsi="宋体"/>
          <w:bCs/>
          <w:color w:val="000000" w:themeColor="text1"/>
          <w:sz w:val="28"/>
          <w:szCs w:val="28"/>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t>台州市产权交易所有限公司</w:t>
      </w:r>
    </w:p>
    <w:p>
      <w:pPr>
        <w:spacing w:line="360" w:lineRule="auto"/>
        <w:ind w:firstLine="560"/>
        <w:jc w:val="right"/>
        <w:rPr>
          <w:rFonts w:hint="eastAsia" w:ascii="宋体" w:hAnsi="宋体"/>
          <w:bCs/>
          <w:color w:val="000000" w:themeColor="text1"/>
          <w:sz w:val="28"/>
          <w:szCs w:val="28"/>
          <w:highlight w:val="none"/>
          <w14:textFill>
            <w14:solidFill>
              <w14:schemeClr w14:val="tx1"/>
            </w14:solidFill>
          </w14:textFill>
        </w:rPr>
      </w:pPr>
      <w:bookmarkStart w:id="22" w:name="待定15"/>
      <w:r>
        <w:rPr>
          <w:rFonts w:hint="eastAsia" w:ascii="宋体" w:hAnsi="宋体"/>
          <w:bCs/>
          <w:color w:val="000000" w:themeColor="text1"/>
          <w:sz w:val="28"/>
          <w:szCs w:val="28"/>
          <w:highlight w:val="none"/>
          <w14:textFill>
            <w14:solidFill>
              <w14:schemeClr w14:val="tx1"/>
            </w14:solidFill>
          </w14:textFill>
        </w:rPr>
        <w:t>二○二〇年</w:t>
      </w:r>
      <w:r>
        <w:rPr>
          <w:rFonts w:hint="eastAsia" w:ascii="宋体" w:hAnsi="宋体"/>
          <w:bCs/>
          <w:color w:val="000000" w:themeColor="text1"/>
          <w:sz w:val="28"/>
          <w:szCs w:val="28"/>
          <w:highlight w:val="none"/>
          <w:lang w:val="en-US" w:eastAsia="zh-CN"/>
          <w14:textFill>
            <w14:solidFill>
              <w14:schemeClr w14:val="tx1"/>
            </w14:solidFill>
          </w14:textFill>
        </w:rPr>
        <w:t>三</w:t>
      </w:r>
      <w:r>
        <w:rPr>
          <w:rFonts w:hint="eastAsia" w:ascii="宋体" w:hAnsi="宋体"/>
          <w:bCs/>
          <w:color w:val="000000" w:themeColor="text1"/>
          <w:sz w:val="28"/>
          <w:szCs w:val="28"/>
          <w:highlight w:val="none"/>
          <w14:textFill>
            <w14:solidFill>
              <w14:schemeClr w14:val="tx1"/>
            </w14:solidFill>
          </w14:textFill>
        </w:rPr>
        <w:t>月</w:t>
      </w:r>
      <w:r>
        <w:rPr>
          <w:rFonts w:hint="eastAsia" w:ascii="宋体" w:hAnsi="宋体"/>
          <w:bCs/>
          <w:color w:val="000000" w:themeColor="text1"/>
          <w:sz w:val="28"/>
          <w:szCs w:val="28"/>
          <w:highlight w:val="none"/>
          <w:lang w:val="en-US" w:eastAsia="zh-CN"/>
          <w14:textFill>
            <w14:solidFill>
              <w14:schemeClr w14:val="tx1"/>
            </w14:solidFill>
          </w14:textFill>
        </w:rPr>
        <w:t>一十六</w:t>
      </w:r>
      <w:r>
        <w:rPr>
          <w:rFonts w:hint="eastAsia" w:ascii="宋体" w:hAnsi="宋体"/>
          <w:bCs/>
          <w:color w:val="000000" w:themeColor="text1"/>
          <w:sz w:val="28"/>
          <w:szCs w:val="28"/>
          <w:highlight w:val="none"/>
          <w14:textFill>
            <w14:solidFill>
              <w14:schemeClr w14:val="tx1"/>
            </w14:solidFill>
          </w14:textFill>
        </w:rPr>
        <w:t>日</w:t>
      </w:r>
      <w:bookmarkEnd w:id="22"/>
    </w:p>
    <w:p>
      <w:pPr>
        <w:spacing w:line="360" w:lineRule="auto"/>
        <w:ind w:firstLine="560"/>
        <w:jc w:val="left"/>
        <w:rPr>
          <w:color w:val="000000" w:themeColor="text1"/>
          <w:highlight w:val="none"/>
          <w14:textFill>
            <w14:solidFill>
              <w14:schemeClr w14:val="tx1"/>
            </w14:solidFill>
          </w14:textFill>
        </w:rPr>
      </w:pPr>
      <w:r>
        <w:rPr>
          <w:rFonts w:hint="eastAsia" w:ascii="宋体" w:hAnsi="宋体"/>
          <w:bCs/>
          <w:color w:val="000000" w:themeColor="text1"/>
          <w:sz w:val="28"/>
          <w:szCs w:val="28"/>
          <w:highlight w:val="none"/>
          <w14:textFill>
            <w14:solidFill>
              <w14:schemeClr w14:val="tx1"/>
            </w14:solidFill>
          </w14:textFill>
        </w:rPr>
        <w:br w:type="page"/>
      </w:r>
    </w:p>
    <w:p>
      <w:pPr>
        <w:pStyle w:val="2"/>
        <w:spacing w:before="100" w:beforeAutospacing="1" w:after="100" w:afterAutospacing="1" w:line="360" w:lineRule="auto"/>
        <w:jc w:val="center"/>
        <w:rPr>
          <w:color w:val="000000" w:themeColor="text1"/>
          <w:sz w:val="36"/>
          <w:highlight w:val="none"/>
          <w14:textFill>
            <w14:solidFill>
              <w14:schemeClr w14:val="tx1"/>
            </w14:solidFill>
          </w14:textFill>
        </w:rPr>
      </w:pPr>
      <w:bookmarkStart w:id="23" w:name="_Toc528773692"/>
      <w:bookmarkStart w:id="24" w:name="_Toc4182"/>
      <w:bookmarkStart w:id="25" w:name="_Toc6233"/>
      <w:r>
        <w:rPr>
          <w:rFonts w:hint="eastAsia"/>
          <w:color w:val="000000" w:themeColor="text1"/>
          <w:sz w:val="36"/>
          <w:highlight w:val="none"/>
          <w14:textFill>
            <w14:solidFill>
              <w14:schemeClr w14:val="tx1"/>
            </w14:solidFill>
          </w14:textFill>
        </w:rPr>
        <w:t>竞买申请书</w:t>
      </w:r>
      <w:bookmarkEnd w:id="23"/>
      <w:bookmarkEnd w:id="24"/>
      <w:bookmarkEnd w:id="25"/>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台州市产权交易所有限公司：</w:t>
      </w:r>
    </w:p>
    <w:p>
      <w:pPr>
        <w:spacing w:line="53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经认真阅读《浙江嘉佑医疗器械有限公司33.33%股权转让文件》，对该转让文件无异议，对转让标的已作详细了解并对己方所作承诺负法律责任。特申请参加浙江嘉佑医疗器械有限公司股权竞买，遵守履行贵公司提出的浙江嘉佑医疗器械有限公司股权转让文件及其他有关程序、事项，并保证遵守我方所承诺的要求与规定履行。</w:t>
      </w:r>
    </w:p>
    <w:p>
      <w:pPr>
        <w:spacing w:line="53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我方对竞买标的的意向报价为万元（应不低于转让底价，即人民币万元或等值其他货币）。</w:t>
      </w:r>
    </w:p>
    <w:p>
      <w:pPr>
        <w:spacing w:line="530" w:lineRule="exact"/>
        <w:ind w:firstLine="560"/>
        <w:rPr>
          <w:rFonts w:ascii="宋体" w:hAnsi="宋体"/>
          <w:color w:val="000000" w:themeColor="text1"/>
          <w:sz w:val="28"/>
          <w:szCs w:val="28"/>
          <w:highlight w:val="none"/>
          <w14:textFill>
            <w14:solidFill>
              <w14:schemeClr w14:val="tx1"/>
            </w14:solidFill>
          </w14:textFill>
        </w:rPr>
      </w:pPr>
    </w:p>
    <w:p>
      <w:pPr>
        <w:spacing w:line="53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竞买申请人（盖章）：</w:t>
      </w:r>
    </w:p>
    <w:p>
      <w:pPr>
        <w:spacing w:line="58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法定代表人：                     身份证号：</w:t>
      </w:r>
    </w:p>
    <w:p>
      <w:pPr>
        <w:spacing w:line="58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委托代理人：                     身份证号：</w:t>
      </w:r>
    </w:p>
    <w:p>
      <w:pPr>
        <w:spacing w:line="580" w:lineRule="exact"/>
        <w:ind w:firstLine="637" w:firstLineChars="177"/>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pacing w:val="40"/>
          <w:sz w:val="28"/>
          <w:szCs w:val="28"/>
          <w:highlight w:val="none"/>
          <w14:textFill>
            <w14:solidFill>
              <w14:schemeClr w14:val="tx1"/>
            </w14:solidFill>
          </w14:textFill>
        </w:rPr>
        <w:t>联系地址：</w:t>
      </w:r>
      <w:r>
        <w:rPr>
          <w:rFonts w:hint="eastAsia" w:ascii="宋体" w:hAnsi="宋体"/>
          <w:color w:val="000000" w:themeColor="text1"/>
          <w:sz w:val="28"/>
          <w:szCs w:val="28"/>
          <w:highlight w:val="none"/>
          <w14:textFill>
            <w14:solidFill>
              <w14:schemeClr w14:val="tx1"/>
            </w14:solidFill>
          </w14:textFill>
        </w:rPr>
        <w:t xml:space="preserve">                    邮政编码：</w:t>
      </w:r>
    </w:p>
    <w:p>
      <w:pPr>
        <w:spacing w:line="580" w:lineRule="exact"/>
        <w:ind w:firstLine="637" w:firstLineChars="177"/>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pacing w:val="40"/>
          <w:sz w:val="28"/>
          <w:szCs w:val="28"/>
          <w:highlight w:val="none"/>
          <w14:textFill>
            <w14:solidFill>
              <w14:schemeClr w14:val="tx1"/>
            </w14:solidFill>
          </w14:textFill>
        </w:rPr>
        <w:t>联系电话：</w:t>
      </w:r>
      <w:r>
        <w:rPr>
          <w:rFonts w:hint="eastAsia" w:ascii="宋体" w:hAnsi="宋体"/>
          <w:color w:val="000000" w:themeColor="text1"/>
          <w:sz w:val="28"/>
          <w:szCs w:val="28"/>
          <w:highlight w:val="none"/>
          <w14:textFill>
            <w14:solidFill>
              <w14:schemeClr w14:val="tx1"/>
            </w14:solidFill>
          </w14:textFill>
        </w:rPr>
        <w:t xml:space="preserve">                    传    真：</w:t>
      </w:r>
    </w:p>
    <w:p>
      <w:pPr>
        <w:spacing w:line="580" w:lineRule="exact"/>
        <w:ind w:firstLine="840" w:firstLineChars="30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E-mail：</w:t>
      </w:r>
      <w:r>
        <w:rPr>
          <w:rFonts w:ascii="宋体" w:hAnsi="宋体"/>
          <w:color w:val="000000" w:themeColor="text1"/>
          <w:sz w:val="28"/>
          <w:szCs w:val="28"/>
          <w:highlight w:val="none"/>
          <w14:textFill>
            <w14:solidFill>
              <w14:schemeClr w14:val="tx1"/>
            </w14:solidFill>
          </w14:textFill>
        </w:rPr>
        <w:br w:type="textWrapping"/>
      </w:r>
      <w:r>
        <w:rPr>
          <w:rFonts w:hint="eastAsia" w:ascii="宋体" w:hAnsi="宋体"/>
          <w:color w:val="000000" w:themeColor="text1"/>
          <w:sz w:val="28"/>
          <w:szCs w:val="28"/>
          <w:highlight w:val="none"/>
          <w14:textFill>
            <w14:solidFill>
              <w14:schemeClr w14:val="tx1"/>
            </w14:solidFill>
          </w14:textFill>
        </w:rPr>
        <w:t xml:space="preserve">                                     年   月   日</w:t>
      </w:r>
    </w:p>
    <w:p>
      <w:pPr>
        <w:spacing w:line="500" w:lineRule="exact"/>
        <w:ind w:firstLine="560"/>
        <w:rPr>
          <w:rFonts w:ascii="宋体" w:hAnsi="宋体"/>
          <w:color w:val="000000" w:themeColor="text1"/>
          <w:sz w:val="28"/>
          <w:szCs w:val="28"/>
          <w:highlight w:val="none"/>
          <w14:textFill>
            <w14:solidFill>
              <w14:schemeClr w14:val="tx1"/>
            </w14:solidFill>
          </w14:textFill>
        </w:rPr>
      </w:pPr>
    </w:p>
    <w:p>
      <w:pPr>
        <w:spacing w:line="500" w:lineRule="exact"/>
        <w:ind w:firstLine="0" w:firstLineChars="0"/>
        <w:jc w:val="left"/>
        <w:rPr>
          <w:rFonts w:ascii="宋体" w:hAnsi="宋体"/>
          <w:color w:val="000000" w:themeColor="text1"/>
          <w:sz w:val="28"/>
          <w:szCs w:val="28"/>
          <w:highlight w:val="none"/>
          <w14:textFill>
            <w14:solidFill>
              <w14:schemeClr w14:val="tx1"/>
            </w14:solidFill>
          </w14:textFill>
        </w:rPr>
      </w:pPr>
      <w:bookmarkStart w:id="26" w:name="_Hlk25273447"/>
      <w:r>
        <w:rPr>
          <w:rFonts w:hint="eastAsia" w:ascii="宋体" w:hAnsi="宋体"/>
          <w:color w:val="000000" w:themeColor="text1"/>
          <w:sz w:val="28"/>
          <w:szCs w:val="28"/>
          <w:highlight w:val="none"/>
          <w14:textFill>
            <w14:solidFill>
              <w14:schemeClr w14:val="tx1"/>
            </w14:solidFill>
          </w14:textFill>
        </w:rPr>
        <w:t>附件：</w:t>
      </w:r>
    </w:p>
    <w:p>
      <w:pPr>
        <w:spacing w:line="50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企业（公司）法人主体资格证明文件，包含企业法人营业执照副本的复印件，法定代表人及授权委托人的身份证明及授权委托书、公司章程、相关决议。</w:t>
      </w:r>
    </w:p>
    <w:p>
      <w:pPr>
        <w:spacing w:line="50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□符合受让条件的有关证明及资料；</w:t>
      </w:r>
    </w:p>
    <w:p>
      <w:pPr>
        <w:spacing w:line="50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w:t>
      </w:r>
      <w:bookmarkStart w:id="27" w:name="待定17"/>
      <w:r>
        <w:rPr>
          <w:rFonts w:hint="eastAsia" w:ascii="宋体" w:hAnsi="宋体"/>
          <w:color w:val="000000" w:themeColor="text1"/>
          <w:sz w:val="28"/>
          <w:szCs w:val="28"/>
          <w:highlight w:val="none"/>
          <w14:textFill>
            <w14:solidFill>
              <w14:schemeClr w14:val="tx1"/>
            </w14:solidFill>
          </w14:textFill>
        </w:rPr>
        <w:t>竞买保证金</w:t>
      </w:r>
      <w:r>
        <w:rPr>
          <w:rFonts w:hint="eastAsia" w:ascii="宋体" w:hAnsi="宋体"/>
          <w:color w:val="000000" w:themeColor="text1"/>
          <w:sz w:val="28"/>
          <w:szCs w:val="28"/>
          <w:highlight w:val="none"/>
          <w:u w:val="single"/>
          <w14:textFill>
            <w14:solidFill>
              <w14:schemeClr w14:val="tx1"/>
            </w14:solidFill>
          </w14:textFill>
        </w:rPr>
        <w:t>7</w:t>
      </w:r>
      <w:r>
        <w:rPr>
          <w:rFonts w:ascii="宋体" w:hAnsi="宋体"/>
          <w:color w:val="000000" w:themeColor="text1"/>
          <w:sz w:val="28"/>
          <w:szCs w:val="28"/>
          <w:highlight w:val="none"/>
          <w:u w:val="single"/>
          <w14:textFill>
            <w14:solidFill>
              <w14:schemeClr w14:val="tx1"/>
            </w14:solidFill>
          </w14:textFill>
        </w:rPr>
        <w:t>5</w:t>
      </w:r>
      <w:r>
        <w:rPr>
          <w:rFonts w:hint="eastAsia" w:ascii="宋体" w:hAnsi="宋体"/>
          <w:color w:val="000000" w:themeColor="text1"/>
          <w:sz w:val="28"/>
          <w:szCs w:val="28"/>
          <w:highlight w:val="none"/>
          <w:u w:val="single"/>
          <w14:textFill>
            <w14:solidFill>
              <w14:schemeClr w14:val="tx1"/>
            </w14:solidFill>
          </w14:textFill>
        </w:rPr>
        <w:t>0 万元</w:t>
      </w:r>
      <w:r>
        <w:rPr>
          <w:rFonts w:hint="eastAsia" w:ascii="宋体" w:hAnsi="宋体"/>
          <w:color w:val="000000" w:themeColor="text1"/>
          <w:sz w:val="28"/>
          <w:szCs w:val="28"/>
          <w:highlight w:val="none"/>
          <w14:textFill>
            <w14:solidFill>
              <w14:schemeClr w14:val="tx1"/>
            </w14:solidFill>
          </w14:textFill>
        </w:rPr>
        <w:t>人民币或等值其他货币（汇单）</w:t>
      </w:r>
      <w:bookmarkEnd w:id="27"/>
    </w:p>
    <w:p>
      <w:pPr>
        <w:spacing w:line="500" w:lineRule="exac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备注：以上附件如非原件为复印件的应加盖公章或签名。</w:t>
      </w:r>
    </w:p>
    <w:bookmarkEnd w:id="26"/>
    <w:p>
      <w:pPr>
        <w:pStyle w:val="2"/>
        <w:spacing w:before="100" w:beforeAutospacing="1" w:after="100" w:afterAutospacing="1" w:line="360" w:lineRule="auto"/>
        <w:jc w:val="center"/>
        <w:rPr>
          <w:color w:val="000000" w:themeColor="text1"/>
          <w:sz w:val="36"/>
          <w:highlight w:val="none"/>
          <w14:textFill>
            <w14:solidFill>
              <w14:schemeClr w14:val="tx1"/>
            </w14:solidFill>
          </w14:textFill>
        </w:rPr>
      </w:pPr>
      <w:r>
        <w:rPr>
          <w:rFonts w:hint="eastAsia" w:ascii="宋体" w:hAnsi="宋体"/>
          <w:b w:val="0"/>
          <w:color w:val="000000" w:themeColor="text1"/>
          <w:sz w:val="36"/>
          <w:szCs w:val="36"/>
          <w:highlight w:val="none"/>
          <w14:textFill>
            <w14:solidFill>
              <w14:schemeClr w14:val="tx1"/>
            </w14:solidFill>
          </w14:textFill>
        </w:rPr>
        <w:br w:type="page"/>
      </w:r>
      <w:bookmarkStart w:id="28" w:name="_Toc528773693"/>
      <w:bookmarkStart w:id="29" w:name="_Toc30560"/>
      <w:bookmarkStart w:id="30" w:name="_Toc7306"/>
      <w:r>
        <w:rPr>
          <w:rFonts w:hint="eastAsia"/>
          <w:color w:val="000000" w:themeColor="text1"/>
          <w:sz w:val="36"/>
          <w:highlight w:val="none"/>
          <w14:textFill>
            <w14:solidFill>
              <w14:schemeClr w14:val="tx1"/>
            </w14:solidFill>
          </w14:textFill>
        </w:rPr>
        <w:t>竞买人承诺函</w:t>
      </w:r>
      <w:bookmarkEnd w:id="28"/>
      <w:bookmarkEnd w:id="29"/>
      <w:bookmarkEnd w:id="30"/>
    </w:p>
    <w:p>
      <w:pPr>
        <w:ind w:firstLine="0" w:firstLineChars="0"/>
        <w:rPr>
          <w:rFonts w:ascii="宋体" w:hAnsi="宋体"/>
          <w:b/>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台州市产权交易所有限公司：</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经认真阅读贵公司所提供的“浙江嘉佑医疗器械有限公司33.33%股权转让文件”以及贵公司提出的转让须知与网络竞价规则等，我方愿意接受转让方提出的竞价条件及“浙江嘉佑医疗器械有限公司33.33%股权转让文件”中涉及的相关事项，现我方将有关事项承诺如下：</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一、我方所提交的报名资料和文件符合竞价条件的有关证明为真实、合法、有效（含有关附件），我方确保我方竞买的主体资格和所提供的所有资料均能符合审批机关、</w:t>
      </w:r>
      <w:r>
        <w:rPr>
          <w:rFonts w:hint="eastAsia" w:ascii="宋体" w:hAnsi="宋体"/>
          <w:color w:val="000000" w:themeColor="text1"/>
          <w:sz w:val="28"/>
          <w:szCs w:val="28"/>
          <w:highlight w:val="none"/>
          <w:lang w:val="en-US" w:eastAsia="zh-CN"/>
          <w14:textFill>
            <w14:solidFill>
              <w14:schemeClr w14:val="tx1"/>
            </w14:solidFill>
          </w14:textFill>
        </w:rPr>
        <w:t>市场监督</w:t>
      </w:r>
      <w:r>
        <w:rPr>
          <w:rFonts w:hint="eastAsia" w:ascii="宋体" w:hAnsi="宋体"/>
          <w:color w:val="000000" w:themeColor="text1"/>
          <w:sz w:val="28"/>
          <w:szCs w:val="28"/>
          <w:highlight w:val="none"/>
          <w14:textFill>
            <w14:solidFill>
              <w14:schemeClr w14:val="tx1"/>
            </w14:solidFill>
          </w14:textFill>
        </w:rPr>
        <w:t>管理部门对（企业）公司法人的股东主体资格的要求，否则我方所交保证金由转让方没收，并承担由此造成的违约责任及相关损失。</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二、我方已详实了解本次转让标的有关情况，并保证成交后所支付的资金来源合法。</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三、我方已阅读并了解《成交确认书》、《股权转让合同》及“浙江嘉佑医疗器械有限公司33.33%股权转让文件”并不持异议，成交后按上述条款履行义务。</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四、作为该项目的竞买人，我方承诺如仅有我方一家报名并经确认后，我方愿意接受挂牌价或报价结果作为成交价，保证签订《成交确认书》、《股权转让合同》并履行相关义务；如有二家或二家以上报名的，我方愿意接受参与网络竞价的方式，竞得后保证二个工作日内签订《成交确认书》、《股权转让合同》并履行相关义务</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五、若我方竞得，所缴纳的竞买保证金根据合同的约定可抵作成交价款的支付，交易佣金为</w:t>
      </w:r>
      <w:r>
        <w:rPr>
          <w:rFonts w:hint="eastAsia" w:ascii="宋体" w:hAnsi="宋体"/>
          <w:color w:val="000000" w:themeColor="text1"/>
          <w:sz w:val="28"/>
          <w:szCs w:val="28"/>
          <w:highlight w:val="none"/>
          <w:lang w:val="en-US" w:eastAsia="zh-CN"/>
          <w14:textFill>
            <w14:solidFill>
              <w14:schemeClr w14:val="tx1"/>
            </w14:solidFill>
          </w14:textFill>
        </w:rPr>
        <w:t>成交价格的0.34%</w:t>
      </w:r>
      <w:r>
        <w:rPr>
          <w:rFonts w:hint="eastAsia" w:ascii="宋体" w:hAnsi="宋体"/>
          <w:color w:val="000000" w:themeColor="text1"/>
          <w:sz w:val="28"/>
          <w:szCs w:val="28"/>
          <w:highlight w:val="none"/>
          <w14:textFill>
            <w14:solidFill>
              <w14:schemeClr w14:val="tx1"/>
            </w14:solidFill>
          </w14:textFill>
        </w:rPr>
        <w:t>。</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六、如因正当理由在</w:t>
      </w:r>
      <w:r>
        <w:rPr>
          <w:rFonts w:hint="eastAsia" w:ascii="宋体" w:hAnsi="宋体"/>
          <w:color w:val="000000" w:themeColor="text1"/>
          <w:sz w:val="28"/>
          <w:szCs w:val="28"/>
          <w:highlight w:val="none"/>
          <w:lang w:val="en-US" w:eastAsia="zh-CN"/>
          <w14:textFill>
            <w14:solidFill>
              <w14:schemeClr w14:val="tx1"/>
            </w14:solidFill>
          </w14:textFill>
        </w:rPr>
        <w:t>转让</w:t>
      </w:r>
      <w:r>
        <w:rPr>
          <w:rFonts w:hint="eastAsia" w:ascii="宋体" w:hAnsi="宋体"/>
          <w:color w:val="000000" w:themeColor="text1"/>
          <w:sz w:val="28"/>
          <w:szCs w:val="28"/>
          <w:highlight w:val="none"/>
          <w14:textFill>
            <w14:solidFill>
              <w14:schemeClr w14:val="tx1"/>
            </w14:solidFill>
          </w14:textFill>
        </w:rPr>
        <w:t>项目竞价会开始前撤回转让标的的，我方愿意接受该事实，并配合贵公司办理退还保证金等手续，不再向贵公司追索保证金利息及其他任何费用与责任。</w:t>
      </w:r>
    </w:p>
    <w:p>
      <w:pPr>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七、如在竞价该项目的过程中（</w:t>
      </w:r>
      <w:r>
        <w:rPr>
          <w:rFonts w:ascii="宋体" w:hAnsi="宋体"/>
          <w:color w:val="000000" w:themeColor="text1"/>
          <w:sz w:val="28"/>
          <w:szCs w:val="28"/>
          <w:highlight w:val="none"/>
          <w14:textFill>
            <w14:solidFill>
              <w14:schemeClr w14:val="tx1"/>
            </w14:solidFill>
          </w14:textFill>
        </w:rPr>
        <w:t>即</w:t>
      </w:r>
      <w:r>
        <w:rPr>
          <w:rFonts w:hint="eastAsia" w:ascii="宋体" w:hAnsi="宋体"/>
          <w:color w:val="000000" w:themeColor="text1"/>
          <w:sz w:val="28"/>
          <w:szCs w:val="28"/>
          <w:highlight w:val="none"/>
          <w14:textFill>
            <w14:solidFill>
              <w14:schemeClr w14:val="tx1"/>
            </w14:solidFill>
          </w14:textFill>
        </w:rPr>
        <w:t>竞买人</w:t>
      </w:r>
      <w:r>
        <w:rPr>
          <w:rFonts w:ascii="宋体" w:hAnsi="宋体"/>
          <w:color w:val="000000" w:themeColor="text1"/>
          <w:sz w:val="28"/>
          <w:szCs w:val="28"/>
          <w:highlight w:val="none"/>
          <w14:textFill>
            <w14:solidFill>
              <w14:schemeClr w14:val="tx1"/>
            </w14:solidFill>
          </w14:textFill>
        </w:rPr>
        <w:t>签署</w:t>
      </w:r>
      <w:r>
        <w:rPr>
          <w:rFonts w:hint="eastAsia" w:ascii="宋体" w:hAnsi="宋体"/>
          <w:color w:val="000000" w:themeColor="text1"/>
          <w:sz w:val="28"/>
          <w:szCs w:val="28"/>
          <w:highlight w:val="none"/>
          <w:u w:val="single"/>
          <w14:textFill>
            <w14:solidFill>
              <w14:schemeClr w14:val="tx1"/>
            </w14:solidFill>
          </w14:textFill>
        </w:rPr>
        <w:t>《成交确认书》</w:t>
      </w:r>
      <w:r>
        <w:rPr>
          <w:rFonts w:ascii="宋体" w:hAnsi="宋体"/>
          <w:color w:val="000000" w:themeColor="text1"/>
          <w:sz w:val="28"/>
          <w:szCs w:val="28"/>
          <w:highlight w:val="none"/>
          <w:u w:val="single"/>
          <w14:textFill>
            <w14:solidFill>
              <w14:schemeClr w14:val="tx1"/>
            </w14:solidFill>
          </w14:textFill>
        </w:rPr>
        <w:t>后两日内签署</w:t>
      </w:r>
      <w:r>
        <w:rPr>
          <w:rFonts w:hint="eastAsia" w:ascii="宋体" w:hAnsi="宋体"/>
          <w:color w:val="000000" w:themeColor="text1"/>
          <w:sz w:val="28"/>
          <w:szCs w:val="28"/>
          <w:highlight w:val="none"/>
          <w:u w:val="single"/>
          <w14:textFill>
            <w14:solidFill>
              <w14:schemeClr w14:val="tx1"/>
            </w14:solidFill>
          </w14:textFill>
        </w:rPr>
        <w:t>《股权转让合同》前</w:t>
      </w:r>
      <w:r>
        <w:rPr>
          <w:rFonts w:ascii="宋体" w:hAnsi="宋体"/>
          <w:color w:val="000000" w:themeColor="text1"/>
          <w:sz w:val="28"/>
          <w:szCs w:val="28"/>
          <w:highlight w:val="none"/>
          <w:u w:val="single"/>
          <w14:textFill>
            <w14:solidFill>
              <w14:schemeClr w14:val="tx1"/>
            </w14:solidFill>
          </w14:textFill>
        </w:rPr>
        <w:t>）</w:t>
      </w:r>
      <w:r>
        <w:rPr>
          <w:rFonts w:hint="eastAsia" w:ascii="宋体" w:hAnsi="宋体"/>
          <w:color w:val="000000" w:themeColor="text1"/>
          <w:sz w:val="28"/>
          <w:szCs w:val="28"/>
          <w:highlight w:val="none"/>
          <w14:textFill>
            <w14:solidFill>
              <w14:schemeClr w14:val="tx1"/>
            </w14:solidFill>
          </w14:textFill>
        </w:rPr>
        <w:t>发生争议需提起诉讼或仲裁，除贵公司存在过错、故意或</w:t>
      </w:r>
      <w:r>
        <w:rPr>
          <w:rFonts w:hint="default" w:ascii="宋体" w:hAnsi="宋体"/>
          <w:color w:val="000000" w:themeColor="text1"/>
          <w:sz w:val="28"/>
          <w:szCs w:val="28"/>
          <w:highlight w:val="none"/>
          <w:lang w:val="en-US" w:eastAsia="zh-CN"/>
          <w14:textFill>
            <w14:solidFill>
              <w14:schemeClr w14:val="tx1"/>
            </w14:solidFill>
          </w14:textFill>
        </w:rPr>
        <w:t>重大</w:t>
      </w:r>
      <w:r>
        <w:rPr>
          <w:rFonts w:ascii="宋体" w:hAnsi="宋体"/>
          <w:color w:val="000000" w:themeColor="text1"/>
          <w:sz w:val="28"/>
          <w:szCs w:val="28"/>
          <w:highlight w:val="none"/>
          <w14:textFill>
            <w14:solidFill>
              <w14:schemeClr w14:val="tx1"/>
            </w14:solidFill>
          </w14:textFill>
        </w:rPr>
        <w:t>过失</w:t>
      </w:r>
      <w:r>
        <w:rPr>
          <w:rFonts w:hint="eastAsia" w:ascii="宋体" w:hAnsi="宋体"/>
          <w:color w:val="000000" w:themeColor="text1"/>
          <w:sz w:val="28"/>
          <w:szCs w:val="28"/>
          <w:highlight w:val="none"/>
          <w14:textFill>
            <w14:solidFill>
              <w14:schemeClr w14:val="tx1"/>
            </w14:solidFill>
          </w14:textFill>
        </w:rPr>
        <w:t>行为之外，我方承诺不将贵公司列为相关诉讼、仲裁的被告或被申请人。</w:t>
      </w:r>
    </w:p>
    <w:p>
      <w:pPr>
        <w:ind w:right="1200" w:firstLine="560"/>
        <w:jc w:val="right"/>
        <w:rPr>
          <w:rFonts w:ascii="宋体" w:hAnsi="宋体"/>
          <w:color w:val="000000" w:themeColor="text1"/>
          <w:sz w:val="28"/>
          <w:szCs w:val="28"/>
          <w:highlight w:val="none"/>
          <w14:textFill>
            <w14:solidFill>
              <w14:schemeClr w14:val="tx1"/>
            </w14:solidFill>
          </w14:textFill>
        </w:rPr>
      </w:pPr>
    </w:p>
    <w:p>
      <w:pPr>
        <w:ind w:right="1200" w:firstLine="560"/>
        <w:jc w:val="right"/>
        <w:rPr>
          <w:rFonts w:ascii="宋体" w:hAnsi="宋体"/>
          <w:color w:val="000000" w:themeColor="text1"/>
          <w:sz w:val="28"/>
          <w:szCs w:val="28"/>
          <w:highlight w:val="none"/>
          <w14:textFill>
            <w14:solidFill>
              <w14:schemeClr w14:val="tx1"/>
            </w14:solidFill>
          </w14:textFill>
        </w:rPr>
      </w:pPr>
    </w:p>
    <w:p>
      <w:pPr>
        <w:ind w:right="1200" w:firstLine="560"/>
        <w:jc w:val="righ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承诺人（签章）</w:t>
      </w:r>
    </w:p>
    <w:p>
      <w:pPr>
        <w:ind w:firstLine="560"/>
        <w:jc w:val="righ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二○二〇年    月    日</w:t>
      </w:r>
    </w:p>
    <w:p>
      <w:pPr>
        <w:pStyle w:val="2"/>
        <w:spacing w:before="100" w:beforeAutospacing="1" w:after="100" w:afterAutospacing="1" w:line="360" w:lineRule="auto"/>
        <w:jc w:val="center"/>
        <w:rPr>
          <w:color w:val="000000" w:themeColor="text1"/>
          <w:sz w:val="36"/>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br w:type="page"/>
      </w:r>
      <w:bookmarkStart w:id="31" w:name="_Toc4653"/>
      <w:bookmarkStart w:id="32" w:name="_Toc5554"/>
      <w:bookmarkStart w:id="33" w:name="_Toc528773694"/>
      <w:r>
        <w:rPr>
          <w:rFonts w:hint="eastAsia"/>
          <w:color w:val="000000" w:themeColor="text1"/>
          <w:sz w:val="36"/>
          <w:highlight w:val="none"/>
          <w14:textFill>
            <w14:solidFill>
              <w14:schemeClr w14:val="tx1"/>
            </w14:solidFill>
          </w14:textFill>
        </w:rPr>
        <w:t>成交确认书</w:t>
      </w:r>
      <w:bookmarkEnd w:id="31"/>
      <w:bookmarkEnd w:id="32"/>
      <w:bookmarkEnd w:id="33"/>
    </w:p>
    <w:p>
      <w:pPr>
        <w:spacing w:line="360" w:lineRule="auto"/>
        <w:ind w:firstLine="0" w:firstLineChars="0"/>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挂牌方：台州市产权交易所有限公司</w:t>
      </w:r>
    </w:p>
    <w:p>
      <w:pPr>
        <w:spacing w:line="360" w:lineRule="auto"/>
        <w:ind w:firstLine="0" w:firstLineChars="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 xml:space="preserve">受让方：                         联系电话：  </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受让方于20</w:t>
      </w:r>
      <w:r>
        <w:rPr>
          <w:rFonts w:ascii="宋体" w:hAnsi="宋体"/>
          <w:color w:val="000000" w:themeColor="text1"/>
          <w:sz w:val="28"/>
          <w:szCs w:val="28"/>
          <w:highlight w:val="none"/>
          <w14:textFill>
            <w14:solidFill>
              <w14:schemeClr w14:val="tx1"/>
            </w14:solidFill>
          </w14:textFill>
        </w:rPr>
        <w:t>20</w:t>
      </w:r>
      <w:r>
        <w:rPr>
          <w:rFonts w:hint="eastAsia" w:ascii="宋体" w:hAnsi="宋体"/>
          <w:color w:val="000000" w:themeColor="text1"/>
          <w:sz w:val="28"/>
          <w:szCs w:val="28"/>
          <w:highlight w:val="none"/>
          <w14:textFill>
            <w14:solidFill>
              <w14:schemeClr w14:val="tx1"/>
            </w14:solidFill>
          </w14:textFill>
        </w:rPr>
        <w:t>年</w:t>
      </w:r>
      <w:r>
        <w:rPr>
          <w:rFonts w:hint="eastAsia" w:ascii="宋体" w:hAnsi="宋体"/>
          <w:color w:val="000000" w:themeColor="text1"/>
          <w:sz w:val="28"/>
          <w:szCs w:val="28"/>
          <w:highlight w:val="none"/>
          <w:lang w:val="en-US" w:eastAsia="zh-CN"/>
          <w14:textFill>
            <w14:solidFill>
              <w14:schemeClr w14:val="tx1"/>
            </w14:solidFill>
          </w14:textFill>
        </w:rPr>
        <w:t>4</w:t>
      </w:r>
      <w:r>
        <w:rPr>
          <w:rFonts w:hint="eastAsia" w:ascii="宋体" w:hAnsi="宋体"/>
          <w:color w:val="000000" w:themeColor="text1"/>
          <w:sz w:val="28"/>
          <w:szCs w:val="28"/>
          <w:highlight w:val="none"/>
          <w14:textFill>
            <w14:solidFill>
              <w14:schemeClr w14:val="tx1"/>
            </w14:solidFill>
          </w14:textFill>
        </w:rPr>
        <w:t>月</w:t>
      </w:r>
      <w:r>
        <w:rPr>
          <w:rFonts w:hint="eastAsia" w:ascii="宋体" w:hAnsi="宋体"/>
          <w:color w:val="000000" w:themeColor="text1"/>
          <w:sz w:val="28"/>
          <w:szCs w:val="28"/>
          <w:highlight w:val="none"/>
          <w:lang w:val="en-US" w:eastAsia="zh-CN"/>
          <w14:textFill>
            <w14:solidFill>
              <w14:schemeClr w14:val="tx1"/>
            </w14:solidFill>
          </w14:textFill>
        </w:rPr>
        <w:t>15</w:t>
      </w:r>
      <w:r>
        <w:rPr>
          <w:rFonts w:hint="eastAsia" w:ascii="宋体" w:hAnsi="宋体"/>
          <w:color w:val="000000" w:themeColor="text1"/>
          <w:sz w:val="28"/>
          <w:szCs w:val="28"/>
          <w:highlight w:val="none"/>
          <w14:textFill>
            <w14:solidFill>
              <w14:schemeClr w14:val="tx1"/>
            </w14:solidFill>
          </w14:textFill>
        </w:rPr>
        <w:t>日（星期</w:t>
      </w:r>
      <w:r>
        <w:rPr>
          <w:rFonts w:hint="eastAsia" w:ascii="宋体" w:hAnsi="宋体"/>
          <w:color w:val="000000" w:themeColor="text1"/>
          <w:sz w:val="28"/>
          <w:szCs w:val="28"/>
          <w:highlight w:val="none"/>
          <w:lang w:val="en-US" w:eastAsia="zh-CN"/>
          <w14:textFill>
            <w14:solidFill>
              <w14:schemeClr w14:val="tx1"/>
            </w14:solidFill>
          </w14:textFill>
        </w:rPr>
        <w:t>三）</w:t>
      </w:r>
      <w:r>
        <w:rPr>
          <w:rFonts w:hint="eastAsia" w:ascii="宋体" w:hAnsi="宋体"/>
          <w:color w:val="000000" w:themeColor="text1"/>
          <w:sz w:val="28"/>
          <w:szCs w:val="28"/>
          <w:highlight w:val="none"/>
          <w14:textFill>
            <w14:solidFill>
              <w14:schemeClr w14:val="tx1"/>
            </w14:solidFill>
          </w14:textFill>
        </w:rPr>
        <w:t>上午9:30时在举行的</w:t>
      </w:r>
      <w:bookmarkStart w:id="34" w:name="待定19"/>
      <w:r>
        <w:rPr>
          <w:rFonts w:hint="eastAsia" w:ascii="宋体" w:hAnsi="宋体"/>
          <w:color w:val="000000" w:themeColor="text1"/>
          <w:sz w:val="28"/>
          <w:szCs w:val="28"/>
          <w:highlight w:val="none"/>
          <w14:textFill>
            <w14:solidFill>
              <w14:schemeClr w14:val="tx1"/>
            </w14:solidFill>
          </w14:textFill>
        </w:rPr>
        <w:t>(</w:t>
      </w:r>
      <w:r>
        <w:rPr>
          <w:rFonts w:hint="eastAsia" w:ascii="宋体" w:hAnsi="宋体"/>
          <w:color w:val="000000" w:themeColor="text1"/>
          <w:sz w:val="28"/>
          <w:szCs w:val="28"/>
          <w:highlight w:val="none"/>
          <w:lang w:eastAsia="zh-CN"/>
          <w14:textFill>
            <w14:solidFill>
              <w14:schemeClr w14:val="tx1"/>
            </w14:solidFill>
          </w14:textFill>
        </w:rPr>
        <w:t>台交所挂〔2020〕4号</w:t>
      </w:r>
      <w:r>
        <w:rPr>
          <w:rFonts w:hint="eastAsia" w:ascii="宋体" w:hAnsi="宋体"/>
          <w:color w:val="000000" w:themeColor="text1"/>
          <w:sz w:val="28"/>
          <w:szCs w:val="28"/>
          <w:highlight w:val="none"/>
          <w14:textFill>
            <w14:solidFill>
              <w14:schemeClr w14:val="tx1"/>
            </w14:solidFill>
          </w14:textFill>
        </w:rPr>
        <w:t>)</w:t>
      </w:r>
      <w:bookmarkEnd w:id="34"/>
      <w:r>
        <w:rPr>
          <w:rFonts w:hint="eastAsia" w:ascii="宋体" w:hAnsi="宋体"/>
          <w:color w:val="000000" w:themeColor="text1"/>
          <w:sz w:val="28"/>
          <w:szCs w:val="28"/>
          <w:highlight w:val="none"/>
          <w14:textFill>
            <w14:solidFill>
              <w14:schemeClr w14:val="tx1"/>
            </w14:solidFill>
          </w14:textFill>
        </w:rPr>
        <w:t xml:space="preserve"> 浙江嘉佑医疗器械有限公司33.33%股权出让竞价活动中，受让以下股权，根据国务院《企业国有资产交易监督管理办法》和相关法律法规规定，双方签订成交确认书如下：</w:t>
      </w:r>
    </w:p>
    <w:p>
      <w:pPr>
        <w:numPr>
          <w:ilvl w:val="0"/>
          <w:numId w:val="4"/>
        </w:numPr>
        <w:spacing w:line="360" w:lineRule="auto"/>
        <w:ind w:firstLine="560"/>
        <w:rPr>
          <w:rFonts w:ascii="宋体" w:hAnsi="宋体"/>
          <w:color w:val="000000" w:themeColor="text1"/>
          <w:sz w:val="28"/>
          <w:szCs w:val="28"/>
          <w:highlight w:val="none"/>
          <w:lang w:val="ms-MY"/>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受让方受让标的：浙江海正药业股份有限公司持有的浙江嘉佑医疗器械有限公司33.33%股权</w:t>
      </w:r>
      <w:r>
        <w:rPr>
          <w:rFonts w:hint="eastAsia" w:ascii="宋体" w:hAnsi="宋体"/>
          <w:color w:val="000000" w:themeColor="text1"/>
          <w:sz w:val="28"/>
          <w:szCs w:val="28"/>
          <w:highlight w:val="none"/>
          <w:lang w:val="ms-MY"/>
          <w14:textFill>
            <w14:solidFill>
              <w14:schemeClr w14:val="tx1"/>
            </w14:solidFill>
          </w14:textFill>
        </w:rPr>
        <w:t>。</w:t>
      </w:r>
    </w:p>
    <w:p>
      <w:pPr>
        <w:spacing w:line="500" w:lineRule="atLeas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二、成交金额：本转让标的成交金额为　　　　　　　　万元（大写：　　元整）。受让方为境内竞买人的，成交款缴入账户（人民币开户单位名称：台州市产权交易所有限公司，人民币开户行：浙江民泰商业银行台州椒江支行，人民币账号：583016260800028。</w:t>
      </w:r>
    </w:p>
    <w:p>
      <w:pPr>
        <w:spacing w:line="500" w:lineRule="atLeas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受让方为境外竞买人的，以外币支付股权转让价款，在转让方浙江海正药业股份有限公司开具外币资本账户后五个工作日内支付。</w:t>
      </w:r>
    </w:p>
    <w:p>
      <w:pPr>
        <w:spacing w:line="500" w:lineRule="atLeast"/>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佣金为</w:t>
      </w:r>
      <w:r>
        <w:rPr>
          <w:rFonts w:hint="eastAsia" w:ascii="宋体" w:hAnsi="宋体"/>
          <w:color w:val="000000" w:themeColor="text1"/>
          <w:sz w:val="28"/>
          <w:szCs w:val="28"/>
          <w:highlight w:val="none"/>
          <w:lang w:val="en-US" w:eastAsia="zh-CN"/>
          <w14:textFill>
            <w14:solidFill>
              <w14:schemeClr w14:val="tx1"/>
            </w14:solidFill>
          </w14:textFill>
        </w:rPr>
        <w:t>成交价格的0.34%，即</w:t>
      </w:r>
      <w:r>
        <w:rPr>
          <w:rFonts w:hint="eastAsia" w:ascii="宋体" w:hAnsi="宋体"/>
          <w:color w:val="000000" w:themeColor="text1"/>
          <w:sz w:val="28"/>
          <w:szCs w:val="28"/>
          <w:highlight w:val="none"/>
          <w14:textFill>
            <w14:solidFill>
              <w14:schemeClr w14:val="tx1"/>
            </w14:solidFill>
          </w14:textFill>
        </w:rPr>
        <w:t>　　　　　万元（大写：　            ）。佣金汇入人民币开户单位：台州市产权交易所有限公司　开户行：浙江民泰商业银行台州椒江支行 账号：583016260800028。</w:t>
      </w:r>
    </w:p>
    <w:p>
      <w:pPr>
        <w:tabs>
          <w:tab w:val="left" w:pos="6960"/>
        </w:tabs>
        <w:ind w:firstLine="560" w:firstLineChars="0"/>
        <w:rPr>
          <w:rFonts w:ascii="宋体" w:hAnsi="宋体"/>
          <w:bCs/>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三、付款方式：受让方与出让方《股权转让合同》签订生效后(如需</w:t>
      </w:r>
      <w:r>
        <w:rPr>
          <w:rFonts w:ascii="宋体" w:hAnsi="宋体"/>
          <w:color w:val="000000" w:themeColor="text1"/>
          <w:sz w:val="28"/>
          <w:szCs w:val="28"/>
          <w:highlight w:val="none"/>
          <w14:textFill>
            <w14:solidFill>
              <w14:schemeClr w14:val="tx1"/>
            </w14:solidFill>
          </w14:textFill>
        </w:rPr>
        <w:t>相关政府主管部门</w:t>
      </w:r>
      <w:r>
        <w:rPr>
          <w:rFonts w:hint="eastAsia" w:ascii="宋体" w:hAnsi="宋体"/>
          <w:color w:val="000000" w:themeColor="text1"/>
          <w:sz w:val="28"/>
          <w:szCs w:val="28"/>
          <w:highlight w:val="none"/>
          <w14:textFill>
            <w14:solidFill>
              <w14:schemeClr w14:val="tx1"/>
            </w14:solidFill>
          </w14:textFill>
        </w:rPr>
        <w:t>批准</w:t>
      </w:r>
      <w:r>
        <w:rPr>
          <w:rFonts w:ascii="宋体" w:hAnsi="宋体"/>
          <w:color w:val="000000" w:themeColor="text1"/>
          <w:sz w:val="28"/>
          <w:szCs w:val="28"/>
          <w:highlight w:val="none"/>
          <w14:textFill>
            <w14:solidFill>
              <w14:schemeClr w14:val="tx1"/>
            </w14:solidFill>
          </w14:textFill>
        </w:rPr>
        <w:t>、登记</w:t>
      </w:r>
      <w:r>
        <w:rPr>
          <w:rFonts w:hint="eastAsia" w:ascii="宋体" w:hAnsi="宋体"/>
          <w:color w:val="000000" w:themeColor="text1"/>
          <w:sz w:val="28"/>
          <w:szCs w:val="28"/>
          <w:highlight w:val="none"/>
          <w14:textFill>
            <w14:solidFill>
              <w14:schemeClr w14:val="tx1"/>
            </w14:solidFill>
          </w14:textFill>
        </w:rPr>
        <w:t>及/</w:t>
      </w:r>
      <w:r>
        <w:rPr>
          <w:rFonts w:ascii="宋体" w:hAnsi="宋体"/>
          <w:color w:val="000000" w:themeColor="text1"/>
          <w:sz w:val="28"/>
          <w:szCs w:val="28"/>
          <w:highlight w:val="none"/>
          <w14:textFill>
            <w14:solidFill>
              <w14:schemeClr w14:val="tx1"/>
            </w14:solidFill>
          </w14:textFill>
        </w:rPr>
        <w:t>或备案的，则在政府主管部门</w:t>
      </w:r>
      <w:r>
        <w:rPr>
          <w:rFonts w:hint="eastAsia" w:ascii="宋体" w:hAnsi="宋体"/>
          <w:color w:val="000000" w:themeColor="text1"/>
          <w:sz w:val="28"/>
          <w:szCs w:val="28"/>
          <w:highlight w:val="none"/>
          <w14:textFill>
            <w14:solidFill>
              <w14:schemeClr w14:val="tx1"/>
            </w14:solidFill>
          </w14:textFill>
        </w:rPr>
        <w:t>批准</w:t>
      </w:r>
      <w:r>
        <w:rPr>
          <w:rFonts w:ascii="宋体" w:hAnsi="宋体"/>
          <w:color w:val="000000" w:themeColor="text1"/>
          <w:sz w:val="28"/>
          <w:szCs w:val="28"/>
          <w:highlight w:val="none"/>
          <w14:textFill>
            <w14:solidFill>
              <w14:schemeClr w14:val="tx1"/>
            </w14:solidFill>
          </w14:textFill>
        </w:rPr>
        <w:t>、登记</w:t>
      </w:r>
      <w:r>
        <w:rPr>
          <w:rFonts w:hint="eastAsia" w:ascii="宋体" w:hAnsi="宋体"/>
          <w:color w:val="000000" w:themeColor="text1"/>
          <w:sz w:val="28"/>
          <w:szCs w:val="28"/>
          <w:highlight w:val="none"/>
          <w14:textFill>
            <w14:solidFill>
              <w14:schemeClr w14:val="tx1"/>
            </w14:solidFill>
          </w14:textFill>
        </w:rPr>
        <w:t>及/</w:t>
      </w:r>
      <w:r>
        <w:rPr>
          <w:rFonts w:ascii="宋体" w:hAnsi="宋体"/>
          <w:color w:val="000000" w:themeColor="text1"/>
          <w:sz w:val="28"/>
          <w:szCs w:val="28"/>
          <w:highlight w:val="none"/>
          <w14:textFill>
            <w14:solidFill>
              <w14:schemeClr w14:val="tx1"/>
            </w14:solidFill>
          </w14:textFill>
        </w:rPr>
        <w:t>或备案</w:t>
      </w:r>
      <w:r>
        <w:rPr>
          <w:rFonts w:hint="eastAsia" w:ascii="宋体" w:hAnsi="宋体"/>
          <w:color w:val="000000" w:themeColor="text1"/>
          <w:sz w:val="28"/>
          <w:szCs w:val="28"/>
          <w:highlight w:val="none"/>
          <w14:textFill>
            <w14:solidFill>
              <w14:schemeClr w14:val="tx1"/>
            </w14:solidFill>
          </w14:textFill>
        </w:rPr>
        <w:t>后）五个工作日内支付本次股权转让成交价款及交易佣金。受让方先期缴纳的竞买保证金可抵作部分转让价款。</w:t>
      </w:r>
    </w:p>
    <w:p>
      <w:pPr>
        <w:spacing w:line="360" w:lineRule="auto"/>
        <w:ind w:firstLine="560"/>
        <w:rPr>
          <w:rFonts w:ascii="宋体" w:hAnsi="宋体"/>
          <w:bCs/>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四、受让方成交后拒绝签署《成交确认书》、《股权转让合同》</w:t>
      </w:r>
      <w:r>
        <w:rPr>
          <w:rFonts w:hint="eastAsia" w:ascii="宋体" w:hAnsi="宋体"/>
          <w:bCs/>
          <w:color w:val="000000" w:themeColor="text1"/>
          <w:sz w:val="28"/>
          <w:szCs w:val="28"/>
          <w:highlight w:val="none"/>
          <w14:textFill>
            <w14:solidFill>
              <w14:schemeClr w14:val="tx1"/>
            </w14:solidFill>
          </w14:textFill>
        </w:rPr>
        <w:t>，视为</w:t>
      </w:r>
      <w:r>
        <w:rPr>
          <w:rFonts w:hint="eastAsia"/>
          <w:color w:val="000000" w:themeColor="text1"/>
          <w:highlight w:val="none"/>
          <w:lang w:val="en-US" w:eastAsia="zh-CN"/>
          <w14:textFill>
            <w14:solidFill>
              <w14:schemeClr w14:val="tx1"/>
            </w14:solidFill>
          </w14:textFill>
        </w:rPr>
        <w:t>根本违约</w:t>
      </w:r>
      <w:r>
        <w:rPr>
          <w:rFonts w:hint="eastAsia" w:ascii="宋体" w:hAnsi="宋体"/>
          <w:bCs/>
          <w:color w:val="000000" w:themeColor="text1"/>
          <w:sz w:val="28"/>
          <w:szCs w:val="28"/>
          <w:highlight w:val="none"/>
          <w14:textFill>
            <w14:solidFill>
              <w14:schemeClr w14:val="tx1"/>
            </w14:solidFill>
          </w14:textFill>
        </w:rPr>
        <w:t>，</w:t>
      </w:r>
      <w:r>
        <w:rPr>
          <w:rFonts w:hint="eastAsia" w:ascii="宋体" w:hAnsi="宋体"/>
          <w:bCs/>
          <w:color w:val="000000" w:themeColor="text1"/>
          <w:sz w:val="28"/>
          <w:szCs w:val="28"/>
          <w:highlight w:val="none"/>
          <w:lang w:val="en-US" w:eastAsia="zh-CN"/>
          <w14:textFill>
            <w14:solidFill>
              <w14:schemeClr w14:val="tx1"/>
            </w14:solidFill>
          </w14:textFill>
        </w:rPr>
        <w:t>台州市产权交易所有限公司</w:t>
      </w:r>
      <w:r>
        <w:rPr>
          <w:rFonts w:hint="eastAsia" w:ascii="宋体" w:hAnsi="宋体"/>
          <w:bCs/>
          <w:color w:val="000000" w:themeColor="text1"/>
          <w:sz w:val="28"/>
          <w:szCs w:val="28"/>
          <w:highlight w:val="none"/>
          <w14:textFill>
            <w14:solidFill>
              <w14:schemeClr w14:val="tx1"/>
            </w14:solidFill>
          </w14:textFill>
        </w:rPr>
        <w:t>有权追究其违约责任；受让方逾期支付股权转让成交款项的，视为受让方根本违约；出让方有权解除《股权转让合同》，</w:t>
      </w:r>
      <w:r>
        <w:rPr>
          <w:rFonts w:hint="eastAsia" w:ascii="宋体" w:hAnsi="宋体"/>
          <w:bCs/>
          <w:color w:val="000000" w:themeColor="text1"/>
          <w:sz w:val="28"/>
          <w:szCs w:val="28"/>
          <w:highlight w:val="none"/>
          <w:lang w:val="en-US" w:eastAsia="zh-CN"/>
          <w14:textFill>
            <w14:solidFill>
              <w14:schemeClr w14:val="tx1"/>
            </w14:solidFill>
          </w14:textFill>
        </w:rPr>
        <w:t>台州市产权交易所有限公司</w:t>
      </w:r>
      <w:r>
        <w:rPr>
          <w:rFonts w:hint="eastAsia" w:ascii="宋体" w:hAnsi="宋体"/>
          <w:bCs/>
          <w:color w:val="000000" w:themeColor="text1"/>
          <w:sz w:val="28"/>
          <w:szCs w:val="28"/>
          <w:highlight w:val="none"/>
          <w14:textFill>
            <w14:solidFill>
              <w14:schemeClr w14:val="tx1"/>
            </w14:solidFill>
          </w14:textFill>
        </w:rPr>
        <w:t>有权解除《成交确认书》，保证金不予退还。</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五、受让方凭本《成交确认书》于两日</w:t>
      </w:r>
      <w:r>
        <w:rPr>
          <w:rFonts w:ascii="宋体" w:hAnsi="宋体"/>
          <w:color w:val="000000" w:themeColor="text1"/>
          <w:sz w:val="28"/>
          <w:szCs w:val="28"/>
          <w:highlight w:val="none"/>
          <w14:textFill>
            <w14:solidFill>
              <w14:schemeClr w14:val="tx1"/>
            </w14:solidFill>
          </w14:textFill>
        </w:rPr>
        <w:t>内</w:t>
      </w:r>
      <w:r>
        <w:rPr>
          <w:rFonts w:hint="eastAsia" w:ascii="宋体" w:hAnsi="宋体"/>
          <w:color w:val="000000" w:themeColor="text1"/>
          <w:sz w:val="28"/>
          <w:szCs w:val="28"/>
          <w:highlight w:val="none"/>
          <w14:textFill>
            <w14:solidFill>
              <w14:schemeClr w14:val="tx1"/>
            </w14:solidFill>
          </w14:textFill>
        </w:rPr>
        <w:t>与转让方签订《股权转让合同》，并按股权转让合同进行履约。</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六、确定本次挂牌转让活动各方当事人权利义务的依据：</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1、《产权转让委托协议书》；</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2、《股权转让合同》及</w:t>
      </w:r>
      <w:r>
        <w:rPr>
          <w:rFonts w:ascii="宋体" w:hAnsi="宋体"/>
          <w:color w:val="000000" w:themeColor="text1"/>
          <w:sz w:val="28"/>
          <w:szCs w:val="28"/>
          <w:highlight w:val="none"/>
          <w14:textFill>
            <w14:solidFill>
              <w14:schemeClr w14:val="tx1"/>
            </w14:solidFill>
          </w14:textFill>
        </w:rPr>
        <w:t>其补充协议（如有）</w:t>
      </w:r>
      <w:r>
        <w:rPr>
          <w:rFonts w:hint="eastAsia" w:ascii="宋体" w:hAnsi="宋体"/>
          <w:color w:val="000000" w:themeColor="text1"/>
          <w:sz w:val="28"/>
          <w:szCs w:val="28"/>
          <w:highlight w:val="none"/>
          <w14:textFill>
            <w14:solidFill>
              <w14:schemeClr w14:val="tx1"/>
            </w14:solidFill>
          </w14:textFill>
        </w:rPr>
        <w:t>；</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3、《转让须知》；</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4、受让方办理的竞买申请手续及提供的有关文件和资料；</w:t>
      </w:r>
    </w:p>
    <w:p>
      <w:pPr>
        <w:spacing w:line="360" w:lineRule="auto"/>
        <w:ind w:firstLine="560"/>
        <w:rPr>
          <w:rFonts w:hint="eastAsia"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5、其他本次挂牌转让有关的</w:t>
      </w:r>
      <w:r>
        <w:rPr>
          <w:rFonts w:ascii="宋体" w:hAnsi="宋体"/>
          <w:color w:val="000000" w:themeColor="text1"/>
          <w:sz w:val="28"/>
          <w:szCs w:val="28"/>
          <w:highlight w:val="none"/>
          <w14:textFill>
            <w14:solidFill>
              <w14:schemeClr w14:val="tx1"/>
            </w14:solidFill>
          </w14:textFill>
        </w:rPr>
        <w:t>文件及</w:t>
      </w:r>
      <w:r>
        <w:rPr>
          <w:rFonts w:hint="eastAsia" w:ascii="宋体" w:hAnsi="宋体"/>
          <w:color w:val="000000" w:themeColor="text1"/>
          <w:sz w:val="28"/>
          <w:szCs w:val="28"/>
          <w:highlight w:val="none"/>
          <w14:textFill>
            <w14:solidFill>
              <w14:schemeClr w14:val="tx1"/>
            </w14:solidFill>
          </w14:textFill>
        </w:rPr>
        <w:t>内容。</w:t>
      </w:r>
    </w:p>
    <w:p>
      <w:pPr>
        <w:spacing w:line="360" w:lineRule="auto"/>
        <w:ind w:firstLine="420" w:firstLineChars="15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七、本确认书在履行中若发生争议，双方应协商解决，协商不成的，可向人民法院以起诉方式解决。</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八、本《成交确认书》一式陆份。主持人、受让方各执二份，委托人、监管部门各执一份。</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挂牌方（盖章）：     　　　　　　 受让方（盖章）：</w:t>
      </w:r>
    </w:p>
    <w:p>
      <w:pPr>
        <w:tabs>
          <w:tab w:val="left" w:pos="521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法定代表人：</w:t>
      </w:r>
      <w:r>
        <w:rPr>
          <w:rFonts w:ascii="宋体" w:hAnsi="宋体"/>
          <w:color w:val="000000" w:themeColor="text1"/>
          <w:sz w:val="28"/>
          <w:szCs w:val="28"/>
          <w:highlight w:val="none"/>
          <w14:textFill>
            <w14:solidFill>
              <w14:schemeClr w14:val="tx1"/>
            </w14:solidFill>
          </w14:textFill>
        </w:rPr>
        <w:tab/>
      </w:r>
      <w:r>
        <w:rPr>
          <w:rFonts w:hint="eastAsia" w:ascii="宋体" w:hAnsi="宋体"/>
          <w:color w:val="000000" w:themeColor="text1"/>
          <w:sz w:val="28"/>
          <w:szCs w:val="28"/>
          <w:highlight w:val="none"/>
          <w14:textFill>
            <w14:solidFill>
              <w14:schemeClr w14:val="tx1"/>
            </w14:solidFill>
          </w14:textFill>
        </w:rPr>
        <w:t>法定代表人：</w:t>
      </w:r>
    </w:p>
    <w:p>
      <w:pPr>
        <w:tabs>
          <w:tab w:val="left" w:pos="521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委托代理人：</w:t>
      </w:r>
      <w:r>
        <w:rPr>
          <w:rFonts w:ascii="宋体" w:hAnsi="宋体"/>
          <w:color w:val="000000" w:themeColor="text1"/>
          <w:sz w:val="28"/>
          <w:szCs w:val="28"/>
          <w:highlight w:val="none"/>
          <w14:textFill>
            <w14:solidFill>
              <w14:schemeClr w14:val="tx1"/>
            </w14:solidFill>
          </w14:textFill>
        </w:rPr>
        <w:tab/>
      </w:r>
      <w:r>
        <w:rPr>
          <w:rFonts w:hint="eastAsia" w:ascii="宋体" w:hAnsi="宋体"/>
          <w:color w:val="000000" w:themeColor="text1"/>
          <w:sz w:val="28"/>
          <w:szCs w:val="28"/>
          <w:highlight w:val="none"/>
          <w14:textFill>
            <w14:solidFill>
              <w14:schemeClr w14:val="tx1"/>
            </w14:solidFill>
          </w14:textFill>
        </w:rPr>
        <w:t>委托代理人：</w:t>
      </w:r>
    </w:p>
    <w:p>
      <w:pPr>
        <w:tabs>
          <w:tab w:val="left" w:pos="5210"/>
        </w:tabs>
        <w:spacing w:line="360" w:lineRule="auto"/>
        <w:ind w:firstLine="560"/>
        <w:rPr>
          <w:rFonts w:hint="eastAsia"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签订日期：    年   月  日        签订日期：    年   月  日</w:t>
      </w:r>
    </w:p>
    <w:p>
      <w:pPr>
        <w:tabs>
          <w:tab w:val="left" w:pos="5210"/>
        </w:tabs>
        <w:spacing w:line="360" w:lineRule="auto"/>
        <w:ind w:firstLine="560"/>
        <w:rPr>
          <w:rFonts w:ascii="宋体" w:hAnsi="宋体"/>
          <w:b/>
          <w:color w:val="000000" w:themeColor="text1"/>
          <w:sz w:val="48"/>
          <w:szCs w:val="48"/>
          <w:highlight w:val="none"/>
          <w14:textFill>
            <w14:solidFill>
              <w14:schemeClr w14:val="tx1"/>
            </w14:solidFill>
          </w14:textFill>
        </w:rPr>
      </w:pPr>
      <w:r>
        <w:rPr>
          <w:rFonts w:hint="eastAsia" w:ascii="宋体" w:hAnsi="宋体"/>
          <w:b/>
          <w:color w:val="000000" w:themeColor="text1"/>
          <w:sz w:val="48"/>
          <w:szCs w:val="48"/>
          <w:highlight w:val="none"/>
          <w14:textFill>
            <w14:solidFill>
              <w14:schemeClr w14:val="tx1"/>
            </w14:solidFill>
          </w14:textFill>
        </w:rPr>
        <w:br w:type="page"/>
      </w:r>
    </w:p>
    <w:p>
      <w:pPr>
        <w:spacing w:line="360" w:lineRule="auto"/>
        <w:ind w:right="-395" w:rightChars="-188" w:firstLine="0" w:firstLineChars="0"/>
        <w:jc w:val="center"/>
        <w:rPr>
          <w:rFonts w:ascii="宋体" w:hAnsi="宋体"/>
          <w:b/>
          <w:color w:val="000000" w:themeColor="text1"/>
          <w:sz w:val="48"/>
          <w:szCs w:val="48"/>
          <w:highlight w:val="none"/>
          <w14:textFill>
            <w14:solidFill>
              <w14:schemeClr w14:val="tx1"/>
            </w14:solidFill>
          </w14:textFill>
        </w:rPr>
      </w:pPr>
    </w:p>
    <w:p>
      <w:pPr>
        <w:spacing w:line="360" w:lineRule="auto"/>
        <w:ind w:right="-395" w:rightChars="-188" w:firstLine="0" w:firstLineChars="0"/>
        <w:jc w:val="center"/>
        <w:rPr>
          <w:rFonts w:ascii="宋体" w:hAnsi="宋体"/>
          <w:b/>
          <w:color w:val="000000" w:themeColor="text1"/>
          <w:sz w:val="48"/>
          <w:szCs w:val="48"/>
          <w:highlight w:val="none"/>
          <w14:textFill>
            <w14:solidFill>
              <w14:schemeClr w14:val="tx1"/>
            </w14:solidFill>
          </w14:textFill>
        </w:rPr>
      </w:pPr>
    </w:p>
    <w:p>
      <w:pPr>
        <w:spacing w:line="360" w:lineRule="auto"/>
        <w:ind w:right="-395" w:rightChars="-188" w:firstLine="0" w:firstLineChars="0"/>
        <w:jc w:val="center"/>
        <w:rPr>
          <w:rFonts w:ascii="宋体" w:hAnsi="宋体"/>
          <w:b/>
          <w:color w:val="000000" w:themeColor="text1"/>
          <w:sz w:val="48"/>
          <w:szCs w:val="48"/>
          <w:highlight w:val="none"/>
          <w14:textFill>
            <w14:solidFill>
              <w14:schemeClr w14:val="tx1"/>
            </w14:solidFill>
          </w14:textFill>
        </w:rPr>
      </w:pPr>
    </w:p>
    <w:p>
      <w:pPr>
        <w:spacing w:line="360" w:lineRule="auto"/>
        <w:ind w:right="-395" w:rightChars="-188" w:firstLine="0" w:firstLineChars="0"/>
        <w:jc w:val="center"/>
        <w:rPr>
          <w:rFonts w:ascii="宋体" w:hAnsi="宋体"/>
          <w:b/>
          <w:color w:val="000000" w:themeColor="text1"/>
          <w:sz w:val="48"/>
          <w:szCs w:val="48"/>
          <w:highlight w:val="none"/>
          <w14:textFill>
            <w14:solidFill>
              <w14:schemeClr w14:val="tx1"/>
            </w14:solidFill>
          </w14:textFill>
        </w:rPr>
      </w:pPr>
    </w:p>
    <w:p>
      <w:pPr>
        <w:spacing w:line="360" w:lineRule="auto"/>
        <w:ind w:left="4" w:leftChars="-200" w:right="-615" w:rightChars="-293" w:hanging="424" w:hangingChars="88"/>
        <w:jc w:val="center"/>
        <w:rPr>
          <w:rFonts w:ascii="宋体" w:hAnsi="宋体"/>
          <w:b/>
          <w:color w:val="000000" w:themeColor="text1"/>
          <w:sz w:val="48"/>
          <w:szCs w:val="48"/>
          <w:highlight w:val="none"/>
          <w14:textFill>
            <w14:solidFill>
              <w14:schemeClr w14:val="tx1"/>
            </w14:solidFill>
          </w14:textFill>
        </w:rPr>
      </w:pPr>
      <w:r>
        <w:rPr>
          <w:rFonts w:hint="eastAsia" w:ascii="宋体" w:hAnsi="宋体"/>
          <w:b/>
          <w:color w:val="000000" w:themeColor="text1"/>
          <w:sz w:val="48"/>
          <w:szCs w:val="48"/>
          <w:highlight w:val="none"/>
          <w14:textFill>
            <w14:solidFill>
              <w14:schemeClr w14:val="tx1"/>
            </w14:solidFill>
          </w14:textFill>
        </w:rPr>
        <w:t>浙江嘉佑医疗器械有限公司3</w:t>
      </w:r>
      <w:r>
        <w:rPr>
          <w:rFonts w:ascii="宋体" w:hAnsi="宋体"/>
          <w:b/>
          <w:color w:val="000000" w:themeColor="text1"/>
          <w:sz w:val="48"/>
          <w:szCs w:val="48"/>
          <w:highlight w:val="none"/>
          <w14:textFill>
            <w14:solidFill>
              <w14:schemeClr w14:val="tx1"/>
            </w14:solidFill>
          </w14:textFill>
        </w:rPr>
        <w:t>3.33</w:t>
      </w:r>
      <w:r>
        <w:rPr>
          <w:rFonts w:hint="eastAsia" w:ascii="宋体" w:hAnsi="宋体"/>
          <w:b/>
          <w:color w:val="000000" w:themeColor="text1"/>
          <w:sz w:val="48"/>
          <w:szCs w:val="48"/>
          <w:highlight w:val="none"/>
          <w14:textFill>
            <w14:solidFill>
              <w14:schemeClr w14:val="tx1"/>
            </w14:solidFill>
          </w14:textFill>
        </w:rPr>
        <w:t>%股权</w:t>
      </w:r>
    </w:p>
    <w:p>
      <w:pPr>
        <w:spacing w:line="360" w:lineRule="auto"/>
        <w:ind w:firstLine="723"/>
        <w:jc w:val="center"/>
        <w:rPr>
          <w:rFonts w:ascii="宋体" w:hAnsi="宋体"/>
          <w:b/>
          <w:color w:val="000000" w:themeColor="text1"/>
          <w:sz w:val="36"/>
          <w:szCs w:val="36"/>
          <w:highlight w:val="none"/>
          <w14:textFill>
            <w14:solidFill>
              <w14:schemeClr w14:val="tx1"/>
            </w14:solidFill>
          </w14:textFill>
        </w:rPr>
      </w:pPr>
    </w:p>
    <w:p>
      <w:pPr>
        <w:pStyle w:val="2"/>
        <w:spacing w:before="0" w:after="0" w:line="360" w:lineRule="auto"/>
        <w:jc w:val="center"/>
        <w:rPr>
          <w:color w:val="000000" w:themeColor="text1"/>
          <w:sz w:val="72"/>
          <w:szCs w:val="56"/>
          <w:highlight w:val="none"/>
          <w14:textFill>
            <w14:solidFill>
              <w14:schemeClr w14:val="tx1"/>
            </w14:solidFill>
          </w14:textFill>
        </w:rPr>
      </w:pPr>
      <w:bookmarkStart w:id="35" w:name="_Toc10080"/>
      <w:bookmarkStart w:id="36" w:name="_Toc27805"/>
      <w:bookmarkStart w:id="37" w:name="_Toc23112"/>
      <w:r>
        <w:rPr>
          <w:rFonts w:hint="eastAsia"/>
          <w:color w:val="000000" w:themeColor="text1"/>
          <w:sz w:val="48"/>
          <w:szCs w:val="56"/>
          <w:highlight w:val="none"/>
          <w14:textFill>
            <w14:solidFill>
              <w14:schemeClr w14:val="tx1"/>
            </w14:solidFill>
          </w14:textFill>
        </w:rPr>
        <w:t>转让合同</w:t>
      </w:r>
      <w:bookmarkEnd w:id="35"/>
      <w:bookmarkEnd w:id="36"/>
      <w:bookmarkEnd w:id="37"/>
    </w:p>
    <w:p>
      <w:pPr>
        <w:spacing w:line="360" w:lineRule="auto"/>
        <w:ind w:firstLine="0" w:firstLineChars="0"/>
        <w:jc w:val="center"/>
        <w:rPr>
          <w:rFonts w:ascii="宋体" w:hAnsi="宋体"/>
          <w:b/>
          <w:color w:val="000000" w:themeColor="text1"/>
          <w:sz w:val="70"/>
          <w:szCs w:val="70"/>
          <w:highlight w:val="none"/>
          <w14:textFill>
            <w14:solidFill>
              <w14:schemeClr w14:val="tx1"/>
            </w14:solidFill>
          </w14:textFill>
        </w:rPr>
      </w:pPr>
    </w:p>
    <w:p>
      <w:pPr>
        <w:spacing w:line="360" w:lineRule="auto"/>
        <w:ind w:firstLine="0" w:firstLineChars="0"/>
        <w:jc w:val="center"/>
        <w:rPr>
          <w:rFonts w:ascii="宋体" w:hAnsi="宋体"/>
          <w:b/>
          <w:color w:val="000000" w:themeColor="text1"/>
          <w:sz w:val="56"/>
          <w:szCs w:val="56"/>
          <w:highlight w:val="none"/>
          <w14:textFill>
            <w14:solidFill>
              <w14:schemeClr w14:val="tx1"/>
            </w14:solidFill>
          </w14:textFill>
        </w:rPr>
      </w:pPr>
      <w:r>
        <w:rPr>
          <w:rFonts w:hint="eastAsia" w:ascii="宋体" w:hAnsi="宋体"/>
          <w:b/>
          <w:color w:val="000000" w:themeColor="text1"/>
          <w:sz w:val="56"/>
          <w:szCs w:val="56"/>
          <w:highlight w:val="none"/>
          <w14:textFill>
            <w14:solidFill>
              <w14:schemeClr w14:val="tx1"/>
            </w14:solidFill>
          </w14:textFill>
        </w:rPr>
        <w:t>（样稿）</w:t>
      </w:r>
    </w:p>
    <w:p>
      <w:pPr>
        <w:spacing w:line="360" w:lineRule="auto"/>
        <w:ind w:firstLine="720"/>
        <w:rPr>
          <w:rFonts w:ascii="宋体" w:hAnsi="宋体"/>
          <w:color w:val="000000" w:themeColor="text1"/>
          <w:sz w:val="36"/>
          <w:szCs w:val="36"/>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0" w:firstLineChars="0"/>
        <w:jc w:val="center"/>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台州市产权交易所有限公司   编制</w:t>
      </w:r>
    </w:p>
    <w:p>
      <w:pPr>
        <w:spacing w:line="360" w:lineRule="auto"/>
        <w:ind w:firstLine="0" w:firstLineChars="0"/>
        <w:rPr>
          <w:b/>
          <w:color w:val="000000" w:themeColor="text1"/>
          <w:sz w:val="28"/>
          <w:szCs w:val="28"/>
          <w:highlight w:val="none"/>
          <w14:textFill>
            <w14:solidFill>
              <w14:schemeClr w14:val="tx1"/>
            </w14:solidFill>
          </w14:textFill>
        </w:rPr>
      </w:pPr>
      <w:r>
        <w:rPr>
          <w:b/>
          <w:color w:val="000000" w:themeColor="text1"/>
          <w:sz w:val="28"/>
          <w:szCs w:val="28"/>
          <w:highlight w:val="none"/>
          <w14:textFill>
            <w14:solidFill>
              <w14:schemeClr w14:val="tx1"/>
            </w14:solidFill>
          </w14:textFill>
        </w:rPr>
        <w:br w:type="page"/>
      </w:r>
    </w:p>
    <w:p>
      <w:pPr>
        <w:pStyle w:val="5"/>
        <w:spacing w:line="360" w:lineRule="auto"/>
        <w:ind w:firstLine="843"/>
        <w:jc w:val="center"/>
        <w:rPr>
          <w:b/>
          <w:color w:val="000000" w:themeColor="text1"/>
          <w:sz w:val="28"/>
          <w:szCs w:val="28"/>
          <w:highlight w:val="none"/>
          <w14:textFill>
            <w14:solidFill>
              <w14:schemeClr w14:val="tx1"/>
            </w14:solidFill>
          </w14:textFill>
        </w:rPr>
      </w:pPr>
    </w:p>
    <w:p>
      <w:pPr>
        <w:pStyle w:val="5"/>
        <w:spacing w:line="360" w:lineRule="auto"/>
        <w:ind w:firstLine="843"/>
        <w:jc w:val="cente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本合同的当事人</w:t>
      </w: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出让人（以下简称甲方）：</w:t>
      </w:r>
      <w:r>
        <w:rPr>
          <w:rFonts w:ascii="宋体" w:hAnsi="宋体"/>
          <w:color w:val="000000" w:themeColor="text1"/>
          <w:sz w:val="28"/>
          <w:szCs w:val="28"/>
          <w:highlight w:val="none"/>
          <w14:textFill>
            <w14:solidFill>
              <w14:schemeClr w14:val="tx1"/>
            </w14:solidFill>
          </w14:textFill>
        </w:rPr>
        <w:t>浙江海正药业股份有限公司</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val="en-US" w:eastAsia="zh-CN"/>
          <w14:textFill>
            <w14:solidFill>
              <w14:schemeClr w14:val="tx1"/>
            </w14:solidFill>
          </w14:textFill>
        </w:rPr>
        <w:t>统一社会信用代码</w:t>
      </w:r>
      <w:r>
        <w:rPr>
          <w:rFonts w:hint="eastAsia" w:ascii="宋体" w:hAnsi="宋体"/>
          <w:color w:val="000000" w:themeColor="text1"/>
          <w:sz w:val="28"/>
          <w:szCs w:val="28"/>
          <w:highlight w:val="none"/>
          <w14:textFill>
            <w14:solidFill>
              <w14:schemeClr w14:val="tx1"/>
            </w14:solidFill>
          </w14:textFill>
        </w:rPr>
        <w:t>：</w:t>
      </w:r>
      <w:r>
        <w:rPr>
          <w:rFonts w:ascii="宋体" w:hAnsi="宋体"/>
          <w:color w:val="000000" w:themeColor="text1"/>
          <w:sz w:val="28"/>
          <w:szCs w:val="28"/>
          <w:highlight w:val="none"/>
          <w14:textFill>
            <w14:solidFill>
              <w14:schemeClr w14:val="tx1"/>
            </w14:solidFill>
          </w14:textFill>
        </w:rPr>
        <w:t>91330000704676287N</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注册地址/住所：</w:t>
      </w:r>
      <w:r>
        <w:rPr>
          <w:rFonts w:ascii="宋体" w:hAnsi="宋体"/>
          <w:color w:val="000000" w:themeColor="text1"/>
          <w:sz w:val="28"/>
          <w:szCs w:val="28"/>
          <w:highlight w:val="none"/>
          <w14:textFill>
            <w14:solidFill>
              <w14:schemeClr w14:val="tx1"/>
            </w14:solidFill>
          </w14:textFill>
        </w:rPr>
        <w:t>中国浙江省台州市椒江区外沙路46号</w:t>
      </w:r>
    </w:p>
    <w:p>
      <w:pPr>
        <w:tabs>
          <w:tab w:val="left" w:pos="4640"/>
        </w:tabs>
        <w:spacing w:line="360" w:lineRule="auto"/>
        <w:ind w:left="6817" w:leftChars="266" w:hanging="6258" w:hangingChars="2235"/>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经济性质：其他</w:t>
      </w:r>
      <w:r>
        <w:rPr>
          <w:rFonts w:ascii="宋体" w:hAnsi="宋体"/>
          <w:color w:val="000000" w:themeColor="text1"/>
          <w:sz w:val="28"/>
          <w:szCs w:val="28"/>
          <w:highlight w:val="none"/>
          <w14:textFill>
            <w14:solidFill>
              <w14:schemeClr w14:val="tx1"/>
            </w14:solidFill>
          </w14:textFill>
        </w:rPr>
        <w:t>股份有限公司</w:t>
      </w:r>
      <w:r>
        <w:rPr>
          <w:rFonts w:hint="eastAsia" w:ascii="宋体" w:hAnsi="宋体"/>
          <w:color w:val="000000" w:themeColor="text1"/>
          <w:sz w:val="28"/>
          <w:szCs w:val="28"/>
          <w:highlight w:val="none"/>
          <w14:textFill>
            <w14:solidFill>
              <w14:schemeClr w14:val="tx1"/>
            </w14:solidFill>
          </w14:textFill>
        </w:rPr>
        <w:t>（</w:t>
      </w:r>
      <w:r>
        <w:rPr>
          <w:rFonts w:ascii="宋体" w:hAnsi="宋体"/>
          <w:color w:val="000000" w:themeColor="text1"/>
          <w:sz w:val="28"/>
          <w:szCs w:val="28"/>
          <w:highlight w:val="none"/>
          <w14:textFill>
            <w14:solidFill>
              <w14:schemeClr w14:val="tx1"/>
            </w14:solidFill>
          </w14:textFill>
        </w:rPr>
        <w:t>上市）</w:t>
      </w:r>
    </w:p>
    <w:p>
      <w:pPr>
        <w:tabs>
          <w:tab w:val="left" w:pos="4640"/>
        </w:tabs>
        <w:spacing w:line="360" w:lineRule="auto"/>
        <w:ind w:left="6817" w:leftChars="266" w:hanging="6258" w:hangingChars="2235"/>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注册资本：</w:t>
      </w:r>
      <w:r>
        <w:rPr>
          <w:rFonts w:ascii="宋体" w:hAnsi="宋体"/>
          <w:color w:val="000000" w:themeColor="text1"/>
          <w:sz w:val="28"/>
          <w:szCs w:val="28"/>
          <w:highlight w:val="none"/>
          <w14:textFill>
            <w14:solidFill>
              <w14:schemeClr w14:val="tx1"/>
            </w14:solidFill>
          </w14:textFill>
        </w:rPr>
        <w:t>96553.1842</w:t>
      </w:r>
      <w:r>
        <w:rPr>
          <w:rFonts w:hint="eastAsia" w:ascii="宋体" w:hAnsi="宋体"/>
          <w:color w:val="000000" w:themeColor="text1"/>
          <w:sz w:val="28"/>
          <w:szCs w:val="28"/>
          <w:highlight w:val="none"/>
          <w14:textFill>
            <w14:solidFill>
              <w14:schemeClr w14:val="tx1"/>
            </w14:solidFill>
          </w14:textFill>
        </w:rPr>
        <w:t>万元人民币</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法定代表人：</w:t>
      </w:r>
      <w:r>
        <w:rPr>
          <w:rFonts w:ascii="宋体" w:hAnsi="宋体"/>
          <w:color w:val="000000" w:themeColor="text1"/>
          <w:sz w:val="28"/>
          <w:szCs w:val="28"/>
          <w:highlight w:val="none"/>
          <w14:textFill>
            <w14:solidFill>
              <w14:schemeClr w14:val="tx1"/>
            </w14:solidFill>
          </w14:textFill>
        </w:rPr>
        <w:t>蒋国平</w:t>
      </w:r>
      <w:r>
        <w:rPr>
          <w:rFonts w:hint="eastAsia" w:ascii="宋体" w:hAnsi="宋体"/>
          <w:color w:val="000000" w:themeColor="text1"/>
          <w:sz w:val="28"/>
          <w:szCs w:val="28"/>
          <w:highlight w:val="none"/>
          <w14:textFill>
            <w14:solidFill>
              <w14:schemeClr w14:val="tx1"/>
            </w14:solidFill>
          </w14:textFill>
        </w:rPr>
        <w:t xml:space="preserve">        职务：董事长</w:t>
      </w:r>
    </w:p>
    <w:p>
      <w:pPr>
        <w:spacing w:line="360" w:lineRule="auto"/>
        <w:ind w:left="6817" w:leftChars="266" w:hanging="6258" w:hangingChars="2235"/>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开户银行：中国工商银行台州市椒江区支行</w:t>
      </w:r>
    </w:p>
    <w:p>
      <w:pPr>
        <w:spacing w:line="360" w:lineRule="auto"/>
        <w:ind w:left="6817" w:leftChars="266" w:hanging="6258" w:hangingChars="2235"/>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帐号：</w:t>
      </w:r>
      <w:r>
        <w:rPr>
          <w:rFonts w:ascii="宋体" w:hAnsi="宋体"/>
          <w:color w:val="000000" w:themeColor="text1"/>
          <w:sz w:val="28"/>
          <w:szCs w:val="28"/>
          <w:highlight w:val="none"/>
          <w14:textFill>
            <w14:solidFill>
              <w14:schemeClr w14:val="tx1"/>
            </w14:solidFill>
          </w14:textFill>
        </w:rPr>
        <w:t>1207 0111 0902 1000 728</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邮编：</w:t>
      </w:r>
      <w:r>
        <w:rPr>
          <w:rFonts w:ascii="宋体" w:hAnsi="宋体"/>
          <w:color w:val="000000" w:themeColor="text1"/>
          <w:sz w:val="28"/>
          <w:szCs w:val="28"/>
          <w:highlight w:val="none"/>
          <w14:textFill>
            <w14:solidFill>
              <w14:schemeClr w14:val="tx1"/>
            </w14:solidFill>
          </w14:textFill>
        </w:rPr>
        <w:t>318000</w:t>
      </w:r>
      <w:r>
        <w:rPr>
          <w:rFonts w:hint="eastAsia" w:ascii="宋体" w:hAnsi="宋体"/>
          <w:color w:val="000000" w:themeColor="text1"/>
          <w:sz w:val="28"/>
          <w:szCs w:val="28"/>
          <w:highlight w:val="none"/>
          <w14:textFill>
            <w14:solidFill>
              <w14:schemeClr w14:val="tx1"/>
            </w14:solidFill>
          </w14:textFill>
        </w:rPr>
        <w:t xml:space="preserve">                 电话：0576-88827992</w:t>
      </w: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受让人（以下简称乙方）： </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主体资格证号或身份证号：</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注册地址/住所： </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经济性质： 　　　　 注册资本：</w:t>
      </w:r>
    </w:p>
    <w:p>
      <w:pPr>
        <w:tabs>
          <w:tab w:val="left" w:pos="6705"/>
        </w:tabs>
        <w:spacing w:line="360" w:lineRule="auto"/>
        <w:ind w:left="6817" w:leftChars="266" w:hanging="6258" w:hangingChars="2235"/>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法定代表人：      　　　  职务：</w:t>
      </w:r>
      <w:r>
        <w:rPr>
          <w:rFonts w:ascii="宋体" w:hAnsi="宋体"/>
          <w:color w:val="000000" w:themeColor="text1"/>
          <w:sz w:val="28"/>
          <w:szCs w:val="28"/>
          <w:highlight w:val="none"/>
          <w14:textFill>
            <w14:solidFill>
              <w14:schemeClr w14:val="tx1"/>
            </w14:solidFill>
          </w14:textFill>
        </w:rPr>
        <w:tab/>
      </w:r>
    </w:p>
    <w:p>
      <w:pPr>
        <w:tabs>
          <w:tab w:val="left" w:pos="4320"/>
          <w:tab w:val="left" w:pos="4680"/>
          <w:tab w:val="left" w:pos="5220"/>
          <w:tab w:val="left" w:pos="6900"/>
          <w:tab w:val="left" w:pos="819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开户银行： 帐号：</w:t>
      </w:r>
    </w:p>
    <w:p>
      <w:pPr>
        <w:tabs>
          <w:tab w:val="left" w:pos="504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邮编：                    电话：</w:t>
      </w:r>
    </w:p>
    <w:p>
      <w:pPr>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br w:type="page"/>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根据《中华人民共和国合同法》和《企业国有资产交易监督管理办法》以及《企业国有产权交易操作规则》等相关法律、法规、规章及有关单位批准，甲方将持有的浙江嘉佑医疗器械有限公司3</w:t>
      </w:r>
      <w:r>
        <w:rPr>
          <w:rFonts w:ascii="宋体" w:hAnsi="宋体"/>
          <w:color w:val="000000" w:themeColor="text1"/>
          <w:sz w:val="28"/>
          <w:szCs w:val="28"/>
          <w:highlight w:val="none"/>
          <w14:textFill>
            <w14:solidFill>
              <w14:schemeClr w14:val="tx1"/>
            </w14:solidFill>
          </w14:textFill>
        </w:rPr>
        <w:t>3.33</w:t>
      </w:r>
      <w:r>
        <w:rPr>
          <w:rFonts w:hint="eastAsia" w:ascii="宋体" w:hAnsi="宋体"/>
          <w:color w:val="000000" w:themeColor="text1"/>
          <w:sz w:val="28"/>
          <w:szCs w:val="28"/>
          <w:highlight w:val="none"/>
          <w14:textFill>
            <w14:solidFill>
              <w14:schemeClr w14:val="tx1"/>
            </w14:solidFill>
          </w14:textFill>
        </w:rPr>
        <w:t>%（以下称“嘉佑医疗”或</w:t>
      </w:r>
      <w:r>
        <w:rPr>
          <w:rFonts w:ascii="宋体" w:hAnsi="宋体"/>
          <w:color w:val="000000" w:themeColor="text1"/>
          <w:sz w:val="28"/>
          <w:szCs w:val="28"/>
          <w:highlight w:val="none"/>
          <w14:textFill>
            <w14:solidFill>
              <w14:schemeClr w14:val="tx1"/>
            </w14:solidFill>
          </w14:textFill>
        </w:rPr>
        <w:t>“标的</w:t>
      </w:r>
      <w:r>
        <w:rPr>
          <w:rFonts w:hint="eastAsia" w:ascii="宋体" w:hAnsi="宋体"/>
          <w:color w:val="000000" w:themeColor="text1"/>
          <w:sz w:val="28"/>
          <w:szCs w:val="28"/>
          <w:highlight w:val="none"/>
          <w14:textFill>
            <w14:solidFill>
              <w14:schemeClr w14:val="tx1"/>
            </w14:solidFill>
          </w14:textFill>
        </w:rPr>
        <w:t>企业</w:t>
      </w:r>
      <w:r>
        <w:rPr>
          <w:rFonts w:ascii="宋体" w:hAnsi="宋体"/>
          <w:color w:val="000000" w:themeColor="text1"/>
          <w:sz w:val="28"/>
          <w:szCs w:val="28"/>
          <w:highlight w:val="none"/>
          <w14:textFill>
            <w14:solidFill>
              <w14:schemeClr w14:val="tx1"/>
            </w14:solidFill>
          </w14:textFill>
        </w:rPr>
        <w:t>”</w:t>
      </w:r>
      <w:r>
        <w:rPr>
          <w:rFonts w:hint="eastAsia" w:ascii="宋体" w:hAnsi="宋体"/>
          <w:color w:val="000000" w:themeColor="text1"/>
          <w:sz w:val="28"/>
          <w:szCs w:val="28"/>
          <w:highlight w:val="none"/>
          <w14:textFill>
            <w14:solidFill>
              <w14:schemeClr w14:val="tx1"/>
            </w14:solidFill>
          </w14:textFill>
        </w:rPr>
        <w:t>）股权转让给乙方。为此，甲、乙双方遵循自愿、公平、诚实信用的原则及转让相关规定订立本合同，以致共同遵守。</w:t>
      </w:r>
    </w:p>
    <w:p>
      <w:pPr>
        <w:tabs>
          <w:tab w:val="left" w:pos="3780"/>
        </w:tabs>
        <w:spacing w:line="360" w:lineRule="auto"/>
        <w:ind w:firstLine="562"/>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鉴于：</w:t>
      </w:r>
    </w:p>
    <w:p>
      <w:pPr>
        <w:pStyle w:val="34"/>
        <w:numPr>
          <w:ilvl w:val="0"/>
          <w:numId w:val="5"/>
        </w:numPr>
        <w:spacing w:line="360" w:lineRule="auto"/>
        <w:ind w:left="0" w:firstLine="567" w:firstLineChars="0"/>
        <w:rPr>
          <w:rFonts w:ascii="宋体" w:hAnsi="宋体" w:cs="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嘉佑医疗是一家专注于骨科耗材产品研发、生产和销售的专业化公司。组建于2014年5月，注册资本2,250万元，统一社会信用代码为913306003073033994，法定代表人黄海生。经营范围：生产、销售：第一类医疗器械、第二类医疗器械（凭有效许可证经营）、第三类医疗器械（凭有效许可证经营）；货物进出口；展览、展示服务。</w:t>
      </w:r>
    </w:p>
    <w:p>
      <w:pPr>
        <w:pStyle w:val="34"/>
        <w:numPr>
          <w:ilvl w:val="0"/>
          <w:numId w:val="5"/>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转让标的（</w:t>
      </w:r>
      <w:r>
        <w:rPr>
          <w:rFonts w:ascii="宋体" w:hAnsi="宋体"/>
          <w:color w:val="000000" w:themeColor="text1"/>
          <w:sz w:val="28"/>
          <w:szCs w:val="28"/>
          <w:highlight w:val="none"/>
          <w14:textFill>
            <w14:solidFill>
              <w14:schemeClr w14:val="tx1"/>
            </w14:solidFill>
          </w14:textFill>
        </w:rPr>
        <w:t>定义见下文</w:t>
      </w:r>
      <w:r>
        <w:rPr>
          <w:rFonts w:hint="eastAsia" w:ascii="宋体" w:hAnsi="宋体"/>
          <w:color w:val="000000" w:themeColor="text1"/>
          <w:sz w:val="28"/>
          <w:szCs w:val="28"/>
          <w:highlight w:val="none"/>
          <w14:textFill>
            <w14:solidFill>
              <w14:schemeClr w14:val="tx1"/>
            </w14:solidFill>
          </w14:textFill>
        </w:rPr>
        <w:t>）经有资质的坤元资产评估有限公司评估，出具了以2019年11月30日为评估基准日的坤元评报【20</w:t>
      </w:r>
      <w:r>
        <w:rPr>
          <w:rFonts w:ascii="宋体" w:hAnsi="宋体"/>
          <w:color w:val="000000" w:themeColor="text1"/>
          <w:sz w:val="28"/>
          <w:szCs w:val="28"/>
          <w:highlight w:val="none"/>
          <w14:textFill>
            <w14:solidFill>
              <w14:schemeClr w14:val="tx1"/>
            </w14:solidFill>
          </w14:textFill>
        </w:rPr>
        <w:t>20</w:t>
      </w:r>
      <w:r>
        <w:rPr>
          <w:rFonts w:hint="eastAsia" w:ascii="宋体" w:hAnsi="宋体"/>
          <w:color w:val="000000" w:themeColor="text1"/>
          <w:sz w:val="28"/>
          <w:szCs w:val="28"/>
          <w:highlight w:val="none"/>
          <w14:textFill>
            <w14:solidFill>
              <w14:schemeClr w14:val="tx1"/>
            </w14:solidFill>
          </w14:textFill>
        </w:rPr>
        <w:t>】1</w:t>
      </w:r>
      <w:r>
        <w:rPr>
          <w:rFonts w:ascii="宋体" w:hAnsi="宋体"/>
          <w:color w:val="000000" w:themeColor="text1"/>
          <w:sz w:val="28"/>
          <w:szCs w:val="28"/>
          <w:highlight w:val="none"/>
          <w14:textFill>
            <w14:solidFill>
              <w14:schemeClr w14:val="tx1"/>
            </w14:solidFill>
          </w14:textFill>
        </w:rPr>
        <w:t>3</w:t>
      </w:r>
      <w:r>
        <w:rPr>
          <w:rFonts w:hint="eastAsia" w:ascii="宋体" w:hAnsi="宋体"/>
          <w:color w:val="000000" w:themeColor="text1"/>
          <w:sz w:val="28"/>
          <w:szCs w:val="28"/>
          <w:highlight w:val="none"/>
          <w14:textFill>
            <w14:solidFill>
              <w14:schemeClr w14:val="tx1"/>
            </w14:solidFill>
          </w14:textFill>
        </w:rPr>
        <w:t>号《浙江海正药业股份有限公司拟转让股权涉及的浙江嘉佑医疗器械有限公司股东全部权益价值评估项目资产评估报告》。</w:t>
      </w:r>
    </w:p>
    <w:p>
      <w:pPr>
        <w:pStyle w:val="34"/>
        <w:numPr>
          <w:ilvl w:val="0"/>
          <w:numId w:val="5"/>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w:t>
      </w:r>
      <w:r>
        <w:rPr>
          <w:rFonts w:ascii="宋体" w:hAnsi="宋体"/>
          <w:color w:val="000000" w:themeColor="text1"/>
          <w:sz w:val="28"/>
          <w:szCs w:val="28"/>
          <w:highlight w:val="none"/>
          <w14:textFill>
            <w14:solidFill>
              <w14:schemeClr w14:val="tx1"/>
            </w14:solidFill>
          </w14:textFill>
        </w:rPr>
        <w:t>定义见下文）</w:t>
      </w:r>
      <w:r>
        <w:rPr>
          <w:rFonts w:hint="eastAsia" w:ascii="宋体" w:hAnsi="宋体"/>
          <w:color w:val="000000" w:themeColor="text1"/>
          <w:sz w:val="28"/>
          <w:szCs w:val="28"/>
          <w:highlight w:val="none"/>
          <w14:textFill>
            <w14:solidFill>
              <w14:schemeClr w14:val="tx1"/>
            </w14:solidFill>
          </w14:textFill>
        </w:rPr>
        <w:t>已经必要的内部决策和批准程序，资产评估报告已经台州市椒江区国资委备案。</w:t>
      </w:r>
    </w:p>
    <w:p>
      <w:pPr>
        <w:pStyle w:val="34"/>
        <w:numPr>
          <w:ilvl w:val="0"/>
          <w:numId w:val="5"/>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甲、乙双方当事人对上述情况及本次股权转让的相关资料均已进行全面详细的了解。</w:t>
      </w:r>
    </w:p>
    <w:p>
      <w:pPr>
        <w:pStyle w:val="34"/>
        <w:numPr>
          <w:ilvl w:val="0"/>
          <w:numId w:val="5"/>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本次股权转让，双方当事人均已被授权。</w:t>
      </w:r>
    </w:p>
    <w:p>
      <w:pPr>
        <w:tabs>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转让的标的</w:t>
      </w:r>
    </w:p>
    <w:p>
      <w:pPr>
        <w:tabs>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甲方将持有的嘉佑医疗</w:t>
      </w:r>
      <w:r>
        <w:rPr>
          <w:rFonts w:hint="eastAsia" w:ascii="宋体" w:hAnsi="宋体"/>
          <w:color w:val="000000" w:themeColor="text1"/>
          <w:sz w:val="28"/>
          <w:highlight w:val="none"/>
          <w14:textFill>
            <w14:solidFill>
              <w14:schemeClr w14:val="tx1"/>
            </w14:solidFill>
          </w14:textFill>
        </w:rPr>
        <w:t>33.33%股权</w:t>
      </w:r>
      <w:r>
        <w:rPr>
          <w:rFonts w:hint="eastAsia" w:ascii="宋体" w:hAnsi="宋体"/>
          <w:color w:val="000000" w:themeColor="text1"/>
          <w:sz w:val="28"/>
          <w:szCs w:val="28"/>
          <w:highlight w:val="none"/>
          <w14:textFill>
            <w14:solidFill>
              <w14:schemeClr w14:val="tx1"/>
            </w14:solidFill>
          </w14:textFill>
        </w:rPr>
        <w:t>（对应注册资本人民币750万元，</w:t>
      </w:r>
      <w:r>
        <w:rPr>
          <w:rFonts w:ascii="宋体" w:hAnsi="宋体"/>
          <w:color w:val="000000" w:themeColor="text1"/>
          <w:sz w:val="28"/>
          <w:szCs w:val="28"/>
          <w:highlight w:val="none"/>
          <w14:textFill>
            <w14:solidFill>
              <w14:schemeClr w14:val="tx1"/>
            </w14:solidFill>
          </w14:textFill>
        </w:rPr>
        <w:t>“</w:t>
      </w:r>
      <w:r>
        <w:rPr>
          <w:rFonts w:hint="eastAsia" w:ascii="宋体" w:hAnsi="宋体"/>
          <w:color w:val="000000" w:themeColor="text1"/>
          <w:sz w:val="28"/>
          <w:szCs w:val="28"/>
          <w:highlight w:val="none"/>
          <w14:textFill>
            <w14:solidFill>
              <w14:schemeClr w14:val="tx1"/>
            </w14:solidFill>
          </w14:textFill>
        </w:rPr>
        <w:t>转让</w:t>
      </w:r>
      <w:r>
        <w:rPr>
          <w:rFonts w:ascii="宋体" w:hAnsi="宋体"/>
          <w:color w:val="000000" w:themeColor="text1"/>
          <w:sz w:val="28"/>
          <w:szCs w:val="28"/>
          <w:highlight w:val="none"/>
          <w14:textFill>
            <w14:solidFill>
              <w14:schemeClr w14:val="tx1"/>
            </w14:solidFill>
          </w14:textFill>
        </w:rPr>
        <w:t>标的”</w:t>
      </w:r>
      <w:r>
        <w:rPr>
          <w:rFonts w:hint="eastAsia" w:ascii="宋体" w:hAnsi="宋体"/>
          <w:color w:val="000000" w:themeColor="text1"/>
          <w:sz w:val="28"/>
          <w:szCs w:val="28"/>
          <w:highlight w:val="none"/>
          <w14:textFill>
            <w14:solidFill>
              <w14:schemeClr w14:val="tx1"/>
            </w14:solidFill>
          </w14:textFill>
        </w:rPr>
        <w:t>）有偿转让给乙方（</w:t>
      </w:r>
      <w:r>
        <w:rPr>
          <w:rFonts w:ascii="宋体" w:hAnsi="宋体"/>
          <w:color w:val="000000" w:themeColor="text1"/>
          <w:sz w:val="28"/>
          <w:szCs w:val="28"/>
          <w:highlight w:val="none"/>
          <w14:textFill>
            <w14:solidFill>
              <w14:schemeClr w14:val="tx1"/>
            </w14:solidFill>
          </w14:textFill>
        </w:rPr>
        <w:t>“本次股权转让”）</w:t>
      </w:r>
      <w:r>
        <w:rPr>
          <w:rFonts w:hint="eastAsia" w:ascii="宋体" w:hAnsi="宋体"/>
          <w:color w:val="000000" w:themeColor="text1"/>
          <w:sz w:val="28"/>
          <w:szCs w:val="28"/>
          <w:highlight w:val="none"/>
          <w14:textFill>
            <w14:solidFill>
              <w14:schemeClr w14:val="tx1"/>
            </w14:solidFill>
          </w14:textFill>
        </w:rPr>
        <w:t>。</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转让标的企业涉及的职工安置</w:t>
      </w:r>
    </w:p>
    <w:p>
      <w:pPr>
        <w:tabs>
          <w:tab w:val="left" w:pos="3780"/>
        </w:tabs>
        <w:spacing w:line="360" w:lineRule="auto"/>
        <w:ind w:firstLine="560"/>
        <w:jc w:val="left"/>
        <w:rPr>
          <w:rFonts w:ascii="宋体" w:hAnsi="宋体"/>
          <w:b/>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本次股权转让完成后，职工的劳动合同继续有效，其劳动关系、社会保险及住房公积金关系保持不变。</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转让标的企业涉及的债权、债务的承继和清偿办法。</w:t>
      </w:r>
    </w:p>
    <w:p>
      <w:pPr>
        <w:tabs>
          <w:tab w:val="left" w:pos="1620"/>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本次股权转让后，嘉佑医疗的法人主体未发生变化，为依法存续的有限责任公司。故此，其所有债权、债务依然由嘉佑医疗承继。</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股权转让方式</w:t>
      </w:r>
    </w:p>
    <w:p>
      <w:pPr>
        <w:tabs>
          <w:tab w:val="left" w:pos="1620"/>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以网络竞价方式转让。。</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股权转让价格</w:t>
      </w:r>
    </w:p>
    <w:p>
      <w:pPr>
        <w:tabs>
          <w:tab w:val="left" w:pos="3780"/>
        </w:tabs>
        <w:spacing w:line="360" w:lineRule="auto"/>
        <w:ind w:left="105" w:leftChars="50" w:firstLine="397" w:firstLineChars="142"/>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甲方将本合同第一条规定的转让标的以人民币（大写）</w:t>
      </w:r>
      <w:r>
        <w:rPr>
          <w:rFonts w:hint="eastAsia" w:ascii="宋体" w:hAnsi="宋体"/>
          <w:color w:val="000000" w:themeColor="text1"/>
          <w:sz w:val="28"/>
          <w:szCs w:val="28"/>
          <w:highlight w:val="none"/>
          <w:lang w:val="en-US" w:eastAsia="zh-CN"/>
          <w14:textFill>
            <w14:solidFill>
              <w14:schemeClr w14:val="tx1"/>
            </w14:solidFill>
          </w14:textFill>
        </w:rPr>
        <w:t xml:space="preserve">          </w:t>
      </w:r>
      <w:r>
        <w:rPr>
          <w:rFonts w:hint="eastAsia" w:ascii="宋体" w:hAnsi="宋体"/>
          <w:color w:val="000000" w:themeColor="text1"/>
          <w:sz w:val="28"/>
          <w:szCs w:val="28"/>
          <w:highlight w:val="none"/>
          <w14:textFill>
            <w14:solidFill>
              <w14:schemeClr w14:val="tx1"/>
            </w14:solidFill>
          </w14:textFill>
        </w:rPr>
        <w:t>万元，（小写）￥</w:t>
      </w:r>
      <w:r>
        <w:rPr>
          <w:rFonts w:hint="eastAsia" w:ascii="宋体" w:hAnsi="宋体"/>
          <w:color w:val="000000" w:themeColor="text1"/>
          <w:sz w:val="28"/>
          <w:szCs w:val="28"/>
          <w:highlight w:val="none"/>
          <w:lang w:val="en-US" w:eastAsia="zh-CN"/>
          <w14:textFill>
            <w14:solidFill>
              <w14:schemeClr w14:val="tx1"/>
            </w14:solidFill>
          </w14:textFill>
        </w:rPr>
        <w:t xml:space="preserve">            </w:t>
      </w:r>
      <w:r>
        <w:rPr>
          <w:rFonts w:hint="eastAsia" w:ascii="宋体" w:hAnsi="宋体"/>
          <w:color w:val="000000" w:themeColor="text1"/>
          <w:sz w:val="28"/>
          <w:szCs w:val="28"/>
          <w:highlight w:val="none"/>
          <w14:textFill>
            <w14:solidFill>
              <w14:schemeClr w14:val="tx1"/>
            </w14:solidFill>
          </w14:textFill>
        </w:rPr>
        <w:t>万元转让给乙方。</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股权转让价款的支付方式、期限及付款条件</w:t>
      </w:r>
    </w:p>
    <w:p>
      <w:pPr>
        <w:tabs>
          <w:tab w:val="left" w:pos="993"/>
        </w:tabs>
        <w:spacing w:line="360" w:lineRule="auto"/>
        <w:ind w:firstLine="565" w:firstLineChars="202"/>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1、乙方于本合同生效后(如需相关政府主管部门批准、登记及/或备案的，则在政府主管部门批准、登记及/或备案完成后)</w:t>
      </w:r>
      <w:r>
        <w:rPr>
          <w:rFonts w:hint="eastAsia" w:ascii="宋体" w:hAnsi="宋体"/>
          <w:color w:val="000000" w:themeColor="text1"/>
          <w:sz w:val="28"/>
          <w:szCs w:val="28"/>
          <w:highlight w:val="none"/>
          <w:u w:val="single"/>
          <w14:textFill>
            <w14:solidFill>
              <w14:schemeClr w14:val="tx1"/>
            </w14:solidFill>
          </w14:textFill>
        </w:rPr>
        <w:t>五</w:t>
      </w:r>
      <w:r>
        <w:rPr>
          <w:rFonts w:hint="eastAsia" w:ascii="宋体" w:hAnsi="宋体"/>
          <w:color w:val="000000" w:themeColor="text1"/>
          <w:sz w:val="28"/>
          <w:szCs w:val="28"/>
          <w:highlight w:val="none"/>
          <w14:textFill>
            <w14:solidFill>
              <w14:schemeClr w14:val="tx1"/>
            </w14:solidFill>
          </w14:textFill>
        </w:rPr>
        <w:t>个工作日内，向台州市产权交易所有限公司一次性支付全款贰仟伍佰万元人民币；乙方先期缴纳的竞买保证金可抵作相应金额的股权转让价款。上述竞买保证金应缴入台州市产权交易所有限公司（“产交所”）的以下账户：</w:t>
      </w:r>
    </w:p>
    <w:p>
      <w:pPr>
        <w:tabs>
          <w:tab w:val="left" w:pos="993"/>
        </w:tabs>
        <w:spacing w:line="360" w:lineRule="auto"/>
        <w:ind w:firstLine="565" w:firstLineChars="202"/>
        <w:rPr>
          <w:rFonts w:hint="eastAsia"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(1)乙方为境内主体适用：单位名称：台州市产权交易所有限公司，开户行：浙江民泰商业银行台州椒江支行，帐号：583016260800028。</w:t>
      </w:r>
    </w:p>
    <w:p>
      <w:pPr>
        <w:numPr>
          <w:ilvl w:val="-1"/>
          <w:numId w:val="0"/>
        </w:numPr>
        <w:tabs>
          <w:tab w:val="left" w:pos="993"/>
        </w:tabs>
        <w:spacing w:line="360" w:lineRule="auto"/>
        <w:ind w:firstLine="565" w:firstLineChars="202"/>
        <w:jc w:val="left"/>
        <w:rPr>
          <w:rFonts w:ascii="宋体" w:hAnsi="宋体"/>
          <w:color w:val="000000" w:themeColor="text1"/>
          <w:sz w:val="28"/>
          <w:szCs w:val="28"/>
          <w:highlight w:val="none"/>
          <w14:textFill>
            <w14:solidFill>
              <w14:schemeClr w14:val="tx1"/>
            </w14:solidFill>
          </w14:textFill>
        </w:rPr>
      </w:pPr>
      <w:r>
        <w:rPr>
          <w:rFonts w:hint="eastAsia" w:ascii="宋体" w:hAnsi="宋体"/>
          <w:bCs w:val="0"/>
          <w:color w:val="000000" w:themeColor="text1"/>
          <w:sz w:val="28"/>
          <w:szCs w:val="28"/>
          <w:highlight w:val="none"/>
          <w:lang w:eastAsia="zh-CN"/>
          <w14:textFill>
            <w14:solidFill>
              <w14:schemeClr w14:val="tx1"/>
            </w14:solidFill>
          </w14:textFill>
        </w:rPr>
        <w:t>（</w:t>
      </w:r>
      <w:r>
        <w:rPr>
          <w:rFonts w:hint="eastAsia" w:ascii="宋体" w:hAnsi="宋体"/>
          <w:bCs w:val="0"/>
          <w:color w:val="000000" w:themeColor="text1"/>
          <w:sz w:val="28"/>
          <w:szCs w:val="28"/>
          <w:highlight w:val="none"/>
          <w:lang w:val="en-US" w:eastAsia="zh-CN"/>
          <w14:textFill>
            <w14:solidFill>
              <w14:schemeClr w14:val="tx1"/>
            </w14:solidFill>
          </w14:textFill>
        </w:rPr>
        <w:t>2）乙</w:t>
      </w:r>
      <w:r>
        <w:rPr>
          <w:rFonts w:hint="eastAsia" w:ascii="宋体" w:hAnsi="宋体"/>
          <w:bCs w:val="0"/>
          <w:color w:val="000000" w:themeColor="text1"/>
          <w:sz w:val="28"/>
          <w:szCs w:val="28"/>
          <w:highlight w:val="none"/>
          <w14:textFill>
            <w14:solidFill>
              <w14:schemeClr w14:val="tx1"/>
            </w14:solidFill>
          </w14:textFill>
        </w:rPr>
        <w:t>方为境外竞买人的，以外币支付股权转让价款，在</w:t>
      </w:r>
      <w:r>
        <w:rPr>
          <w:rFonts w:hint="eastAsia" w:ascii="宋体" w:hAnsi="宋体"/>
          <w:bCs w:val="0"/>
          <w:color w:val="000000" w:themeColor="text1"/>
          <w:sz w:val="28"/>
          <w:szCs w:val="28"/>
          <w:highlight w:val="none"/>
          <w:lang w:val="en-US" w:eastAsia="zh-CN"/>
          <w14:textFill>
            <w14:solidFill>
              <w14:schemeClr w14:val="tx1"/>
            </w14:solidFill>
          </w14:textFill>
        </w:rPr>
        <w:t>甲</w:t>
      </w:r>
      <w:r>
        <w:rPr>
          <w:rFonts w:hint="eastAsia" w:ascii="宋体" w:hAnsi="宋体"/>
          <w:bCs w:val="0"/>
          <w:color w:val="000000" w:themeColor="text1"/>
          <w:sz w:val="28"/>
          <w:szCs w:val="28"/>
          <w:highlight w:val="none"/>
          <w14:textFill>
            <w14:solidFill>
              <w14:schemeClr w14:val="tx1"/>
            </w14:solidFill>
          </w14:textFill>
        </w:rPr>
        <w:t>方浙江海正药业股份有限公司开具外币资本账户后五个工作日内支付。</w:t>
      </w:r>
    </w:p>
    <w:p>
      <w:pPr>
        <w:tabs>
          <w:tab w:val="left" w:pos="993"/>
        </w:tabs>
        <w:spacing w:line="360" w:lineRule="auto"/>
        <w:ind w:firstLine="565" w:firstLineChars="202"/>
        <w:rPr>
          <w:rFonts w:hint="eastAsia" w:ascii="宋体" w:hAnsi="宋体"/>
          <w:color w:val="000000" w:themeColor="text1"/>
          <w:sz w:val="28"/>
          <w:szCs w:val="28"/>
          <w:highlight w:val="none"/>
          <w14:textFill>
            <w14:solidFill>
              <w14:schemeClr w14:val="tx1"/>
            </w14:solidFill>
          </w14:textFill>
        </w:rPr>
      </w:pPr>
    </w:p>
    <w:p>
      <w:pPr>
        <w:tabs>
          <w:tab w:val="left" w:pos="993"/>
        </w:tabs>
        <w:spacing w:line="360" w:lineRule="auto"/>
        <w:ind w:firstLine="565" w:firstLineChars="202"/>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2、甲、乙双方应在本合同签订生效后五个工作日内</w:t>
      </w:r>
      <w:r>
        <w:rPr>
          <w:rFonts w:hint="eastAsia" w:ascii="宋体" w:hAnsi="宋体"/>
          <w:color w:val="000000" w:themeColor="text1"/>
          <w:sz w:val="28"/>
          <w:szCs w:val="28"/>
          <w:highlight w:val="none"/>
          <w:lang w:val="en-US" w:eastAsia="zh-CN"/>
          <w14:textFill>
            <w14:solidFill>
              <w14:schemeClr w14:val="tx1"/>
            </w14:solidFill>
          </w14:textFill>
        </w:rPr>
        <w:t>分别</w:t>
      </w:r>
      <w:r>
        <w:rPr>
          <w:rFonts w:hint="eastAsia" w:ascii="宋体" w:hAnsi="宋体"/>
          <w:color w:val="000000" w:themeColor="text1"/>
          <w:sz w:val="28"/>
          <w:szCs w:val="28"/>
          <w:highlight w:val="none"/>
          <w14:textFill>
            <w14:solidFill>
              <w14:schemeClr w14:val="tx1"/>
            </w14:solidFill>
          </w14:textFill>
        </w:rPr>
        <w:t>向台州市产权交易所有限公司的以下账户</w:t>
      </w:r>
      <w:r>
        <w:rPr>
          <w:rFonts w:hint="eastAsia" w:ascii="宋体" w:hAnsi="宋体"/>
          <w:color w:val="000000" w:themeColor="text1"/>
          <w:sz w:val="28"/>
          <w:szCs w:val="28"/>
          <w:highlight w:val="none"/>
          <w:lang w:val="en-US" w:eastAsia="zh-CN"/>
          <w14:textFill>
            <w14:solidFill>
              <w14:schemeClr w14:val="tx1"/>
            </w14:solidFill>
          </w14:textFill>
        </w:rPr>
        <w:t>支付</w:t>
      </w:r>
      <w:r>
        <w:rPr>
          <w:rFonts w:hint="eastAsia" w:ascii="宋体" w:hAnsi="宋体"/>
          <w:color w:val="000000" w:themeColor="text1"/>
          <w:sz w:val="28"/>
          <w:szCs w:val="28"/>
          <w:highlight w:val="none"/>
          <w14:textFill>
            <w14:solidFill>
              <w14:schemeClr w14:val="tx1"/>
            </w14:solidFill>
          </w14:textFill>
        </w:rPr>
        <w:t>交易佣金</w:t>
      </w:r>
      <w:r>
        <w:rPr>
          <w:rFonts w:hint="eastAsia" w:ascii="宋体" w:hAnsi="宋体"/>
          <w:color w:val="000000" w:themeColor="text1"/>
          <w:sz w:val="28"/>
          <w:szCs w:val="28"/>
          <w:highlight w:val="none"/>
          <w:lang w:eastAsia="zh-CN"/>
          <w14:textFill>
            <w14:solidFill>
              <w14:schemeClr w14:val="tx1"/>
            </w14:solidFill>
          </w14:textFill>
        </w:rPr>
        <w:t>，</w:t>
      </w:r>
      <w:r>
        <w:rPr>
          <w:rFonts w:hint="eastAsia" w:ascii="宋体" w:hAnsi="宋体"/>
          <w:color w:val="000000" w:themeColor="text1"/>
          <w:sz w:val="28"/>
          <w:szCs w:val="28"/>
          <w:highlight w:val="none"/>
          <w:lang w:val="en-US" w:eastAsia="zh-CN"/>
          <w14:textFill>
            <w14:solidFill>
              <w14:schemeClr w14:val="tx1"/>
            </w14:solidFill>
          </w14:textFill>
        </w:rPr>
        <w:t>双方交易佣金金额分别为成交额的0.34%</w:t>
      </w:r>
      <w:r>
        <w:rPr>
          <w:rFonts w:hint="eastAsia" w:ascii="宋体" w:hAnsi="宋体"/>
          <w:color w:val="000000" w:themeColor="text1"/>
          <w:sz w:val="28"/>
          <w:szCs w:val="28"/>
          <w:highlight w:val="none"/>
          <w14:textFill>
            <w14:solidFill>
              <w14:schemeClr w14:val="tx1"/>
            </w14:solidFill>
          </w14:textFill>
        </w:rPr>
        <w:t>：</w:t>
      </w:r>
    </w:p>
    <w:p>
      <w:pPr>
        <w:tabs>
          <w:tab w:val="left" w:pos="993"/>
        </w:tabs>
        <w:spacing w:line="360" w:lineRule="auto"/>
        <w:ind w:firstLine="565" w:firstLineChars="202"/>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开户单位：台州市产权交易所有限公司</w:t>
      </w:r>
    </w:p>
    <w:p>
      <w:pPr>
        <w:tabs>
          <w:tab w:val="left" w:pos="993"/>
        </w:tabs>
        <w:spacing w:line="360" w:lineRule="auto"/>
        <w:ind w:firstLine="565" w:firstLineChars="202"/>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开户行：浙江民泰商业银行台州椒江支行</w:t>
      </w:r>
    </w:p>
    <w:p>
      <w:pPr>
        <w:tabs>
          <w:tab w:val="left" w:pos="993"/>
        </w:tabs>
        <w:spacing w:line="360" w:lineRule="auto"/>
        <w:ind w:firstLine="565" w:firstLineChars="202"/>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账号：583016260800028。</w:t>
      </w:r>
    </w:p>
    <w:p>
      <w:pPr>
        <w:tabs>
          <w:tab w:val="left" w:pos="993"/>
        </w:tabs>
        <w:spacing w:line="360" w:lineRule="auto"/>
        <w:ind w:firstLine="565" w:firstLineChars="202"/>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3、双方同意将促使台州市产权交易所有限公司在本次股权转让完成后五个工作日内向甲方一次性支付全款。</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股权交割事项</w:t>
      </w:r>
    </w:p>
    <w:p>
      <w:pPr>
        <w:pStyle w:val="34"/>
        <w:numPr>
          <w:ilvl w:val="0"/>
          <w:numId w:val="7"/>
        </w:numPr>
        <w:spacing w:line="360" w:lineRule="auto"/>
        <w:ind w:left="0" w:firstLine="567" w:firstLineChars="0"/>
        <w:rPr>
          <w:rFonts w:hint="eastAsia"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val="en-US" w:eastAsia="zh-CN"/>
          <w14:textFill>
            <w14:solidFill>
              <w14:schemeClr w14:val="tx1"/>
            </w14:solidFill>
          </w14:textFill>
        </w:rPr>
        <w:t>受让方成功摘牌，</w:t>
      </w:r>
      <w:r>
        <w:rPr>
          <w:rFonts w:hint="eastAsia" w:ascii="宋体" w:hAnsi="宋体"/>
          <w:color w:val="000000" w:themeColor="text1"/>
          <w:sz w:val="28"/>
          <w:szCs w:val="28"/>
          <w:highlight w:val="none"/>
          <w14:textFill>
            <w14:solidFill>
              <w14:schemeClr w14:val="tx1"/>
            </w14:solidFill>
          </w14:textFill>
        </w:rPr>
        <w:t>产交所审核后向受让方</w:t>
      </w:r>
      <w:r>
        <w:rPr>
          <w:rFonts w:hint="eastAsia" w:ascii="宋体" w:hAnsi="宋体"/>
          <w:color w:val="000000" w:themeColor="text1"/>
          <w:sz w:val="28"/>
          <w:szCs w:val="28"/>
          <w:highlight w:val="none"/>
          <w:lang w:eastAsia="zh-CN"/>
          <w14:textFill>
            <w14:solidFill>
              <w14:schemeClr w14:val="tx1"/>
            </w14:solidFill>
          </w14:textFill>
        </w:rPr>
        <w:t>、</w:t>
      </w:r>
      <w:r>
        <w:rPr>
          <w:rFonts w:hint="eastAsia" w:ascii="宋体" w:hAnsi="宋体"/>
          <w:color w:val="000000" w:themeColor="text1"/>
          <w:sz w:val="28"/>
          <w:szCs w:val="28"/>
          <w:highlight w:val="none"/>
          <w:lang w:val="en-US" w:eastAsia="zh-CN"/>
          <w14:textFill>
            <w14:solidFill>
              <w14:schemeClr w14:val="tx1"/>
            </w14:solidFill>
          </w14:textFill>
        </w:rPr>
        <w:t>出让方</w:t>
      </w:r>
      <w:r>
        <w:rPr>
          <w:rFonts w:hint="eastAsia" w:ascii="宋体" w:hAnsi="宋体"/>
          <w:color w:val="000000" w:themeColor="text1"/>
          <w:sz w:val="28"/>
          <w:szCs w:val="28"/>
          <w:highlight w:val="none"/>
          <w14:textFill>
            <w14:solidFill>
              <w14:schemeClr w14:val="tx1"/>
            </w14:solidFill>
          </w14:textFill>
        </w:rPr>
        <w:t>出具本次股权转让的《产权交易凭证》。</w:t>
      </w:r>
    </w:p>
    <w:p>
      <w:pPr>
        <w:pStyle w:val="34"/>
        <w:numPr>
          <w:ilvl w:val="0"/>
          <w:numId w:val="7"/>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产交所出具本次股权</w:t>
      </w:r>
      <w:r>
        <w:rPr>
          <w:rFonts w:ascii="宋体" w:hAnsi="宋体"/>
          <w:color w:val="000000" w:themeColor="text1"/>
          <w:sz w:val="28"/>
          <w:szCs w:val="28"/>
          <w:highlight w:val="none"/>
          <w14:textFill>
            <w14:solidFill>
              <w14:schemeClr w14:val="tx1"/>
            </w14:solidFill>
          </w14:textFill>
        </w:rPr>
        <w:t>转让的</w:t>
      </w:r>
      <w:r>
        <w:rPr>
          <w:rFonts w:hint="eastAsia" w:ascii="宋体" w:hAnsi="宋体"/>
          <w:color w:val="000000" w:themeColor="text1"/>
          <w:sz w:val="28"/>
          <w:szCs w:val="28"/>
          <w:highlight w:val="none"/>
          <w14:textFill>
            <w14:solidFill>
              <w14:schemeClr w14:val="tx1"/>
            </w14:solidFill>
          </w14:textFill>
        </w:rPr>
        <w:t>《产权交易凭证》后五个工作日内</w:t>
      </w:r>
      <w:r>
        <w:rPr>
          <w:rFonts w:hint="eastAsia" w:ascii="宋体" w:hAnsi="宋体"/>
          <w:color w:val="000000" w:themeColor="text1"/>
          <w:sz w:val="28"/>
          <w:szCs w:val="28"/>
          <w:highlight w:val="none"/>
          <w:lang w:eastAsia="zh-CN"/>
          <w14:textFill>
            <w14:solidFill>
              <w14:schemeClr w14:val="tx1"/>
            </w14:solidFill>
          </w14:textFill>
        </w:rPr>
        <w:t>，</w:t>
      </w:r>
      <w:r>
        <w:rPr>
          <w:rFonts w:hint="eastAsia" w:ascii="宋体" w:hAnsi="宋体"/>
          <w:color w:val="000000" w:themeColor="text1"/>
          <w:sz w:val="28"/>
          <w:szCs w:val="28"/>
          <w:highlight w:val="none"/>
          <w:lang w:val="en-US" w:eastAsia="zh-CN"/>
          <w14:textFill>
            <w14:solidFill>
              <w14:schemeClr w14:val="tx1"/>
            </w14:solidFill>
          </w14:textFill>
        </w:rPr>
        <w:t>出让方及受让方应配合嘉佑医疗</w:t>
      </w:r>
      <w:r>
        <w:rPr>
          <w:rFonts w:hint="eastAsia" w:ascii="宋体" w:hAnsi="宋体"/>
          <w:color w:val="000000" w:themeColor="text1"/>
          <w:sz w:val="28"/>
          <w:szCs w:val="28"/>
          <w:highlight w:val="none"/>
          <w14:textFill>
            <w14:solidFill>
              <w14:schemeClr w14:val="tx1"/>
            </w14:solidFill>
          </w14:textFill>
        </w:rPr>
        <w:t>办理本次股权</w:t>
      </w:r>
      <w:r>
        <w:rPr>
          <w:rFonts w:ascii="宋体" w:hAnsi="宋体"/>
          <w:color w:val="000000" w:themeColor="text1"/>
          <w:sz w:val="28"/>
          <w:szCs w:val="28"/>
          <w:highlight w:val="none"/>
          <w14:textFill>
            <w14:solidFill>
              <w14:schemeClr w14:val="tx1"/>
            </w14:solidFill>
          </w14:textFill>
        </w:rPr>
        <w:t>转让的</w:t>
      </w:r>
      <w:r>
        <w:rPr>
          <w:rFonts w:hint="eastAsia" w:ascii="宋体" w:hAnsi="宋体"/>
          <w:color w:val="000000" w:themeColor="text1"/>
          <w:sz w:val="28"/>
          <w:szCs w:val="28"/>
          <w:highlight w:val="none"/>
          <w14:textFill>
            <w14:solidFill>
              <w14:schemeClr w14:val="tx1"/>
            </w14:solidFill>
          </w14:textFill>
        </w:rPr>
        <w:t>变更</w:t>
      </w:r>
      <w:r>
        <w:rPr>
          <w:rFonts w:ascii="宋体" w:hAnsi="宋体"/>
          <w:color w:val="000000" w:themeColor="text1"/>
          <w:sz w:val="28"/>
          <w:szCs w:val="28"/>
          <w:highlight w:val="none"/>
          <w14:textFill>
            <w14:solidFill>
              <w14:schemeClr w14:val="tx1"/>
            </w14:solidFill>
          </w14:textFill>
        </w:rPr>
        <w:t>手续</w:t>
      </w:r>
      <w:r>
        <w:rPr>
          <w:rFonts w:hint="eastAsia" w:ascii="宋体" w:hAnsi="宋体"/>
          <w:color w:val="000000" w:themeColor="text1"/>
          <w:sz w:val="28"/>
          <w:szCs w:val="28"/>
          <w:highlight w:val="none"/>
          <w14:textFill>
            <w14:solidFill>
              <w14:schemeClr w14:val="tx1"/>
            </w14:solidFill>
          </w14:textFill>
        </w:rPr>
        <w:t>。</w:t>
      </w:r>
    </w:p>
    <w:p>
      <w:pPr>
        <w:pStyle w:val="34"/>
        <w:numPr>
          <w:ilvl w:val="0"/>
          <w:numId w:val="7"/>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w:t>
      </w:r>
      <w:r>
        <w:rPr>
          <w:rFonts w:hint="eastAsia" w:ascii="宋体" w:hAnsi="宋体"/>
          <w:bCs/>
          <w:color w:val="000000" w:themeColor="text1"/>
          <w:sz w:val="28"/>
          <w:szCs w:val="28"/>
          <w:highlight w:val="none"/>
          <w14:textFill>
            <w14:solidFill>
              <w14:schemeClr w14:val="tx1"/>
            </w14:solidFill>
          </w14:textFill>
        </w:rPr>
        <w:t>股权转让评估基准日（2019年</w:t>
      </w:r>
      <w:r>
        <w:rPr>
          <w:rFonts w:ascii="宋体" w:hAnsi="宋体"/>
          <w:bCs/>
          <w:color w:val="000000" w:themeColor="text1"/>
          <w:sz w:val="28"/>
          <w:szCs w:val="28"/>
          <w:highlight w:val="none"/>
          <w14:textFill>
            <w14:solidFill>
              <w14:schemeClr w14:val="tx1"/>
            </w14:solidFill>
          </w14:textFill>
        </w:rPr>
        <w:t>11</w:t>
      </w:r>
      <w:r>
        <w:rPr>
          <w:rFonts w:hint="eastAsia" w:ascii="宋体" w:hAnsi="宋体"/>
          <w:bCs/>
          <w:color w:val="000000" w:themeColor="text1"/>
          <w:sz w:val="28"/>
          <w:szCs w:val="28"/>
          <w:highlight w:val="none"/>
          <w14:textFill>
            <w14:solidFill>
              <w14:schemeClr w14:val="tx1"/>
            </w14:solidFill>
          </w14:textFill>
        </w:rPr>
        <w:t>月</w:t>
      </w:r>
      <w:r>
        <w:rPr>
          <w:rFonts w:ascii="宋体" w:hAnsi="宋体"/>
          <w:bCs/>
          <w:color w:val="000000" w:themeColor="text1"/>
          <w:sz w:val="28"/>
          <w:szCs w:val="28"/>
          <w:highlight w:val="none"/>
          <w14:textFill>
            <w14:solidFill>
              <w14:schemeClr w14:val="tx1"/>
            </w14:solidFill>
          </w14:textFill>
        </w:rPr>
        <w:t>30</w:t>
      </w:r>
      <w:r>
        <w:rPr>
          <w:rFonts w:hint="eastAsia" w:ascii="宋体" w:hAnsi="宋体"/>
          <w:bCs/>
          <w:color w:val="000000" w:themeColor="text1"/>
          <w:sz w:val="28"/>
          <w:szCs w:val="28"/>
          <w:highlight w:val="none"/>
          <w14:textFill>
            <w14:solidFill>
              <w14:schemeClr w14:val="tx1"/>
            </w14:solidFill>
          </w14:textFill>
        </w:rPr>
        <w:t>日）至本次股权转让</w:t>
      </w:r>
      <w:r>
        <w:rPr>
          <w:rFonts w:hint="eastAsia" w:ascii="宋体" w:hAnsi="宋体"/>
          <w:color w:val="000000" w:themeColor="text1"/>
          <w:sz w:val="28"/>
          <w:szCs w:val="28"/>
          <w:highlight w:val="none"/>
          <w14:textFill>
            <w14:solidFill>
              <w14:schemeClr w14:val="tx1"/>
            </w14:solidFill>
          </w14:textFill>
        </w:rPr>
        <w:t>工商行政管理机关变更登记之日</w:t>
      </w:r>
      <w:r>
        <w:rPr>
          <w:rFonts w:hint="eastAsia" w:ascii="宋体" w:hAnsi="宋体"/>
          <w:bCs/>
          <w:color w:val="000000" w:themeColor="text1"/>
          <w:sz w:val="28"/>
          <w:szCs w:val="28"/>
          <w:highlight w:val="none"/>
          <w14:textFill>
            <w14:solidFill>
              <w14:schemeClr w14:val="tx1"/>
            </w14:solidFill>
          </w14:textFill>
        </w:rPr>
        <w:t>期间，标的企业的经营损益不再进行审计清算，由乙方按股权比例享有或承担</w:t>
      </w:r>
      <w:r>
        <w:rPr>
          <w:rFonts w:hint="eastAsia" w:ascii="宋体" w:hAnsi="宋体"/>
          <w:color w:val="000000" w:themeColor="text1"/>
          <w:sz w:val="28"/>
          <w:szCs w:val="28"/>
          <w:highlight w:val="none"/>
          <w14:textFill>
            <w14:solidFill>
              <w14:schemeClr w14:val="tx1"/>
            </w14:solidFill>
          </w14:textFill>
        </w:rPr>
        <w:t>。</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权证的变更</w:t>
      </w:r>
    </w:p>
    <w:p>
      <w:pPr>
        <w:tabs>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甲乙双方协商和共同配合，由嘉佑医疗完成本次股权转让的权证变更手续。</w:t>
      </w:r>
      <w:bookmarkStart w:id="38" w:name="here"/>
      <w:bookmarkEnd w:id="38"/>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股权转让的税收和费用</w:t>
      </w:r>
    </w:p>
    <w:p>
      <w:pPr>
        <w:pStyle w:val="34"/>
        <w:numPr>
          <w:ilvl w:val="0"/>
          <w:numId w:val="8"/>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本次股权转让中涉及的有关税收，按照国家有关法律规定缴纳。</w:t>
      </w:r>
    </w:p>
    <w:p>
      <w:pPr>
        <w:pStyle w:val="34"/>
        <w:numPr>
          <w:ilvl w:val="0"/>
          <w:numId w:val="8"/>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本次股权转让中涉及的交易佣金由甲、乙双方各自承担。</w:t>
      </w:r>
    </w:p>
    <w:p>
      <w:pPr>
        <w:pStyle w:val="34"/>
        <w:numPr>
          <w:ilvl w:val="0"/>
          <w:numId w:val="8"/>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权证变更涉及的有关费用，由嘉佑医疗承担。</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甲、乙双方的承诺</w:t>
      </w:r>
    </w:p>
    <w:p>
      <w:pPr>
        <w:pStyle w:val="34"/>
        <w:numPr>
          <w:ilvl w:val="0"/>
          <w:numId w:val="9"/>
        </w:numPr>
        <w:spacing w:line="360" w:lineRule="auto"/>
        <w:ind w:left="1134" w:hanging="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甲方的承诺：</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1）对转让标的拥有合法、有效的处分权，并按国家相关法律、法规取得有效转让批准；</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2）为签订本合同之前的所提交的各项证明文件及资料均为真实、完整的；</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3）签订本合同所需的包括但不限于授权、审批、公司内部决策等在内的一切批准手续均已合法取得，本合同成立的前提条件均已满足；</w:t>
      </w:r>
    </w:p>
    <w:p>
      <w:pPr>
        <w:pStyle w:val="34"/>
        <w:numPr>
          <w:ilvl w:val="0"/>
          <w:numId w:val="9"/>
        </w:numPr>
        <w:spacing w:line="360" w:lineRule="auto"/>
        <w:ind w:left="1134" w:hanging="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乙方的承诺：</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1）拥有完全的权利和行为能力进行股权受让，无欺诈行为；</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2）签订本合同所需的各项授权、审批以及内部决策等在内的一切批准手续均已合法取得；</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3）受让转让标的没有违反对受让方具有约束力的合同、协议等所有法律文书；</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4）乙方保证按本合同之约定支付股权转让价款。</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违约责任</w:t>
      </w: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34"/>
        <w:numPr>
          <w:ilvl w:val="0"/>
          <w:numId w:val="10"/>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甲方应按合同约定履行交付转让标的义务，涉及权属变更登记的应当及时协助并促使嘉佑医疗办理。如因甲方原因导致逾期交付或迟延办理权属变更登记的，则应自逾期之日起至实际交付或办理之日止按乙方已支付的股权转让价款的日0.03%向乙方支付违约金。</w:t>
      </w:r>
    </w:p>
    <w:p>
      <w:pPr>
        <w:pStyle w:val="34"/>
        <w:numPr>
          <w:ilvl w:val="0"/>
          <w:numId w:val="10"/>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出现下列情形，视为根本性违约，守约方可解除合同并要求违约方承担股权转让价款30%的违约金，对所造成的实际损失违约方应当另行承担赔偿责任：</w:t>
      </w:r>
    </w:p>
    <w:p>
      <w:pPr>
        <w:tabs>
          <w:tab w:val="left" w:pos="3780"/>
        </w:tabs>
        <w:spacing w:afterLines="50" w:line="360" w:lineRule="exact"/>
        <w:ind w:firstLine="280" w:firstLineChars="100"/>
        <w:rPr>
          <w:rFonts w:ascii="宋体" w:hAnsi="宋体"/>
          <w:i/>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乙方不按合同约定履行付款义务。</w:t>
      </w:r>
    </w:p>
    <w:p>
      <w:pPr>
        <w:pStyle w:val="34"/>
        <w:numPr>
          <w:ilvl w:val="0"/>
          <w:numId w:val="10"/>
        </w:numPr>
        <w:spacing w:line="360" w:lineRule="auto"/>
        <w:ind w:left="0" w:firstLine="567"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由于一方的过错造成本合同被认定为无效时，由过错的一方承担违约责任，双方均有过错，则由双方按责任大小承担各自相应的责任。</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争议的解决方式</w:t>
      </w:r>
    </w:p>
    <w:p>
      <w:pPr>
        <w:tabs>
          <w:tab w:val="left" w:pos="3780"/>
        </w:tabs>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甲乙双方同意，因本合同而产生的任何争议应首先通过友好协商自行解决，协商不成的，可向人民法院以起诉方式解决。</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法律适用</w:t>
      </w:r>
    </w:p>
    <w:p>
      <w:pPr>
        <w:tabs>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本合同的适用和解释均为中国法律。</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合同的生效</w:t>
      </w:r>
    </w:p>
    <w:p>
      <w:pPr>
        <w:tabs>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本合同自甲、乙双方的授权代表签字或加盖公章后生效。本合同生效后，双方对本合同内容的变更或补充应采用书面形式订立，并作为本合同的附件。附件与本合同具有同等的法律效力。</w:t>
      </w:r>
    </w:p>
    <w:p>
      <w:pPr>
        <w:pStyle w:val="34"/>
        <w:numPr>
          <w:ilvl w:val="1"/>
          <w:numId w:val="6"/>
        </w:numPr>
        <w:spacing w:line="360" w:lineRule="auto"/>
        <w:ind w:left="1276" w:hanging="709" w:firstLineChars="0"/>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其他约定事项</w:t>
      </w:r>
    </w:p>
    <w:p>
      <w:pPr>
        <w:tabs>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本合同一式</w:t>
      </w:r>
      <w:r>
        <w:rPr>
          <w:rFonts w:hint="eastAsia" w:ascii="宋体" w:hAnsi="宋体"/>
          <w:color w:val="000000" w:themeColor="text1"/>
          <w:sz w:val="28"/>
          <w:szCs w:val="28"/>
          <w:highlight w:val="none"/>
          <w:u w:val="single"/>
          <w14:textFill>
            <w14:solidFill>
              <w14:schemeClr w14:val="tx1"/>
            </w14:solidFill>
          </w14:textFill>
        </w:rPr>
        <w:t xml:space="preserve"> 陆 </w:t>
      </w:r>
      <w:r>
        <w:rPr>
          <w:rFonts w:hint="eastAsia" w:ascii="宋体" w:hAnsi="宋体"/>
          <w:color w:val="000000" w:themeColor="text1"/>
          <w:sz w:val="28"/>
          <w:szCs w:val="28"/>
          <w:highlight w:val="none"/>
          <w14:textFill>
            <w14:solidFill>
              <w14:schemeClr w14:val="tx1"/>
            </w14:solidFill>
          </w14:textFill>
        </w:rPr>
        <w:t>份，甲、乙双方各执</w:t>
      </w:r>
      <w:r>
        <w:rPr>
          <w:rFonts w:hint="eastAsia" w:ascii="宋体" w:hAnsi="宋体"/>
          <w:color w:val="000000" w:themeColor="text1"/>
          <w:sz w:val="28"/>
          <w:szCs w:val="28"/>
          <w:highlight w:val="none"/>
          <w:u w:val="single"/>
          <w14:textFill>
            <w14:solidFill>
              <w14:schemeClr w14:val="tx1"/>
            </w14:solidFill>
          </w14:textFill>
        </w:rPr>
        <w:t xml:space="preserve"> 壹 </w:t>
      </w:r>
      <w:r>
        <w:rPr>
          <w:rFonts w:hint="eastAsia" w:ascii="宋体" w:hAnsi="宋体"/>
          <w:color w:val="000000" w:themeColor="text1"/>
          <w:sz w:val="28"/>
          <w:szCs w:val="28"/>
          <w:highlight w:val="none"/>
          <w14:textFill>
            <w14:solidFill>
              <w14:schemeClr w14:val="tx1"/>
            </w14:solidFill>
          </w14:textFill>
        </w:rPr>
        <w:t>份，标的企业执</w:t>
      </w:r>
      <w:r>
        <w:rPr>
          <w:rFonts w:hint="eastAsia" w:ascii="宋体" w:hAnsi="宋体"/>
          <w:color w:val="000000" w:themeColor="text1"/>
          <w:sz w:val="28"/>
          <w:szCs w:val="28"/>
          <w:highlight w:val="none"/>
          <w:u w:val="single"/>
          <w14:textFill>
            <w14:solidFill>
              <w14:schemeClr w14:val="tx1"/>
            </w14:solidFill>
          </w14:textFill>
        </w:rPr>
        <w:t xml:space="preserve"> 壹 </w:t>
      </w:r>
      <w:r>
        <w:rPr>
          <w:rFonts w:hint="eastAsia" w:ascii="宋体" w:hAnsi="宋体"/>
          <w:color w:val="000000" w:themeColor="text1"/>
          <w:sz w:val="28"/>
          <w:szCs w:val="28"/>
          <w:highlight w:val="none"/>
          <w14:textFill>
            <w14:solidFill>
              <w14:schemeClr w14:val="tx1"/>
            </w14:solidFill>
          </w14:textFill>
        </w:rPr>
        <w:t>份，台州市产权交易所有限公司执</w:t>
      </w:r>
      <w:r>
        <w:rPr>
          <w:rFonts w:hint="eastAsia" w:ascii="宋体" w:hAnsi="宋体"/>
          <w:color w:val="000000" w:themeColor="text1"/>
          <w:sz w:val="28"/>
          <w:szCs w:val="28"/>
          <w:highlight w:val="none"/>
          <w:u w:val="single"/>
          <w14:textFill>
            <w14:solidFill>
              <w14:schemeClr w14:val="tx1"/>
            </w14:solidFill>
          </w14:textFill>
        </w:rPr>
        <w:t xml:space="preserve"> 壹 </w:t>
      </w:r>
      <w:r>
        <w:rPr>
          <w:rFonts w:hint="eastAsia" w:ascii="宋体" w:hAnsi="宋体"/>
          <w:color w:val="000000" w:themeColor="text1"/>
          <w:sz w:val="28"/>
          <w:szCs w:val="28"/>
          <w:highlight w:val="none"/>
          <w14:textFill>
            <w14:solidFill>
              <w14:schemeClr w14:val="tx1"/>
            </w14:solidFill>
          </w14:textFill>
        </w:rPr>
        <w:t>份，其余</w:t>
      </w:r>
      <w:r>
        <w:rPr>
          <w:rFonts w:hint="eastAsia" w:ascii="宋体" w:hAnsi="宋体"/>
          <w:color w:val="000000" w:themeColor="text1"/>
          <w:sz w:val="28"/>
          <w:szCs w:val="28"/>
          <w:highlight w:val="none"/>
          <w:u w:val="single"/>
          <w14:textFill>
            <w14:solidFill>
              <w14:schemeClr w14:val="tx1"/>
            </w14:solidFill>
          </w14:textFill>
        </w:rPr>
        <w:t>贰</w:t>
      </w:r>
      <w:r>
        <w:rPr>
          <w:rFonts w:hint="eastAsia" w:ascii="宋体" w:hAnsi="宋体"/>
          <w:color w:val="000000" w:themeColor="text1"/>
          <w:sz w:val="28"/>
          <w:szCs w:val="28"/>
          <w:highlight w:val="none"/>
          <w14:textFill>
            <w14:solidFill>
              <w14:schemeClr w14:val="tx1"/>
            </w14:solidFill>
          </w14:textFill>
        </w:rPr>
        <w:t>份报相关部门。</w:t>
      </w:r>
    </w:p>
    <w:p>
      <w:pPr>
        <w:tabs>
          <w:tab w:val="left" w:pos="3780"/>
        </w:tabs>
        <w:spacing w:line="360" w:lineRule="auto"/>
        <w:ind w:firstLine="560"/>
        <w:jc w:val="left"/>
        <w:rPr>
          <w:rFonts w:ascii="宋体" w:hAnsi="宋体"/>
          <w:color w:val="000000" w:themeColor="text1"/>
          <w:sz w:val="28"/>
          <w:szCs w:val="28"/>
          <w:highlight w:val="none"/>
          <w14:textFill>
            <w14:solidFill>
              <w14:schemeClr w14:val="tx1"/>
            </w14:solidFill>
          </w14:textFill>
        </w:rPr>
      </w:pPr>
    </w:p>
    <w:p>
      <w:pPr>
        <w:widowControl/>
        <w:spacing w:line="360" w:lineRule="auto"/>
        <w:ind w:firstLine="0" w:firstLineChars="0"/>
        <w:jc w:val="left"/>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br w:type="page"/>
      </w: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(此页无正文)</w:t>
      </w:r>
    </w:p>
    <w:p>
      <w:pPr>
        <w:spacing w:line="360" w:lineRule="auto"/>
        <w:ind w:firstLine="560"/>
        <w:rPr>
          <w:rFonts w:ascii="宋体" w:hAnsi="宋体"/>
          <w:color w:val="000000" w:themeColor="text1"/>
          <w:sz w:val="28"/>
          <w:szCs w:val="28"/>
          <w:highlight w:val="none"/>
          <w14:textFill>
            <w14:solidFill>
              <w14:schemeClr w14:val="tx1"/>
            </w14:solidFill>
          </w14:textFill>
        </w:rPr>
      </w:pPr>
    </w:p>
    <w:p>
      <w:pPr>
        <w:spacing w:line="360" w:lineRule="auto"/>
        <w:ind w:firstLine="560"/>
        <w:rPr>
          <w:rFonts w:ascii="宋体" w:hAnsi="宋体"/>
          <w:color w:val="000000" w:themeColor="text1"/>
          <w:sz w:val="28"/>
          <w:szCs w:val="28"/>
          <w:highlight w:val="none"/>
          <w14:textFill>
            <w14:solidFill>
              <w14:schemeClr w14:val="tx1"/>
            </w14:solidFill>
          </w14:textFill>
        </w:rPr>
      </w:pPr>
    </w:p>
    <w:tbl>
      <w:tblPr>
        <w:tblStyle w:val="15"/>
        <w:tblW w:w="9060" w:type="dxa"/>
        <w:tblInd w:w="0" w:type="dxa"/>
        <w:tblLayout w:type="fixed"/>
        <w:tblCellMar>
          <w:top w:w="0" w:type="dxa"/>
          <w:left w:w="108" w:type="dxa"/>
          <w:bottom w:w="0" w:type="dxa"/>
          <w:right w:w="108" w:type="dxa"/>
        </w:tblCellMar>
      </w:tblPr>
      <w:tblGrid>
        <w:gridCol w:w="4530"/>
        <w:gridCol w:w="4530"/>
      </w:tblGrid>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出让方（甲方）：</w:t>
            </w:r>
          </w:p>
          <w:p>
            <w:pPr>
              <w:spacing w:line="360" w:lineRule="auto"/>
              <w:ind w:firstLine="840" w:firstLineChars="30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（盖章）</w:t>
            </w:r>
          </w:p>
          <w:p>
            <w:pPr>
              <w:spacing w:line="360" w:lineRule="auto"/>
              <w:ind w:firstLine="840" w:firstLineChars="300"/>
              <w:rPr>
                <w:rFonts w:ascii="宋体" w:hAnsi="宋体"/>
                <w:color w:val="000000" w:themeColor="text1"/>
                <w:sz w:val="28"/>
                <w:szCs w:val="28"/>
                <w:highlight w:val="none"/>
                <w14:textFill>
                  <w14:solidFill>
                    <w14:schemeClr w14:val="tx1"/>
                  </w14:solidFill>
                </w14:textFill>
              </w:rPr>
            </w:pP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受让方（乙方）：</w:t>
            </w:r>
          </w:p>
          <w:p>
            <w:pPr>
              <w:spacing w:line="360" w:lineRule="auto"/>
              <w:ind w:firstLine="840" w:firstLineChars="30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（盖章）</w:t>
            </w:r>
          </w:p>
          <w:p>
            <w:pPr>
              <w:spacing w:line="360" w:lineRule="auto"/>
              <w:ind w:firstLine="840" w:firstLineChars="300"/>
              <w:rPr>
                <w:rFonts w:ascii="宋体" w:hAnsi="宋体"/>
                <w:color w:val="000000" w:themeColor="text1"/>
                <w:sz w:val="28"/>
                <w:szCs w:val="28"/>
                <w:highlight w:val="none"/>
                <w14:textFill>
                  <w14:solidFill>
                    <w14:schemeClr w14:val="tx1"/>
                  </w14:solidFill>
                </w14:textFill>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法定代表人（签字）：</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或授权代表：</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法定代表人（签字）：</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或授权代表：</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签订时间：    年    月   日</w:t>
            </w: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签订时间：    年  月   日</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签订地点：</w:t>
            </w: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签订地点：</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鉴证方：</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（盖章）</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代表人：</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（签字）</w:t>
            </w:r>
          </w:p>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鉴证日期：    年    月   日</w:t>
            </w:r>
          </w:p>
        </w:tc>
        <w:tc>
          <w:tcPr>
            <w:tcW w:w="4530" w:type="dxa"/>
            <w:vAlign w:val="center"/>
          </w:tcPr>
          <w:p>
            <w:pPr>
              <w:spacing w:line="360" w:lineRule="auto"/>
              <w:ind w:firstLine="0" w:firstLineChars="0"/>
              <w:rPr>
                <w:rFonts w:ascii="宋体" w:hAnsi="宋体"/>
                <w:color w:val="000000" w:themeColor="text1"/>
                <w:sz w:val="28"/>
                <w:szCs w:val="28"/>
                <w:highlight w:val="none"/>
                <w14:textFill>
                  <w14:solidFill>
                    <w14:schemeClr w14:val="tx1"/>
                  </w14:solidFill>
                </w14:textFill>
              </w:rPr>
            </w:pPr>
          </w:p>
        </w:tc>
      </w:tr>
    </w:tbl>
    <w:p>
      <w:pPr>
        <w:widowControl/>
        <w:ind w:firstLine="0" w:firstLineChars="0"/>
        <w:jc w:val="left"/>
        <w:rPr>
          <w:rFonts w:ascii="Calibri" w:hAnsi="Calibri"/>
          <w:b/>
          <w:bCs/>
          <w:color w:val="000000" w:themeColor="text1"/>
          <w:kern w:val="44"/>
          <w:sz w:val="36"/>
          <w:szCs w:val="44"/>
          <w:highlight w:val="none"/>
          <w14:textFill>
            <w14:solidFill>
              <w14:schemeClr w14:val="tx1"/>
            </w14:solidFill>
          </w14:textFill>
        </w:rPr>
      </w:pPr>
      <w:bookmarkStart w:id="39" w:name="_Toc528773696"/>
      <w:bookmarkStart w:id="40" w:name="_Toc14224"/>
      <w:r>
        <w:rPr>
          <w:color w:val="000000" w:themeColor="text1"/>
          <w:sz w:val="36"/>
          <w:highlight w:val="none"/>
          <w14:textFill>
            <w14:solidFill>
              <w14:schemeClr w14:val="tx1"/>
            </w14:solidFill>
          </w14:textFill>
        </w:rPr>
        <w:br w:type="page"/>
      </w:r>
    </w:p>
    <w:p>
      <w:pPr>
        <w:pStyle w:val="2"/>
        <w:spacing w:before="100" w:beforeAutospacing="1" w:after="100" w:afterAutospacing="1" w:line="360" w:lineRule="auto"/>
        <w:jc w:val="center"/>
        <w:rPr>
          <w:color w:val="000000" w:themeColor="text1"/>
          <w:sz w:val="36"/>
          <w:highlight w:val="none"/>
          <w14:textFill>
            <w14:solidFill>
              <w14:schemeClr w14:val="tx1"/>
            </w14:solidFill>
          </w14:textFill>
        </w:rPr>
      </w:pPr>
      <w:bookmarkStart w:id="41" w:name="_Toc14269"/>
      <w:r>
        <w:rPr>
          <w:rFonts w:hint="eastAsia"/>
          <w:color w:val="000000" w:themeColor="text1"/>
          <w:sz w:val="36"/>
          <w:highlight w:val="none"/>
          <w14:textFill>
            <w14:solidFill>
              <w14:schemeClr w14:val="tx1"/>
            </w14:solidFill>
          </w14:textFill>
        </w:rPr>
        <w:t>转让股权相关信息</w:t>
      </w:r>
      <w:bookmarkEnd w:id="39"/>
      <w:bookmarkEnd w:id="40"/>
      <w:bookmarkEnd w:id="41"/>
    </w:p>
    <w:tbl>
      <w:tblPr>
        <w:tblStyle w:val="1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项目名称</w:t>
            </w:r>
          </w:p>
        </w:tc>
        <w:tc>
          <w:tcPr>
            <w:tcW w:w="7851" w:type="dxa"/>
          </w:tcPr>
          <w:p>
            <w:pPr>
              <w:ind w:left="512" w:leftChars="244" w:firstLine="1"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浙江嘉佑医疗器械有限公司33.33%股权转让项目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88" w:type="dxa"/>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项目编号</w:t>
            </w:r>
          </w:p>
        </w:tc>
        <w:tc>
          <w:tcPr>
            <w:tcW w:w="7851" w:type="dxa"/>
          </w:tcPr>
          <w:p>
            <w:pPr>
              <w:ind w:left="512" w:leftChars="244" w:firstLine="1" w:firstLineChars="0"/>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台交所挂〔2020〕4号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转让底价</w:t>
            </w:r>
          </w:p>
        </w:tc>
        <w:tc>
          <w:tcPr>
            <w:tcW w:w="7851" w:type="dxa"/>
          </w:tcPr>
          <w:p>
            <w:pPr>
              <w:ind w:left="512" w:leftChars="244" w:firstLine="1"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2500万元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地域</w:t>
            </w:r>
          </w:p>
        </w:tc>
        <w:tc>
          <w:tcPr>
            <w:tcW w:w="7851" w:type="dxa"/>
          </w:tcPr>
          <w:p>
            <w:pPr>
              <w:ind w:left="512" w:leftChars="244" w:firstLine="1"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绍兴市</w:t>
            </w:r>
          </w:p>
        </w:tc>
      </w:tr>
    </w:tbl>
    <w:p>
      <w:pPr>
        <w:ind w:firstLine="0" w:firstLineChars="0"/>
        <w:rPr>
          <w:rFonts w:ascii="宋体" w:hAnsi="宋体" w:cs="宋体"/>
          <w:color w:val="000000" w:themeColor="text1"/>
          <w:szCs w:val="21"/>
          <w:highlight w:val="none"/>
          <w14:textFill>
            <w14:solidFill>
              <w14:schemeClr w14:val="tx1"/>
            </w14:solidFill>
          </w14:textFill>
        </w:rPr>
      </w:pPr>
    </w:p>
    <w:tbl>
      <w:tblPr>
        <w:tblStyle w:val="15"/>
        <w:tblW w:w="9043"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901"/>
        <w:gridCol w:w="715"/>
        <w:gridCol w:w="1628"/>
        <w:gridCol w:w="1238"/>
        <w:gridCol w:w="3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190" w:type="dxa"/>
            <w:vMerge w:val="restart"/>
            <w:vAlign w:val="center"/>
          </w:tcPr>
          <w:p>
            <w:pPr>
              <w:ind w:firstLine="0" w:firstLineChars="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基本情况</w:t>
            </w:r>
          </w:p>
        </w:tc>
        <w:tc>
          <w:tcPr>
            <w:tcW w:w="1616" w:type="dxa"/>
            <w:gridSpan w:val="2"/>
            <w:vAlign w:val="center"/>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申请人名称</w:t>
            </w:r>
          </w:p>
        </w:tc>
        <w:tc>
          <w:tcPr>
            <w:tcW w:w="6237" w:type="dxa"/>
            <w:gridSpan w:val="3"/>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浙江海正药业股份有限公司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标的企业名称</w:t>
            </w:r>
          </w:p>
        </w:tc>
        <w:tc>
          <w:tcPr>
            <w:tcW w:w="6237" w:type="dxa"/>
            <w:gridSpan w:val="3"/>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浙江嘉佑医疗器械有限公司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企业类型</w:t>
            </w:r>
          </w:p>
        </w:tc>
        <w:tc>
          <w:tcPr>
            <w:tcW w:w="6237" w:type="dxa"/>
            <w:gridSpan w:val="3"/>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所属行业</w:t>
            </w:r>
          </w:p>
        </w:tc>
        <w:tc>
          <w:tcPr>
            <w:tcW w:w="6237" w:type="dxa"/>
            <w:gridSpan w:val="3"/>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经营范围</w:t>
            </w:r>
          </w:p>
        </w:tc>
        <w:tc>
          <w:tcPr>
            <w:tcW w:w="6237" w:type="dxa"/>
            <w:gridSpan w:val="3"/>
          </w:tcPr>
          <w:p>
            <w:pPr>
              <w:ind w:firstLine="0" w:firstLineChars="0"/>
              <w:rPr>
                <w:rFonts w:ascii="宋体" w:hAnsi="宋体" w:cs="宋体"/>
                <w:color w:val="000000" w:themeColor="text1"/>
                <w:szCs w:val="21"/>
                <w:highlight w:val="none"/>
                <w14:textFill>
                  <w14:solidFill>
                    <w14:schemeClr w14:val="tx1"/>
                  </w14:solidFill>
                </w14:textFill>
              </w:rPr>
            </w:pPr>
            <w:r>
              <w:rPr>
                <w:snapToGrid w:val="0"/>
                <w:color w:val="000000" w:themeColor="text1"/>
                <w:kern w:val="0"/>
                <w:highlight w:val="none"/>
                <w14:textFill>
                  <w14:solidFill>
                    <w14:schemeClr w14:val="tx1"/>
                  </w14:solidFill>
                </w14:textFill>
              </w:rPr>
              <w:t>生产、销售：第一类医疗器械、第二类医疗器械（凭有效许可证经营）、第三类医疗器械（凭有效许可证经营）；货物进出口；展览、展示服务。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法定代表人</w:t>
            </w:r>
          </w:p>
        </w:tc>
        <w:tc>
          <w:tcPr>
            <w:tcW w:w="1628" w:type="dxa"/>
            <w:vAlign w:val="center"/>
          </w:tcPr>
          <w:p>
            <w:pPr>
              <w:ind w:firstLine="407" w:firstLineChars="194"/>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黄海生</w:t>
            </w:r>
          </w:p>
        </w:tc>
        <w:tc>
          <w:tcPr>
            <w:tcW w:w="1238" w:type="dxa"/>
            <w:vAlign w:val="center"/>
          </w:tcPr>
          <w:p>
            <w:pPr>
              <w:ind w:firstLine="0" w:firstLineChars="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成立日期</w:t>
            </w:r>
          </w:p>
        </w:tc>
        <w:tc>
          <w:tcPr>
            <w:tcW w:w="3371" w:type="dxa"/>
            <w:vAlign w:val="center"/>
          </w:tcPr>
          <w:p>
            <w:pPr>
              <w:ind w:firstLine="199" w:firstLineChars="95"/>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2014年5月8日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注册资本</w:t>
            </w:r>
          </w:p>
        </w:tc>
        <w:tc>
          <w:tcPr>
            <w:tcW w:w="1628" w:type="dxa"/>
            <w:vAlign w:val="center"/>
          </w:tcPr>
          <w:p>
            <w:pPr>
              <w:ind w:firstLine="0" w:firstLineChars="0"/>
              <w:jc w:val="center"/>
              <w:rPr>
                <w:rFonts w:ascii="宋体" w:hAnsi="宋体" w:cs="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2250</w:t>
            </w:r>
            <w:r>
              <w:rPr>
                <w:rFonts w:hint="eastAsia" w:ascii="宋体" w:hAnsi="宋体" w:cs="宋体"/>
                <w:color w:val="000000" w:themeColor="text1"/>
                <w:szCs w:val="21"/>
                <w:highlight w:val="none"/>
                <w14:textFill>
                  <w14:solidFill>
                    <w14:schemeClr w14:val="tx1"/>
                  </w14:solidFill>
                </w14:textFill>
              </w:rPr>
              <w:t>万元</w:t>
            </w:r>
          </w:p>
          <w:p>
            <w:pPr>
              <w:ind w:firstLine="0" w:firstLineChars="0"/>
              <w:jc w:val="center"/>
              <w:rPr>
                <w:rFonts w:ascii="宋体" w:hAnsi="宋体" w:cs="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人民币</w:t>
            </w:r>
          </w:p>
        </w:tc>
        <w:tc>
          <w:tcPr>
            <w:tcW w:w="1238" w:type="dxa"/>
            <w:vAlign w:val="center"/>
          </w:tcPr>
          <w:p>
            <w:pPr>
              <w:ind w:firstLine="0" w:firstLineChars="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注册地</w:t>
            </w:r>
          </w:p>
        </w:tc>
        <w:tc>
          <w:tcPr>
            <w:tcW w:w="3371" w:type="dxa"/>
            <w:vAlign w:val="center"/>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浙江省绍兴市越城区人民东路1423号办公楼三楼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Merge w:val="restart"/>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土地、建筑</w:t>
            </w:r>
          </w:p>
        </w:tc>
        <w:tc>
          <w:tcPr>
            <w:tcW w:w="1628" w:type="dxa"/>
          </w:tcPr>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占地面积</w:t>
            </w:r>
          </w:p>
        </w:tc>
        <w:tc>
          <w:tcPr>
            <w:tcW w:w="4609" w:type="dxa"/>
            <w:gridSpan w:val="2"/>
            <w:vAlign w:val="center"/>
          </w:tcPr>
          <w:p>
            <w:pPr>
              <w:ind w:firstLine="42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4928.25平方米（租赁）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Merge w:val="continue"/>
            <w:vAlign w:val="center"/>
          </w:tcPr>
          <w:p>
            <w:pPr>
              <w:ind w:firstLine="420"/>
              <w:jc w:val="left"/>
              <w:rPr>
                <w:rFonts w:ascii="宋体" w:hAnsi="宋体" w:cs="宋体"/>
                <w:color w:val="000000" w:themeColor="text1"/>
                <w:szCs w:val="21"/>
                <w:highlight w:val="none"/>
                <w14:textFill>
                  <w14:solidFill>
                    <w14:schemeClr w14:val="tx1"/>
                  </w14:solidFill>
                </w14:textFill>
              </w:rPr>
            </w:pPr>
          </w:p>
        </w:tc>
        <w:tc>
          <w:tcPr>
            <w:tcW w:w="1628" w:type="dxa"/>
          </w:tcPr>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建筑面积</w:t>
            </w:r>
          </w:p>
        </w:tc>
        <w:tc>
          <w:tcPr>
            <w:tcW w:w="4609" w:type="dxa"/>
            <w:gridSpan w:val="2"/>
            <w:vAlign w:val="center"/>
          </w:tcPr>
          <w:p>
            <w:pPr>
              <w:ind w:firstLine="42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4928.25平方米（租赁）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Merge w:val="continue"/>
            <w:vAlign w:val="center"/>
          </w:tcPr>
          <w:p>
            <w:pPr>
              <w:ind w:firstLine="420"/>
              <w:jc w:val="left"/>
              <w:rPr>
                <w:rFonts w:ascii="宋体" w:hAnsi="宋体" w:cs="宋体"/>
                <w:color w:val="000000" w:themeColor="text1"/>
                <w:szCs w:val="21"/>
                <w:highlight w:val="none"/>
                <w14:textFill>
                  <w14:solidFill>
                    <w14:schemeClr w14:val="tx1"/>
                  </w14:solidFill>
                </w14:textFill>
              </w:rPr>
            </w:pPr>
          </w:p>
        </w:tc>
        <w:tc>
          <w:tcPr>
            <w:tcW w:w="1628" w:type="dxa"/>
          </w:tcPr>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土地面积</w:t>
            </w:r>
          </w:p>
        </w:tc>
        <w:tc>
          <w:tcPr>
            <w:tcW w:w="4609" w:type="dxa"/>
            <w:gridSpan w:val="2"/>
          </w:tcPr>
          <w:p>
            <w:pPr>
              <w:ind w:firstLine="42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4928.25平方米（租赁）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人员情况</w:t>
            </w:r>
          </w:p>
        </w:tc>
        <w:tc>
          <w:tcPr>
            <w:tcW w:w="6237" w:type="dxa"/>
            <w:gridSpan w:val="3"/>
          </w:tcPr>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职工人数：65人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0" w:hRule="atLeast"/>
        </w:trPr>
        <w:tc>
          <w:tcPr>
            <w:tcW w:w="1190" w:type="dxa"/>
            <w:vMerge w:val="continue"/>
          </w:tcPr>
          <w:p>
            <w:pPr>
              <w:ind w:firstLine="420"/>
              <w:rPr>
                <w:rFonts w:ascii="宋体" w:hAnsi="宋体" w:cs="宋体"/>
                <w:color w:val="000000" w:themeColor="text1"/>
                <w:szCs w:val="21"/>
                <w:highlight w:val="none"/>
                <w14:textFill>
                  <w14:solidFill>
                    <w14:schemeClr w14:val="tx1"/>
                  </w14:solidFill>
                </w14:textFill>
              </w:rPr>
            </w:pPr>
          </w:p>
        </w:tc>
        <w:tc>
          <w:tcPr>
            <w:tcW w:w="1616" w:type="dxa"/>
            <w:gridSpan w:val="2"/>
            <w:vAlign w:val="center"/>
          </w:tcPr>
          <w:p>
            <w:pPr>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标的企业概述</w:t>
            </w:r>
          </w:p>
        </w:tc>
        <w:tc>
          <w:tcPr>
            <w:tcW w:w="6237" w:type="dxa"/>
            <w:gridSpan w:val="3"/>
          </w:tcPr>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1、标的企业股东持股情况如下（前十位）：</w:t>
            </w:r>
            <w:r>
              <w:rPr>
                <w:snapToGrid w:val="0"/>
                <w:color w:val="000000" w:themeColor="text1"/>
                <w:kern w:val="0"/>
                <w:highlight w:val="none"/>
                <w14:textFill>
                  <w14:solidFill>
                    <w14:schemeClr w14:val="tx1"/>
                  </w14:solidFill>
                </w14:textFill>
              </w:rPr>
              <w:t>浙江时光家纺有限公司</w:t>
            </w:r>
            <w:r>
              <w:rPr>
                <w:rFonts w:hint="eastAsia"/>
                <w:snapToGrid w:val="0"/>
                <w:color w:val="000000" w:themeColor="text1"/>
                <w:kern w:val="0"/>
                <w:highlight w:val="none"/>
                <w14:textFill>
                  <w14:solidFill>
                    <w14:schemeClr w14:val="tx1"/>
                  </w14:solidFill>
                </w14:textFill>
              </w:rPr>
              <w:t>出资</w:t>
            </w:r>
            <w:r>
              <w:rPr>
                <w:color w:val="000000" w:themeColor="text1"/>
                <w:highlight w:val="none"/>
                <w14:textFill>
                  <w14:solidFill>
                    <w14:schemeClr w14:val="tx1"/>
                  </w14:solidFill>
                </w14:textFill>
              </w:rPr>
              <w:t>712.5</w:t>
            </w:r>
            <w:r>
              <w:rPr>
                <w:rFonts w:hint="eastAsia"/>
                <w:color w:val="000000" w:themeColor="text1"/>
                <w:highlight w:val="none"/>
                <w14:textFill>
                  <w14:solidFill>
                    <w14:schemeClr w14:val="tx1"/>
                  </w14:solidFill>
                </w14:textFill>
              </w:rPr>
              <w:t>万元，占股比例</w:t>
            </w:r>
            <w:r>
              <w:rPr>
                <w:snapToGrid w:val="0"/>
                <w:color w:val="000000" w:themeColor="text1"/>
                <w:kern w:val="0"/>
                <w:highlight w:val="none"/>
                <w14:textFill>
                  <w14:solidFill>
                    <w14:schemeClr w14:val="tx1"/>
                  </w14:solidFill>
                </w14:textFill>
              </w:rPr>
              <w:t>31.67</w:t>
            </w:r>
            <w:r>
              <w:rPr>
                <w:rFonts w:hint="eastAsia"/>
                <w:snapToGrid w:val="0"/>
                <w:color w:val="000000" w:themeColor="text1"/>
                <w:kern w:val="0"/>
                <w:highlight w:val="none"/>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浙江海正药业股份有限公司出资</w:t>
            </w:r>
            <w:r>
              <w:rPr>
                <w:rFonts w:ascii="宋体" w:hAnsi="宋体" w:cs="宋体"/>
                <w:color w:val="000000" w:themeColor="text1"/>
                <w:szCs w:val="21"/>
                <w:highlight w:val="none"/>
                <w14:textFill>
                  <w14:solidFill>
                    <w14:schemeClr w14:val="tx1"/>
                  </w14:solidFill>
                </w14:textFill>
              </w:rPr>
              <w:t>750</w:t>
            </w:r>
            <w:r>
              <w:rPr>
                <w:rFonts w:hint="eastAsia" w:ascii="宋体" w:hAnsi="宋体" w:cs="宋体"/>
                <w:color w:val="000000" w:themeColor="text1"/>
                <w:szCs w:val="21"/>
                <w:highlight w:val="none"/>
                <w14:textFill>
                  <w14:solidFill>
                    <w14:schemeClr w14:val="tx1"/>
                  </w14:solidFill>
                </w14:textFill>
              </w:rPr>
              <w:t>万元，占股比例33.33%；</w:t>
            </w:r>
            <w:r>
              <w:rPr>
                <w:color w:val="000000" w:themeColor="text1"/>
                <w:highlight w:val="none"/>
                <w14:textFill>
                  <w14:solidFill>
                    <w14:schemeClr w14:val="tx1"/>
                  </w14:solidFill>
                </w14:textFill>
              </w:rPr>
              <w:t>浙江振德控股有限公司</w:t>
            </w:r>
            <w:r>
              <w:rPr>
                <w:rFonts w:hint="eastAsia"/>
                <w:color w:val="000000" w:themeColor="text1"/>
                <w:highlight w:val="none"/>
                <w14:textFill>
                  <w14:solidFill>
                    <w14:schemeClr w14:val="tx1"/>
                  </w14:solidFill>
                </w14:textFill>
              </w:rPr>
              <w:t>出资</w:t>
            </w:r>
            <w:r>
              <w:rPr>
                <w:rFonts w:ascii="宋体" w:hAnsi="宋体" w:cs="宋体"/>
                <w:color w:val="000000" w:themeColor="text1"/>
                <w:szCs w:val="21"/>
                <w:highlight w:val="none"/>
                <w14:textFill>
                  <w14:solidFill>
                    <w14:schemeClr w14:val="tx1"/>
                  </w14:solidFill>
                </w14:textFill>
              </w:rPr>
              <w:t>562.5</w:t>
            </w:r>
            <w:r>
              <w:rPr>
                <w:rFonts w:hint="eastAsia" w:ascii="宋体" w:hAnsi="宋体" w:cs="宋体"/>
                <w:color w:val="000000" w:themeColor="text1"/>
                <w:szCs w:val="21"/>
                <w:highlight w:val="none"/>
                <w14:textFill>
                  <w14:solidFill>
                    <w14:schemeClr w14:val="tx1"/>
                  </w14:solidFill>
                </w14:textFill>
              </w:rPr>
              <w:t>万元，占股比例</w:t>
            </w:r>
            <w:r>
              <w:rPr>
                <w:rFonts w:ascii="宋体" w:hAnsi="宋体" w:cs="宋体"/>
                <w:color w:val="000000" w:themeColor="text1"/>
                <w:szCs w:val="21"/>
                <w:highlight w:val="none"/>
                <w14:textFill>
                  <w14:solidFill>
                    <w14:schemeClr w14:val="tx1"/>
                  </w14:solidFill>
                </w14:textFill>
              </w:rPr>
              <w:t>25.00</w:t>
            </w:r>
            <w:r>
              <w:rPr>
                <w:rFonts w:hint="eastAsia" w:ascii="宋体" w:hAnsi="宋体" w:cs="宋体"/>
                <w:color w:val="000000" w:themeColor="text1"/>
                <w:szCs w:val="21"/>
                <w:highlight w:val="none"/>
                <w14:textFill>
                  <w14:solidFill>
                    <w14:schemeClr w14:val="tx1"/>
                  </w14:solidFill>
                </w14:textFill>
              </w:rPr>
              <w:t>%；</w:t>
            </w:r>
            <w:r>
              <w:rPr>
                <w:color w:val="000000" w:themeColor="text1"/>
                <w:highlight w:val="none"/>
                <w14:textFill>
                  <w14:solidFill>
                    <w14:schemeClr w14:val="tx1"/>
                  </w14:solidFill>
                </w14:textFill>
              </w:rPr>
              <w:t>李坚</w:t>
            </w:r>
            <w:r>
              <w:rPr>
                <w:rFonts w:hint="eastAsia"/>
                <w:color w:val="000000" w:themeColor="text1"/>
                <w:highlight w:val="none"/>
                <w14:textFill>
                  <w14:solidFill>
                    <w14:schemeClr w14:val="tx1"/>
                  </w14:solidFill>
                </w14:textFill>
              </w:rPr>
              <w:t>出资1</w:t>
            </w:r>
            <w:r>
              <w:rPr>
                <w:color w:val="000000" w:themeColor="text1"/>
                <w:highlight w:val="none"/>
                <w14:textFill>
                  <w14:solidFill>
                    <w14:schemeClr w14:val="tx1"/>
                  </w14:solidFill>
                </w14:textFill>
              </w:rPr>
              <w:t>50</w:t>
            </w:r>
            <w:r>
              <w:rPr>
                <w:rFonts w:hint="eastAsia"/>
                <w:color w:val="000000" w:themeColor="text1"/>
                <w:highlight w:val="none"/>
                <w14:textFill>
                  <w14:solidFill>
                    <w14:schemeClr w14:val="tx1"/>
                  </w14:solidFill>
                </w14:textFill>
              </w:rPr>
              <w:t>万元，占股比例</w:t>
            </w:r>
            <w:r>
              <w:rPr>
                <w:color w:val="000000" w:themeColor="text1"/>
                <w:highlight w:val="none"/>
                <w14:textFill>
                  <w14:solidFill>
                    <w14:schemeClr w14:val="tx1"/>
                  </w14:solidFill>
                </w14:textFill>
              </w:rPr>
              <w:t>6.67</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郭炜</w:t>
            </w:r>
            <w:r>
              <w:rPr>
                <w:rFonts w:hint="eastAsia"/>
                <w:color w:val="000000" w:themeColor="text1"/>
                <w:highlight w:val="none"/>
                <w14:textFill>
                  <w14:solidFill>
                    <w14:schemeClr w14:val="tx1"/>
                  </w14:solidFill>
                </w14:textFill>
              </w:rPr>
              <w:t>出资7</w:t>
            </w:r>
            <w:r>
              <w:rPr>
                <w:color w:val="000000" w:themeColor="text1"/>
                <w:highlight w:val="none"/>
                <w14:textFill>
                  <w14:solidFill>
                    <w14:schemeClr w14:val="tx1"/>
                  </w14:solidFill>
                </w14:textFill>
              </w:rPr>
              <w:t>5</w:t>
            </w:r>
            <w:r>
              <w:rPr>
                <w:rFonts w:hint="eastAsia"/>
                <w:color w:val="000000" w:themeColor="text1"/>
                <w:highlight w:val="none"/>
                <w14:textFill>
                  <w14:solidFill>
                    <w14:schemeClr w14:val="tx1"/>
                  </w14:solidFill>
                </w14:textFill>
              </w:rPr>
              <w:t>万元，占股比例3</w:t>
            </w:r>
            <w:r>
              <w:rPr>
                <w:color w:val="000000" w:themeColor="text1"/>
                <w:highlight w:val="none"/>
                <w14:textFill>
                  <w14:solidFill>
                    <w14:schemeClr w14:val="tx1"/>
                  </w14:solidFill>
                </w14:textFill>
              </w:rPr>
              <w:t>.33</w:t>
            </w:r>
            <w:r>
              <w:rPr>
                <w:rFonts w:hint="eastAsia" w:ascii="宋体" w:hAnsi="宋体" w:cs="宋体"/>
                <w:color w:val="000000" w:themeColor="text1"/>
                <w:szCs w:val="21"/>
                <w:highlight w:val="none"/>
                <w14:textFill>
                  <w14:solidFill>
                    <w14:schemeClr w14:val="tx1"/>
                  </w14:solidFill>
                </w14:textFill>
              </w:rPr>
              <w:t>%。</w:t>
            </w:r>
          </w:p>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2、公司经营状况：截止2019年11月30日，公司总资产26,701,045.90元、负债合计50,099,766.10元，所有者权益-23,398,720.20元。</w:t>
            </w:r>
          </w:p>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3、标的企业股东是否有优先购买权：有</w:t>
            </w:r>
          </w:p>
          <w:p>
            <w:pPr>
              <w:ind w:firstLine="42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4、企业管理层是否参与受让:</w:t>
            </w:r>
            <w:r>
              <w:rPr>
                <w:rFonts w:hint="eastAsia" w:ascii="宋体" w:hAnsi="宋体" w:cs="宋体"/>
                <w:color w:val="000000" w:themeColor="text1"/>
                <w:szCs w:val="21"/>
                <w:highlight w:val="none"/>
                <w:u w:val="single"/>
                <w14:textFill>
                  <w14:solidFill>
                    <w14:schemeClr w14:val="tx1"/>
                  </w14:solidFill>
                </w14:textFill>
              </w:rPr>
              <w:t>否</w:t>
            </w:r>
          </w:p>
          <w:p>
            <w:p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5、其它信息披露：</w:t>
            </w:r>
          </w:p>
          <w:p>
            <w:pPr>
              <w:numPr>
                <w:ilvl w:val="0"/>
                <w:numId w:val="11"/>
              </w:num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本次股权转让完成后，标的企业职工的劳动合同继续有效，其劳动关系、社会保险及住房公积金关系保持不变。</w:t>
            </w:r>
          </w:p>
          <w:p>
            <w:pPr>
              <w:numPr>
                <w:ilvl w:val="0"/>
                <w:numId w:val="11"/>
              </w:num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本次股权转让完成后，标的企业所有债权、债务依然由标的企业承继。</w:t>
            </w:r>
          </w:p>
          <w:p>
            <w:pPr>
              <w:numPr>
                <w:ilvl w:val="0"/>
                <w:numId w:val="11"/>
              </w:numPr>
              <w:ind w:firstLine="42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股权转让评估基准日（2019年</w:t>
            </w:r>
            <w:r>
              <w:rPr>
                <w:rFonts w:ascii="宋体" w:hAnsi="宋体" w:cs="宋体"/>
                <w:color w:val="000000" w:themeColor="text1"/>
                <w:szCs w:val="21"/>
                <w:highlight w:val="none"/>
                <w14:textFill>
                  <w14:solidFill>
                    <w14:schemeClr w14:val="tx1"/>
                  </w14:solidFill>
                </w14:textFill>
              </w:rPr>
              <w:t>11</w:t>
            </w:r>
            <w:r>
              <w:rPr>
                <w:rFonts w:hint="eastAsia" w:ascii="宋体" w:hAnsi="宋体" w:cs="宋体"/>
                <w:color w:val="000000" w:themeColor="text1"/>
                <w:szCs w:val="21"/>
                <w:highlight w:val="none"/>
                <w14:textFill>
                  <w14:solidFill>
                    <w14:schemeClr w14:val="tx1"/>
                  </w14:solidFill>
                </w14:textFill>
              </w:rPr>
              <w:t>月3</w:t>
            </w:r>
            <w:r>
              <w:rPr>
                <w:rFonts w:ascii="宋体" w:hAnsi="宋体" w:cs="宋体"/>
                <w:color w:val="000000" w:themeColor="text1"/>
                <w:szCs w:val="21"/>
                <w:highlight w:val="none"/>
                <w14:textFill>
                  <w14:solidFill>
                    <w14:schemeClr w14:val="tx1"/>
                  </w14:solidFill>
                </w14:textFill>
              </w:rPr>
              <w:t>0</w:t>
            </w:r>
            <w:r>
              <w:rPr>
                <w:rFonts w:hint="eastAsia" w:ascii="宋体" w:hAnsi="宋体" w:cs="宋体"/>
                <w:color w:val="000000" w:themeColor="text1"/>
                <w:szCs w:val="21"/>
                <w:highlight w:val="none"/>
                <w14:textFill>
                  <w14:solidFill>
                    <w14:schemeClr w14:val="tx1"/>
                  </w14:solidFill>
                </w14:textFill>
              </w:rPr>
              <w:t>日）至股权转让交割日期间，标的企业经营损益不再进行审计清算，由受让方按照</w:t>
            </w:r>
            <w:r>
              <w:rPr>
                <w:rFonts w:ascii="宋体" w:hAnsi="宋体" w:cs="宋体"/>
                <w:color w:val="000000" w:themeColor="text1"/>
                <w:szCs w:val="21"/>
                <w:highlight w:val="none"/>
                <w14:textFill>
                  <w14:solidFill>
                    <w14:schemeClr w14:val="tx1"/>
                  </w14:solidFill>
                </w14:textFill>
              </w:rPr>
              <w:t>股权比例</w:t>
            </w:r>
            <w:r>
              <w:rPr>
                <w:rFonts w:hint="eastAsia" w:ascii="宋体" w:hAnsi="宋体" w:cs="宋体"/>
                <w:color w:val="000000" w:themeColor="text1"/>
                <w:szCs w:val="21"/>
                <w:highlight w:val="none"/>
                <w14:textFill>
                  <w14:solidFill>
                    <w14:schemeClr w14:val="tx1"/>
                  </w14:solidFill>
                </w14:textFill>
              </w:rPr>
              <w:t>享有或承担。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trPr>
        <w:tc>
          <w:tcPr>
            <w:tcW w:w="2091" w:type="dxa"/>
            <w:gridSpan w:val="2"/>
            <w:vAlign w:val="center"/>
          </w:tcPr>
          <w:p>
            <w:pPr>
              <w:ind w:firstLine="42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公告挂牌</w:t>
            </w:r>
          </w:p>
        </w:tc>
        <w:tc>
          <w:tcPr>
            <w:tcW w:w="6952" w:type="dxa"/>
            <w:gridSpan w:val="4"/>
          </w:tcPr>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1、公告挂牌期：</w:t>
            </w:r>
            <w:bookmarkStart w:id="42" w:name="待定21"/>
            <w:r>
              <w:rPr>
                <w:rFonts w:hint="eastAsia" w:ascii="宋体" w:hAnsi="宋体" w:cs="宋体"/>
                <w:color w:val="000000" w:themeColor="text1"/>
                <w:szCs w:val="21"/>
                <w:highlight w:val="none"/>
                <w14:textFill>
                  <w14:solidFill>
                    <w14:schemeClr w14:val="tx1"/>
                  </w14:solidFill>
                </w14:textFill>
              </w:rPr>
              <w:t>正式挂牌时间自20</w:t>
            </w:r>
            <w:r>
              <w:rPr>
                <w:rFonts w:ascii="宋体" w:hAnsi="宋体" w:cs="宋体"/>
                <w:color w:val="000000" w:themeColor="text1"/>
                <w:szCs w:val="21"/>
                <w:highlight w:val="none"/>
                <w14:textFill>
                  <w14:solidFill>
                    <w14:schemeClr w14:val="tx1"/>
                  </w14:solidFill>
                </w14:textFill>
              </w:rPr>
              <w:t>20</w:t>
            </w:r>
            <w:r>
              <w:rPr>
                <w:rFonts w:hint="eastAsia" w:ascii="宋体" w:hAnsi="宋体" w:cs="宋体"/>
                <w:color w:val="000000" w:themeColor="text1"/>
                <w:szCs w:val="21"/>
                <w:highlight w:val="none"/>
                <w14:textFill>
                  <w14:solidFill>
                    <w14:schemeClr w14:val="tx1"/>
                  </w14:solidFill>
                </w14:textFill>
              </w:rPr>
              <w:t>年</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16</w:t>
            </w:r>
            <w:r>
              <w:rPr>
                <w:rFonts w:hint="eastAsia" w:ascii="宋体" w:hAnsi="宋体" w:cs="宋体"/>
                <w:color w:val="000000" w:themeColor="text1"/>
                <w:szCs w:val="21"/>
                <w:highlight w:val="none"/>
                <w14:textFill>
                  <w14:solidFill>
                    <w14:schemeClr w14:val="tx1"/>
                  </w14:solidFill>
                </w14:textFill>
              </w:rPr>
              <w:t>日公告日（即挂牌起始日）至20</w:t>
            </w:r>
            <w:r>
              <w:rPr>
                <w:rFonts w:ascii="宋体" w:hAnsi="宋体" w:cs="宋体"/>
                <w:color w:val="000000" w:themeColor="text1"/>
                <w:szCs w:val="21"/>
                <w:highlight w:val="none"/>
                <w14:textFill>
                  <w14:solidFill>
                    <w14:schemeClr w14:val="tx1"/>
                  </w14:solidFill>
                </w14:textFill>
              </w:rPr>
              <w:t>20</w:t>
            </w:r>
            <w:r>
              <w:rPr>
                <w:rFonts w:hint="eastAsia" w:ascii="宋体" w:hAnsi="宋体" w:cs="宋体"/>
                <w:color w:val="000000" w:themeColor="text1"/>
                <w:szCs w:val="21"/>
                <w:highlight w:val="none"/>
                <w14:textFill>
                  <w14:solidFill>
                    <w14:schemeClr w14:val="tx1"/>
                  </w14:solidFill>
                </w14:textFill>
              </w:rPr>
              <w:t>年</w:t>
            </w:r>
            <w:r>
              <w:rPr>
                <w:rFonts w:hint="eastAsia" w:ascii="宋体" w:hAnsi="宋体" w:cs="宋体"/>
                <w:color w:val="000000" w:themeColor="text1"/>
                <w:szCs w:val="21"/>
                <w:highlight w:val="none"/>
                <w:lang w:val="en-US" w:eastAsia="zh-CN"/>
                <w14:textFill>
                  <w14:solidFill>
                    <w14:schemeClr w14:val="tx1"/>
                  </w14:solidFill>
                </w14:textFill>
              </w:rPr>
              <w:t>4</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13</w:t>
            </w:r>
            <w:r>
              <w:rPr>
                <w:rFonts w:hint="eastAsia" w:ascii="宋体" w:hAnsi="宋体" w:cs="宋体"/>
                <w:color w:val="000000" w:themeColor="text1"/>
                <w:szCs w:val="21"/>
                <w:highlight w:val="none"/>
                <w14:textFill>
                  <w14:solidFill>
                    <w14:schemeClr w14:val="tx1"/>
                  </w14:solidFill>
                </w14:textFill>
              </w:rPr>
              <w:t>日下午4时整止。</w:t>
            </w:r>
            <w:bookmarkEnd w:id="42"/>
          </w:p>
          <w:p>
            <w:pPr>
              <w:ind w:firstLine="0" w:firstLineChars="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2、意向受让人应在报名期间20</w:t>
            </w:r>
            <w:r>
              <w:rPr>
                <w:rFonts w:ascii="宋体" w:hAnsi="宋体" w:cs="宋体"/>
                <w:color w:val="000000" w:themeColor="text1"/>
                <w:szCs w:val="21"/>
                <w:highlight w:val="none"/>
                <w14:textFill>
                  <w14:solidFill>
                    <w14:schemeClr w14:val="tx1"/>
                  </w14:solidFill>
                </w14:textFill>
              </w:rPr>
              <w:t>20</w:t>
            </w:r>
            <w:r>
              <w:rPr>
                <w:rFonts w:hint="eastAsia" w:ascii="宋体" w:hAnsi="宋体" w:cs="宋体"/>
                <w:color w:val="000000" w:themeColor="text1"/>
                <w:szCs w:val="21"/>
                <w:highlight w:val="none"/>
                <w14:textFill>
                  <w14:solidFill>
                    <w14:schemeClr w14:val="tx1"/>
                  </w14:solidFill>
                </w14:textFill>
              </w:rPr>
              <w:t>年</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16</w:t>
            </w:r>
            <w:r>
              <w:rPr>
                <w:rFonts w:hint="eastAsia" w:ascii="宋体" w:hAnsi="宋体" w:cs="宋体"/>
                <w:color w:val="000000" w:themeColor="text1"/>
                <w:szCs w:val="21"/>
                <w:highlight w:val="none"/>
                <w14:textFill>
                  <w14:solidFill>
                    <w14:schemeClr w14:val="tx1"/>
                  </w14:solidFill>
                </w14:textFill>
              </w:rPr>
              <w:t>日至</w:t>
            </w:r>
            <w:r>
              <w:rPr>
                <w:rFonts w:hint="eastAsia" w:ascii="宋体" w:hAnsi="宋体" w:cs="宋体"/>
                <w:color w:val="000000" w:themeColor="text1"/>
                <w:szCs w:val="21"/>
                <w:highlight w:val="none"/>
                <w:lang w:val="en-US" w:eastAsia="zh-CN"/>
                <w14:textFill>
                  <w14:solidFill>
                    <w14:schemeClr w14:val="tx1"/>
                  </w14:solidFill>
                </w14:textFill>
              </w:rPr>
              <w:t>4</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13</w:t>
            </w:r>
            <w:r>
              <w:rPr>
                <w:rFonts w:hint="eastAsia" w:ascii="宋体" w:hAnsi="宋体" w:cs="宋体"/>
                <w:color w:val="000000" w:themeColor="text1"/>
                <w:szCs w:val="21"/>
                <w:highlight w:val="none"/>
                <w14:textFill>
                  <w14:solidFill>
                    <w14:schemeClr w14:val="tx1"/>
                  </w14:solidFill>
                </w14:textFill>
              </w:rPr>
              <w:t>日下午4：00（节假日除外）到台州市产权交易所办理意向受让登记手续。</w:t>
            </w:r>
            <w:r>
              <w:rPr>
                <w:rFonts w:hint="eastAsia" w:ascii="宋体" w:hAnsi="宋体" w:cs="宋体"/>
                <w:color w:val="000000" w:themeColor="text1"/>
                <w:szCs w:val="21"/>
                <w:highlight w:val="none"/>
                <w:u w:val="single"/>
                <w14:textFill>
                  <w14:solidFill>
                    <w14:schemeClr w14:val="tx1"/>
                  </w14:solidFill>
                </w14:textFill>
              </w:rPr>
              <w:t>企业（公司）法人主体资格证明文件，包含企业法人营业执照副本的复印件，法定代表人及授权委托人的身份证明及授权委托书、公司章程、相关决议等相关资料。</w:t>
            </w:r>
            <w:r>
              <w:rPr>
                <w:rFonts w:hint="eastAsia" w:ascii="宋体" w:hAnsi="宋体" w:cs="宋体"/>
                <w:color w:val="000000" w:themeColor="text1"/>
                <w:szCs w:val="21"/>
                <w:highlight w:val="none"/>
                <w14:textFill>
                  <w14:solidFill>
                    <w14:schemeClr w14:val="tx1"/>
                  </w14:solidFill>
                </w14:textFill>
              </w:rPr>
              <w:t>缴纳保证金人民币 7</w:t>
            </w:r>
            <w:r>
              <w:rPr>
                <w:rFonts w:ascii="宋体" w:hAnsi="宋体" w:cs="宋体"/>
                <w:color w:val="000000" w:themeColor="text1"/>
                <w:szCs w:val="21"/>
                <w:highlight w:val="none"/>
                <w14:textFill>
                  <w14:solidFill>
                    <w14:schemeClr w14:val="tx1"/>
                  </w14:solidFill>
                </w14:textFill>
              </w:rPr>
              <w:t>50</w:t>
            </w:r>
            <w:r>
              <w:rPr>
                <w:rFonts w:hint="eastAsia" w:ascii="宋体" w:hAnsi="宋体" w:cs="宋体"/>
                <w:color w:val="000000" w:themeColor="text1"/>
                <w:szCs w:val="21"/>
                <w:highlight w:val="none"/>
                <w14:textFill>
                  <w14:solidFill>
                    <w14:schemeClr w14:val="tx1"/>
                  </w14:solidFill>
                </w14:textFill>
              </w:rPr>
              <w:t>万元。</w:t>
            </w:r>
          </w:p>
        </w:tc>
      </w:tr>
    </w:tbl>
    <w:p>
      <w:pPr>
        <w:ind w:firstLine="0" w:firstLineChars="0"/>
        <w:rPr>
          <w:rFonts w:ascii="宋体" w:hAnsi="宋体" w:cs="宋体"/>
          <w:color w:val="000000" w:themeColor="text1"/>
          <w:szCs w:val="21"/>
          <w:highlight w:val="none"/>
          <w14:textFill>
            <w14:solidFill>
              <w14:schemeClr w14:val="tx1"/>
            </w14:solidFill>
          </w14:textFill>
        </w:rPr>
      </w:pPr>
    </w:p>
    <w:tbl>
      <w:tblPr>
        <w:tblStyle w:val="15"/>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1"/>
        <w:gridCol w:w="1840"/>
        <w:gridCol w:w="1862"/>
        <w:gridCol w:w="1701"/>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restart"/>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主要财务指标</w:t>
            </w:r>
          </w:p>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（单位：人民币元）</w:t>
            </w:r>
          </w:p>
        </w:tc>
        <w:tc>
          <w:tcPr>
            <w:tcW w:w="7095" w:type="dxa"/>
            <w:gridSpan w:val="4"/>
            <w:vAlign w:val="center"/>
          </w:tcPr>
          <w:p>
            <w:pPr>
              <w:ind w:firstLine="480" w:firstLineChars="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以下数据出自2019年1-</w:t>
            </w:r>
            <w:r>
              <w:rPr>
                <w:rFonts w:ascii="宋体" w:hAnsi="宋体"/>
                <w:color w:val="000000" w:themeColor="text1"/>
                <w:szCs w:val="21"/>
                <w:highlight w:val="none"/>
                <w14:textFill>
                  <w14:solidFill>
                    <w14:schemeClr w14:val="tx1"/>
                  </w14:solidFill>
                </w14:textFill>
              </w:rPr>
              <w:t>11</w:t>
            </w:r>
            <w:r>
              <w:rPr>
                <w:rFonts w:hint="eastAsia" w:ascii="宋体" w:hAnsi="宋体"/>
                <w:color w:val="000000" w:themeColor="text1"/>
                <w:szCs w:val="21"/>
                <w:highlight w:val="none"/>
                <w14:textFill>
                  <w14:solidFill>
                    <w14:schemeClr w14:val="tx1"/>
                  </w14:solidFill>
                </w14:textFill>
              </w:rPr>
              <w:t>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vAlign w:val="center"/>
          </w:tcPr>
          <w:p>
            <w:pPr>
              <w:ind w:firstLine="482" w:firstLineChars="0"/>
              <w:jc w:val="center"/>
              <w:rPr>
                <w:rFonts w:ascii="宋体" w:hAnsi="宋体"/>
                <w:b/>
                <w:color w:val="000000" w:themeColor="text1"/>
                <w:szCs w:val="21"/>
                <w:highlight w:val="none"/>
                <w14:textFill>
                  <w14:solidFill>
                    <w14:schemeClr w14:val="tx1"/>
                  </w14:solidFill>
                </w14:textFill>
              </w:rPr>
            </w:pPr>
          </w:p>
        </w:tc>
        <w:tc>
          <w:tcPr>
            <w:tcW w:w="1840" w:type="dxa"/>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年度日期</w:t>
            </w:r>
          </w:p>
        </w:tc>
        <w:tc>
          <w:tcPr>
            <w:tcW w:w="1862" w:type="dxa"/>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资产总计</w:t>
            </w:r>
          </w:p>
        </w:tc>
        <w:tc>
          <w:tcPr>
            <w:tcW w:w="1701" w:type="dxa"/>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负债总计</w:t>
            </w:r>
          </w:p>
        </w:tc>
        <w:tc>
          <w:tcPr>
            <w:tcW w:w="1692" w:type="dxa"/>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vAlign w:val="center"/>
          </w:tcPr>
          <w:p>
            <w:pPr>
              <w:ind w:firstLine="482" w:firstLineChars="0"/>
              <w:jc w:val="center"/>
              <w:rPr>
                <w:rFonts w:ascii="宋体" w:hAnsi="宋体"/>
                <w:b/>
                <w:color w:val="000000" w:themeColor="text1"/>
                <w:szCs w:val="21"/>
                <w:highlight w:val="none"/>
                <w14:textFill>
                  <w14:solidFill>
                    <w14:schemeClr w14:val="tx1"/>
                  </w14:solidFill>
                </w14:textFill>
              </w:rPr>
            </w:pPr>
          </w:p>
        </w:tc>
        <w:tc>
          <w:tcPr>
            <w:tcW w:w="1840" w:type="dxa"/>
            <w:vMerge w:val="restart"/>
            <w:vAlign w:val="center"/>
          </w:tcPr>
          <w:p>
            <w:pPr>
              <w:ind w:firstLine="0" w:firstLineChars="0"/>
              <w:jc w:val="center"/>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2019.</w:t>
            </w:r>
            <w:r>
              <w:rPr>
                <w:rFonts w:ascii="宋体" w:hAnsi="宋体"/>
                <w:color w:val="000000" w:themeColor="text1"/>
                <w:szCs w:val="21"/>
                <w:highlight w:val="none"/>
                <w14:textFill>
                  <w14:solidFill>
                    <w14:schemeClr w14:val="tx1"/>
                  </w14:solidFill>
                </w14:textFill>
              </w:rPr>
              <w:t>11.30</w:t>
            </w:r>
          </w:p>
        </w:tc>
        <w:tc>
          <w:tcPr>
            <w:tcW w:w="1862" w:type="dxa"/>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26,701,045.90</w:t>
            </w:r>
          </w:p>
        </w:tc>
        <w:tc>
          <w:tcPr>
            <w:tcW w:w="1701" w:type="dxa"/>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50,099,766.10</w:t>
            </w:r>
          </w:p>
        </w:tc>
        <w:tc>
          <w:tcPr>
            <w:tcW w:w="1692" w:type="dxa"/>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-23,398,720.20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2" w:firstLineChars="0"/>
              <w:jc w:val="center"/>
              <w:rPr>
                <w:rFonts w:ascii="宋体" w:hAnsi="宋体"/>
                <w:b/>
                <w:color w:val="000000" w:themeColor="text1"/>
                <w:szCs w:val="21"/>
                <w:highlight w:val="none"/>
                <w14:textFill>
                  <w14:solidFill>
                    <w14:schemeClr w14:val="tx1"/>
                  </w14:solidFill>
                </w14:textFill>
              </w:rPr>
            </w:pPr>
          </w:p>
        </w:tc>
        <w:tc>
          <w:tcPr>
            <w:tcW w:w="1840" w:type="dxa"/>
            <w:vMerge w:val="continue"/>
            <w:shd w:val="clear" w:color="auto" w:fill="auto"/>
            <w:vAlign w:val="center"/>
          </w:tcPr>
          <w:p>
            <w:pPr>
              <w:ind w:firstLine="0" w:firstLineChars="0"/>
              <w:jc w:val="center"/>
              <w:rPr>
                <w:rFonts w:ascii="宋体" w:hAnsi="宋体"/>
                <w:color w:val="000000" w:themeColor="text1"/>
                <w:szCs w:val="21"/>
                <w:highlight w:val="none"/>
                <w:u w:val="single"/>
                <w14:textFill>
                  <w14:solidFill>
                    <w14:schemeClr w14:val="tx1"/>
                  </w14:solidFill>
                </w14:textFill>
              </w:rPr>
            </w:pPr>
          </w:p>
        </w:tc>
        <w:tc>
          <w:tcPr>
            <w:tcW w:w="1862" w:type="dxa"/>
            <w:shd w:val="clear" w:color="auto" w:fill="auto"/>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营业收入</w:t>
            </w:r>
          </w:p>
        </w:tc>
        <w:tc>
          <w:tcPr>
            <w:tcW w:w="1701" w:type="dxa"/>
            <w:shd w:val="clear" w:color="auto" w:fill="FFFFFF"/>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利润总额</w:t>
            </w:r>
          </w:p>
        </w:tc>
        <w:tc>
          <w:tcPr>
            <w:tcW w:w="1692" w:type="dxa"/>
            <w:shd w:val="clear" w:color="auto" w:fill="FFFFFF"/>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2" w:firstLineChars="0"/>
              <w:jc w:val="center"/>
              <w:rPr>
                <w:rFonts w:ascii="宋体" w:hAnsi="宋体"/>
                <w:b/>
                <w:color w:val="000000" w:themeColor="text1"/>
                <w:szCs w:val="21"/>
                <w:highlight w:val="none"/>
                <w14:textFill>
                  <w14:solidFill>
                    <w14:schemeClr w14:val="tx1"/>
                  </w14:solidFill>
                </w14:textFill>
              </w:rPr>
            </w:pPr>
          </w:p>
        </w:tc>
        <w:tc>
          <w:tcPr>
            <w:tcW w:w="1840" w:type="dxa"/>
            <w:vMerge w:val="continue"/>
            <w:shd w:val="clear" w:color="auto" w:fill="auto"/>
            <w:vAlign w:val="center"/>
          </w:tcPr>
          <w:p>
            <w:pPr>
              <w:ind w:firstLine="0" w:firstLineChars="0"/>
              <w:jc w:val="center"/>
              <w:rPr>
                <w:rFonts w:ascii="宋体" w:hAnsi="宋体"/>
                <w:color w:val="000000" w:themeColor="text1"/>
                <w:szCs w:val="21"/>
                <w:highlight w:val="none"/>
                <w:u w:val="single"/>
                <w14:textFill>
                  <w14:solidFill>
                    <w14:schemeClr w14:val="tx1"/>
                  </w14:solidFill>
                </w14:textFill>
              </w:rPr>
            </w:pPr>
          </w:p>
        </w:tc>
        <w:tc>
          <w:tcPr>
            <w:tcW w:w="1862" w:type="dxa"/>
            <w:shd w:val="clear" w:color="auto" w:fill="auto"/>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96,911.51</w:t>
            </w:r>
          </w:p>
        </w:tc>
        <w:tc>
          <w:tcPr>
            <w:tcW w:w="1701" w:type="dxa"/>
            <w:shd w:val="clear" w:color="auto" w:fill="FFFFFF"/>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-16,831,899.98</w:t>
            </w:r>
          </w:p>
        </w:tc>
        <w:tc>
          <w:tcPr>
            <w:tcW w:w="1692" w:type="dxa"/>
            <w:shd w:val="clear" w:color="auto" w:fill="FFFFFF"/>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-16,831,899.98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2" w:firstLineChars="0"/>
              <w:jc w:val="center"/>
              <w:rPr>
                <w:rFonts w:ascii="宋体" w:hAnsi="宋体"/>
                <w:b/>
                <w:color w:val="000000" w:themeColor="text1"/>
                <w:szCs w:val="21"/>
                <w:highlight w:val="none"/>
                <w14:textFill>
                  <w14:solidFill>
                    <w14:schemeClr w14:val="tx1"/>
                  </w14:solidFill>
                </w14:textFill>
              </w:rPr>
            </w:pPr>
          </w:p>
        </w:tc>
        <w:tc>
          <w:tcPr>
            <w:tcW w:w="1840" w:type="dxa"/>
            <w:shd w:val="clear" w:color="auto" w:fill="auto"/>
            <w:vAlign w:val="center"/>
          </w:tcPr>
          <w:p>
            <w:pPr>
              <w:ind w:firstLine="173" w:firstLineChars="82"/>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审计机构</w:t>
            </w:r>
          </w:p>
        </w:tc>
        <w:tc>
          <w:tcPr>
            <w:tcW w:w="5255" w:type="dxa"/>
            <w:gridSpan w:val="3"/>
            <w:shd w:val="clear" w:color="auto" w:fill="FFFFFF"/>
            <w:vAlign w:val="center"/>
          </w:tcPr>
          <w:p>
            <w:pPr>
              <w:ind w:firstLine="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2" w:firstLineChars="0"/>
              <w:jc w:val="center"/>
              <w:rPr>
                <w:rFonts w:ascii="宋体" w:hAnsi="宋体"/>
                <w:b/>
                <w:color w:val="000000" w:themeColor="text1"/>
                <w:szCs w:val="21"/>
                <w:highlight w:val="none"/>
                <w14:textFill>
                  <w14:solidFill>
                    <w14:schemeClr w14:val="tx1"/>
                  </w14:solidFill>
                </w14:textFill>
              </w:rPr>
            </w:pPr>
          </w:p>
        </w:tc>
        <w:tc>
          <w:tcPr>
            <w:tcW w:w="7095" w:type="dxa"/>
            <w:gridSpan w:val="4"/>
            <w:shd w:val="clear" w:color="auto" w:fill="FFFFFF"/>
            <w:vAlign w:val="center"/>
          </w:tcPr>
          <w:p>
            <w:pPr>
              <w:ind w:firstLine="42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0" w:firstLineChars="0"/>
              <w:jc w:val="center"/>
              <w:rPr>
                <w:rFonts w:ascii="宋体" w:hAnsi="宋体"/>
                <w:color w:val="000000" w:themeColor="text1"/>
                <w:szCs w:val="21"/>
                <w:highlight w:val="none"/>
                <w14:textFill>
                  <w14:solidFill>
                    <w14:schemeClr w14:val="tx1"/>
                  </w14:solidFill>
                </w14:textFill>
              </w:rPr>
            </w:pPr>
          </w:p>
        </w:tc>
        <w:tc>
          <w:tcPr>
            <w:tcW w:w="1840" w:type="dxa"/>
            <w:shd w:val="clear" w:color="auto" w:fill="auto"/>
            <w:vAlign w:val="center"/>
          </w:tcPr>
          <w:p>
            <w:pPr>
              <w:ind w:firstLine="173" w:firstLineChars="82"/>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报表日期</w:t>
            </w:r>
          </w:p>
        </w:tc>
        <w:tc>
          <w:tcPr>
            <w:tcW w:w="1862" w:type="dxa"/>
            <w:shd w:val="clear" w:color="auto" w:fill="auto"/>
            <w:vAlign w:val="center"/>
          </w:tcPr>
          <w:p>
            <w:pPr>
              <w:ind w:firstLine="595" w:firstLineChars="282"/>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资产总计</w:t>
            </w:r>
          </w:p>
        </w:tc>
        <w:tc>
          <w:tcPr>
            <w:tcW w:w="1701" w:type="dxa"/>
            <w:shd w:val="clear" w:color="auto" w:fill="FFFFFF"/>
            <w:vAlign w:val="center"/>
          </w:tcPr>
          <w:p>
            <w:pPr>
              <w:ind w:firstLine="173" w:firstLineChars="82"/>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负债总计</w:t>
            </w:r>
          </w:p>
        </w:tc>
        <w:tc>
          <w:tcPr>
            <w:tcW w:w="1692" w:type="dxa"/>
            <w:shd w:val="clear" w:color="auto" w:fill="FFFFFF"/>
            <w:vAlign w:val="center"/>
          </w:tcPr>
          <w:p>
            <w:pPr>
              <w:ind w:firstLine="0" w:firstLineChars="0"/>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0" w:firstLineChars="0"/>
              <w:rPr>
                <w:rFonts w:ascii="宋体" w:hAnsi="宋体"/>
                <w:color w:val="000000" w:themeColor="text1"/>
                <w:szCs w:val="21"/>
                <w:highlight w:val="none"/>
                <w14:textFill>
                  <w14:solidFill>
                    <w14:schemeClr w14:val="tx1"/>
                  </w14:solidFill>
                </w14:textFill>
              </w:rPr>
            </w:pPr>
          </w:p>
        </w:tc>
        <w:tc>
          <w:tcPr>
            <w:tcW w:w="1840" w:type="dxa"/>
            <w:shd w:val="clear" w:color="auto" w:fill="auto"/>
            <w:vAlign w:val="center"/>
          </w:tcPr>
          <w:p>
            <w:pPr>
              <w:ind w:firstLine="0" w:firstLineChars="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2019.</w:t>
            </w:r>
            <w:r>
              <w:rPr>
                <w:rFonts w:ascii="宋体" w:hAnsi="宋体"/>
                <w:color w:val="000000" w:themeColor="text1"/>
                <w:szCs w:val="21"/>
                <w:highlight w:val="none"/>
                <w14:textFill>
                  <w14:solidFill>
                    <w14:schemeClr w14:val="tx1"/>
                  </w14:solidFill>
                </w14:textFill>
              </w:rPr>
              <w:t>11.30</w:t>
            </w:r>
          </w:p>
        </w:tc>
        <w:tc>
          <w:tcPr>
            <w:tcW w:w="1862" w:type="dxa"/>
            <w:shd w:val="clear" w:color="auto" w:fill="auto"/>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26,701,045.90</w:t>
            </w:r>
          </w:p>
        </w:tc>
        <w:tc>
          <w:tcPr>
            <w:tcW w:w="1701" w:type="dxa"/>
            <w:shd w:val="clear" w:color="auto" w:fill="FFFFFF"/>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50,099,766.10</w:t>
            </w:r>
          </w:p>
        </w:tc>
        <w:tc>
          <w:tcPr>
            <w:tcW w:w="1692" w:type="dxa"/>
            <w:shd w:val="clear" w:color="auto" w:fill="FFFFFF"/>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-23,398,720.20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0" w:firstLineChars="0"/>
              <w:rPr>
                <w:rFonts w:ascii="宋体" w:hAnsi="宋体"/>
                <w:color w:val="000000" w:themeColor="text1"/>
                <w:szCs w:val="21"/>
                <w:highlight w:val="none"/>
                <w14:textFill>
                  <w14:solidFill>
                    <w14:schemeClr w14:val="tx1"/>
                  </w14:solidFill>
                </w14:textFill>
              </w:rPr>
            </w:pPr>
          </w:p>
        </w:tc>
        <w:tc>
          <w:tcPr>
            <w:tcW w:w="1840" w:type="dxa"/>
            <w:shd w:val="clear" w:color="auto" w:fill="auto"/>
            <w:vAlign w:val="center"/>
          </w:tcPr>
          <w:p>
            <w:pPr>
              <w:ind w:firstLine="173" w:firstLineChars="82"/>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报表类型</w:t>
            </w:r>
          </w:p>
        </w:tc>
        <w:tc>
          <w:tcPr>
            <w:tcW w:w="1862" w:type="dxa"/>
            <w:shd w:val="clear" w:color="auto" w:fill="auto"/>
            <w:vAlign w:val="center"/>
          </w:tcPr>
          <w:p>
            <w:pPr>
              <w:ind w:firstLine="173" w:firstLineChars="82"/>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营业收入</w:t>
            </w:r>
          </w:p>
        </w:tc>
        <w:tc>
          <w:tcPr>
            <w:tcW w:w="1701" w:type="dxa"/>
            <w:shd w:val="clear" w:color="auto" w:fill="FFFFFF"/>
            <w:vAlign w:val="center"/>
          </w:tcPr>
          <w:p>
            <w:pPr>
              <w:ind w:firstLine="173" w:firstLineChars="82"/>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利润总额</w:t>
            </w:r>
          </w:p>
        </w:tc>
        <w:tc>
          <w:tcPr>
            <w:tcW w:w="1692" w:type="dxa"/>
            <w:shd w:val="clear" w:color="auto" w:fill="FFFFFF"/>
            <w:vAlign w:val="center"/>
          </w:tcPr>
          <w:p>
            <w:pPr>
              <w:ind w:firstLine="173" w:firstLineChars="82"/>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vAlign w:val="center"/>
          </w:tcPr>
          <w:p>
            <w:pPr>
              <w:ind w:firstLine="480" w:firstLineChars="0"/>
              <w:rPr>
                <w:rFonts w:ascii="宋体" w:hAnsi="宋体"/>
                <w:color w:val="000000" w:themeColor="text1"/>
                <w:szCs w:val="21"/>
                <w:highlight w:val="none"/>
                <w14:textFill>
                  <w14:solidFill>
                    <w14:schemeClr w14:val="tx1"/>
                  </w14:solidFill>
                </w14:textFill>
              </w:rPr>
            </w:pPr>
          </w:p>
        </w:tc>
        <w:tc>
          <w:tcPr>
            <w:tcW w:w="1840" w:type="dxa"/>
            <w:shd w:val="clear" w:color="auto" w:fill="auto"/>
            <w:vAlign w:val="center"/>
          </w:tcPr>
          <w:p>
            <w:pPr>
              <w:ind w:firstLine="384" w:firstLineChars="18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中期报表</w:t>
            </w:r>
          </w:p>
        </w:tc>
        <w:tc>
          <w:tcPr>
            <w:tcW w:w="1862" w:type="dxa"/>
            <w:shd w:val="clear" w:color="auto" w:fill="auto"/>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96,911.51</w:t>
            </w:r>
          </w:p>
        </w:tc>
        <w:tc>
          <w:tcPr>
            <w:tcW w:w="1701" w:type="dxa"/>
            <w:shd w:val="clear" w:color="auto" w:fill="FFFFFF"/>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-16,831,899.98</w:t>
            </w:r>
          </w:p>
        </w:tc>
        <w:tc>
          <w:tcPr>
            <w:tcW w:w="1692" w:type="dxa"/>
            <w:shd w:val="clear" w:color="auto" w:fill="FFFFFF"/>
            <w:vAlign w:val="center"/>
          </w:tcPr>
          <w:p>
            <w:pPr>
              <w:ind w:firstLine="0" w:firstLineChars="0"/>
              <w:jc w:val="righ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-16,831,899.98</w:t>
            </w:r>
          </w:p>
        </w:tc>
      </w:tr>
    </w:tbl>
    <w:p>
      <w:pPr>
        <w:ind w:firstLine="0" w:firstLineChars="0"/>
        <w:rPr>
          <w:rFonts w:ascii="宋体" w:hAnsi="宋体" w:cs="宋体"/>
          <w:color w:val="000000" w:themeColor="text1"/>
          <w:szCs w:val="21"/>
          <w:highlight w:val="none"/>
          <w14:textFill>
            <w14:solidFill>
              <w14:schemeClr w14:val="tx1"/>
            </w14:solidFill>
          </w14:textFill>
        </w:rPr>
      </w:pPr>
    </w:p>
    <w:tbl>
      <w:tblPr>
        <w:tblStyle w:val="15"/>
        <w:tblW w:w="9029" w:type="dxa"/>
        <w:tblInd w:w="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029" w:type="dxa"/>
          </w:tcPr>
          <w:p>
            <w:pPr>
              <w:ind w:firstLine="420"/>
              <w:jc w:val="center"/>
              <w:rPr>
                <w:rFonts w:ascii="宋体" w:hAnsi="宋体" w:cs="宋体"/>
                <w:color w:val="000000" w:themeColor="text1"/>
                <w:highlight w:val="none"/>
                <w14:textFill>
                  <w14:solidFill>
                    <w14:schemeClr w14:val="tx1"/>
                  </w14:solidFill>
                </w14:textFill>
              </w:rPr>
            </w:pPr>
            <w:bookmarkStart w:id="43" w:name="待定11"/>
            <w:r>
              <w:rPr>
                <w:rFonts w:hint="eastAsia" w:ascii="宋体" w:hAnsi="宋体" w:cs="宋体"/>
                <w:color w:val="000000" w:themeColor="text1"/>
                <w:highlight w:val="none"/>
                <w14:textFill>
                  <w14:solidFill>
                    <w14:schemeClr w14:val="tx1"/>
                  </w14:solidFill>
                </w14:textFill>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29" w:type="dxa"/>
          </w:tcPr>
          <w:p>
            <w:pPr>
              <w:ind w:left="1365" w:hanging="1365" w:hangingChars="650"/>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出资监管单位名称：台州市椒江区国有资产</w:t>
            </w:r>
            <w:r>
              <w:rPr>
                <w:rFonts w:hint="eastAsia" w:ascii="宋体" w:hAnsi="宋体" w:cs="宋体"/>
                <w:color w:val="000000" w:themeColor="text1"/>
                <w:highlight w:val="none"/>
                <w:lang w:val="en-US" w:eastAsia="zh-CN"/>
                <w14:textFill>
                  <w14:solidFill>
                    <w14:schemeClr w14:val="tx1"/>
                  </w14:solidFill>
                </w14:textFill>
              </w:rPr>
              <w:t>经营有限公司</w:t>
            </w:r>
          </w:p>
          <w:p>
            <w:pPr>
              <w:ind w:left="1365" w:hanging="1365" w:hangingChars="65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批复文件号：</w:t>
            </w:r>
            <w:bookmarkStart w:id="44" w:name="待定01"/>
            <w:r>
              <w:rPr>
                <w:rFonts w:hint="eastAsia" w:ascii="宋体" w:hAnsi="宋体" w:cs="宋体"/>
                <w:color w:val="000000" w:themeColor="text1"/>
                <w:highlight w:val="none"/>
                <w:lang w:val="en-US" w:eastAsia="zh-CN"/>
                <w14:textFill>
                  <w14:solidFill>
                    <w14:schemeClr w14:val="tx1"/>
                  </w14:solidFill>
                </w14:textFill>
              </w:rPr>
              <w:t>/</w:t>
            </w:r>
            <w:bookmarkEnd w:id="44"/>
          </w:p>
          <w:p>
            <w:pPr>
              <w:ind w:left="1365" w:hanging="1365" w:hangingChars="65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批复主要内容：同意公开挂牌转让。</w:t>
            </w:r>
          </w:p>
          <w:p>
            <w:pPr>
              <w:ind w:left="1365" w:hanging="1365" w:hangingChars="65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内部决策文件：海正药业八届八次董事会决议</w:t>
            </w:r>
          </w:p>
          <w:p>
            <w:pPr>
              <w:ind w:left="1365" w:hanging="1365" w:hangingChars="65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内部决策文件主要内容： 同意股东转让股权。 </w:t>
            </w:r>
          </w:p>
        </w:tc>
      </w:tr>
      <w:bookmarkEnd w:id="43"/>
    </w:tbl>
    <w:tbl>
      <w:tblPr>
        <w:tblStyle w:val="15"/>
        <w:tblpPr w:leftFromText="180" w:rightFromText="180" w:vertAnchor="text" w:horzAnchor="page" w:tblpX="1449" w:tblpY="308"/>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501"/>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9" w:type="dxa"/>
            <w:vMerge w:val="restart"/>
            <w:vAlign w:val="center"/>
          </w:tcPr>
          <w:p>
            <w:pPr>
              <w:ind w:firstLine="0" w:firstLineChars="0"/>
              <w:jc w:val="center"/>
              <w:rPr>
                <w:rFonts w:ascii="宋体" w:hAnsi="宋体" w:cs="宋体"/>
                <w:b/>
                <w:color w:val="000000" w:themeColor="text1"/>
                <w:szCs w:val="21"/>
                <w:highlight w:val="none"/>
                <w14:textFill>
                  <w14:solidFill>
                    <w14:schemeClr w14:val="tx1"/>
                  </w14:solidFill>
                </w14:textFill>
              </w:rPr>
            </w:pPr>
            <w:bookmarkStart w:id="45" w:name="待定22" w:colFirst="1" w:colLast="2"/>
            <w:r>
              <w:rPr>
                <w:rFonts w:hint="eastAsia" w:ascii="宋体" w:hAnsi="宋体" w:cs="宋体"/>
                <w:b/>
                <w:color w:val="000000" w:themeColor="text1"/>
                <w:szCs w:val="21"/>
                <w:highlight w:val="none"/>
                <w14:textFill>
                  <w14:solidFill>
                    <w14:schemeClr w14:val="tx1"/>
                  </w14:solidFill>
                </w14:textFill>
              </w:rPr>
              <w:t>中介机构</w:t>
            </w:r>
          </w:p>
        </w:tc>
        <w:tc>
          <w:tcPr>
            <w:tcW w:w="3501" w:type="dxa"/>
            <w:vAlign w:val="center"/>
          </w:tcPr>
          <w:p>
            <w:pPr>
              <w:ind w:firstLine="422"/>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律 师 事 务 所</w:t>
            </w:r>
          </w:p>
        </w:tc>
        <w:tc>
          <w:tcPr>
            <w:tcW w:w="4350" w:type="dxa"/>
            <w:vAlign w:val="center"/>
          </w:tcPr>
          <w:p>
            <w:pPr>
              <w:ind w:firstLine="420"/>
              <w:jc w:val="center"/>
              <w:rPr>
                <w:rFonts w:ascii="宋体" w:hAnsi="宋体" w:cs="宋体"/>
                <w:color w:val="000000" w:themeColor="text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北京康达（杭州）律师事务所</w:t>
            </w:r>
          </w:p>
        </w:tc>
      </w:tr>
      <w:bookmark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9" w:type="dxa"/>
            <w:vMerge w:val="continue"/>
            <w:vAlign w:val="center"/>
          </w:tcPr>
          <w:p>
            <w:pPr>
              <w:ind w:firstLine="422"/>
              <w:jc w:val="center"/>
              <w:rPr>
                <w:rFonts w:ascii="宋体" w:hAnsi="宋体" w:cs="宋体"/>
                <w:b/>
                <w:color w:val="000000" w:themeColor="text1"/>
                <w:szCs w:val="21"/>
                <w:highlight w:val="none"/>
                <w14:textFill>
                  <w14:solidFill>
                    <w14:schemeClr w14:val="tx1"/>
                  </w14:solidFill>
                </w14:textFill>
              </w:rPr>
            </w:pPr>
          </w:p>
        </w:tc>
        <w:tc>
          <w:tcPr>
            <w:tcW w:w="3501" w:type="dxa"/>
            <w:vAlign w:val="center"/>
          </w:tcPr>
          <w:p>
            <w:pPr>
              <w:ind w:firstLine="422"/>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会 计 师 事 务 所</w:t>
            </w:r>
          </w:p>
        </w:tc>
        <w:tc>
          <w:tcPr>
            <w:tcW w:w="4350" w:type="dxa"/>
            <w:vAlign w:val="center"/>
          </w:tcPr>
          <w:p>
            <w:pPr>
              <w:ind w:firstLine="0" w:firstLineChars="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9" w:type="dxa"/>
            <w:vMerge w:val="continue"/>
            <w:vAlign w:val="center"/>
          </w:tcPr>
          <w:p>
            <w:pPr>
              <w:ind w:firstLine="422"/>
              <w:jc w:val="center"/>
              <w:rPr>
                <w:rFonts w:ascii="宋体" w:hAnsi="宋体" w:cs="宋体"/>
                <w:b/>
                <w:color w:val="000000" w:themeColor="text1"/>
                <w:szCs w:val="21"/>
                <w:highlight w:val="none"/>
                <w14:textFill>
                  <w14:solidFill>
                    <w14:schemeClr w14:val="tx1"/>
                  </w14:solidFill>
                </w14:textFill>
              </w:rPr>
            </w:pPr>
          </w:p>
        </w:tc>
        <w:tc>
          <w:tcPr>
            <w:tcW w:w="3501" w:type="dxa"/>
            <w:vAlign w:val="center"/>
          </w:tcPr>
          <w:p>
            <w:pPr>
              <w:ind w:firstLine="422"/>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评 估 事 务 所</w:t>
            </w:r>
          </w:p>
        </w:tc>
        <w:tc>
          <w:tcPr>
            <w:tcW w:w="4350" w:type="dxa"/>
            <w:vAlign w:val="center"/>
          </w:tcPr>
          <w:p>
            <w:pPr>
              <w:ind w:firstLine="0" w:firstLineChars="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坤元资产评估有限公司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9" w:type="dxa"/>
            <w:vMerge w:val="continue"/>
            <w:vAlign w:val="center"/>
          </w:tcPr>
          <w:p>
            <w:pPr>
              <w:ind w:firstLine="422"/>
              <w:jc w:val="center"/>
              <w:rPr>
                <w:rFonts w:ascii="宋体" w:hAnsi="宋体" w:cs="宋体"/>
                <w:b/>
                <w:color w:val="000000" w:themeColor="text1"/>
                <w:szCs w:val="21"/>
                <w:highlight w:val="none"/>
                <w14:textFill>
                  <w14:solidFill>
                    <w14:schemeClr w14:val="tx1"/>
                  </w14:solidFill>
                </w14:textFill>
              </w:rPr>
            </w:pPr>
          </w:p>
        </w:tc>
        <w:tc>
          <w:tcPr>
            <w:tcW w:w="3501" w:type="dxa"/>
            <w:vAlign w:val="center"/>
          </w:tcPr>
          <w:p>
            <w:pPr>
              <w:ind w:firstLine="422"/>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评 估 基 准 日</w:t>
            </w:r>
          </w:p>
        </w:tc>
        <w:tc>
          <w:tcPr>
            <w:tcW w:w="4350" w:type="dxa"/>
            <w:vAlign w:val="center"/>
          </w:tcPr>
          <w:p>
            <w:pPr>
              <w:ind w:firstLine="42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2019年</w:t>
            </w:r>
            <w:r>
              <w:rPr>
                <w:rFonts w:ascii="宋体" w:hAnsi="宋体" w:cs="宋体"/>
                <w:color w:val="000000" w:themeColor="text1"/>
                <w:szCs w:val="21"/>
                <w:highlight w:val="none"/>
                <w14:textFill>
                  <w14:solidFill>
                    <w14:schemeClr w14:val="tx1"/>
                  </w14:solidFill>
                </w14:textFill>
              </w:rPr>
              <w:t>11</w:t>
            </w:r>
            <w:r>
              <w:rPr>
                <w:rFonts w:hint="eastAsia" w:ascii="宋体" w:hAnsi="宋体" w:cs="宋体"/>
                <w:color w:val="000000" w:themeColor="text1"/>
                <w:szCs w:val="21"/>
                <w:highlight w:val="none"/>
                <w14:textFill>
                  <w14:solidFill>
                    <w14:schemeClr w14:val="tx1"/>
                  </w14:solidFill>
                </w14:textFill>
              </w:rPr>
              <w:t>月3</w:t>
            </w:r>
            <w:r>
              <w:rPr>
                <w:rFonts w:ascii="宋体" w:hAnsi="宋体" w:cs="宋体"/>
                <w:color w:val="000000" w:themeColor="text1"/>
                <w:szCs w:val="21"/>
                <w:highlight w:val="none"/>
                <w14:textFill>
                  <w14:solidFill>
                    <w14:schemeClr w14:val="tx1"/>
                  </w14:solidFill>
                </w14:textFill>
              </w:rPr>
              <w:t>0</w:t>
            </w:r>
            <w:r>
              <w:rPr>
                <w:rFonts w:hint="eastAsia" w:ascii="宋体" w:hAnsi="宋体" w:cs="宋体"/>
                <w:color w:val="000000" w:themeColor="text1"/>
                <w:szCs w:val="21"/>
                <w:highlight w:val="none"/>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9" w:type="dxa"/>
            <w:vMerge w:val="continue"/>
            <w:vAlign w:val="center"/>
          </w:tcPr>
          <w:p>
            <w:pPr>
              <w:ind w:firstLine="422"/>
              <w:jc w:val="center"/>
              <w:rPr>
                <w:rFonts w:ascii="宋体" w:hAnsi="宋体" w:cs="宋体"/>
                <w:b/>
                <w:color w:val="000000" w:themeColor="text1"/>
                <w:szCs w:val="21"/>
                <w:highlight w:val="none"/>
                <w14:textFill>
                  <w14:solidFill>
                    <w14:schemeClr w14:val="tx1"/>
                  </w14:solidFill>
                </w14:textFill>
              </w:rPr>
            </w:pPr>
          </w:p>
        </w:tc>
        <w:tc>
          <w:tcPr>
            <w:tcW w:w="3501" w:type="dxa"/>
            <w:vAlign w:val="center"/>
          </w:tcPr>
          <w:p>
            <w:pPr>
              <w:ind w:firstLine="422"/>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评估核准（备案）机构</w:t>
            </w:r>
          </w:p>
        </w:tc>
        <w:tc>
          <w:tcPr>
            <w:tcW w:w="4350" w:type="dxa"/>
            <w:vAlign w:val="center"/>
          </w:tcPr>
          <w:p>
            <w:pPr>
              <w:ind w:firstLine="42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台州市椒江区国资委</w:t>
            </w:r>
          </w:p>
          <w:p>
            <w:pPr>
              <w:ind w:firstLine="42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核准□  备案</w:t>
            </w:r>
            <w:r>
              <w:rPr>
                <w:rFonts w:hint="eastAsia" w:ascii="宋体" w:hAnsi="宋体" w:cs="宋体"/>
                <w:color w:val="000000" w:themeColor="text1"/>
                <w:szCs w:val="21"/>
                <w:highlight w:val="none"/>
                <w14:textFill>
                  <w14:solidFill>
                    <w14:schemeClr w14:val="tx1"/>
                  </w14:solidFill>
                </w14:textFill>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9" w:type="dxa"/>
            <w:vAlign w:val="center"/>
          </w:tcPr>
          <w:p>
            <w:pPr>
              <w:ind w:firstLine="0" w:firstLineChars="0"/>
              <w:jc w:val="center"/>
              <w:rPr>
                <w:rFonts w:ascii="宋体" w:hAnsi="宋体" w:cs="宋体"/>
                <w:b/>
                <w:color w:val="000000" w:themeColor="text1"/>
                <w:szCs w:val="21"/>
                <w:highlight w:val="none"/>
                <w14:textFill>
                  <w14:solidFill>
                    <w14:schemeClr w14:val="tx1"/>
                  </w14:solidFill>
                </w14:textFill>
              </w:rPr>
            </w:pPr>
            <w:bookmarkStart w:id="46" w:name="待定12" w:colFirst="1" w:colLast="1"/>
            <w:r>
              <w:rPr>
                <w:rFonts w:hint="eastAsia" w:ascii="宋体" w:hAnsi="宋体" w:cs="宋体"/>
                <w:b/>
                <w:color w:val="000000" w:themeColor="text1"/>
                <w:szCs w:val="21"/>
                <w:highlight w:val="none"/>
                <w14:textFill>
                  <w14:solidFill>
                    <w14:schemeClr w14:val="tx1"/>
                  </w14:solidFill>
                </w14:textFill>
              </w:rPr>
              <w:t>对受让方的要求</w:t>
            </w:r>
          </w:p>
        </w:tc>
        <w:tc>
          <w:tcPr>
            <w:tcW w:w="7851" w:type="dxa"/>
            <w:gridSpan w:val="2"/>
            <w:vAlign w:val="center"/>
          </w:tcPr>
          <w:p>
            <w:pPr>
              <w:ind w:firstLine="0" w:firstLineChars="0"/>
              <w:jc w:val="left"/>
              <w:rPr>
                <w:rFonts w:ascii="宋体" w:hAnsi="宋体" w:cs="宋体"/>
                <w:color w:val="000000" w:themeColor="text1"/>
                <w:sz w:val="18"/>
                <w:szCs w:val="18"/>
                <w:highlight w:val="none"/>
                <w14:textFill>
                  <w14:solidFill>
                    <w14:schemeClr w14:val="tx1"/>
                  </w14:solidFill>
                </w14:textFill>
              </w:rPr>
            </w:pPr>
            <w:r>
              <w:rPr>
                <w:rFonts w:hint="eastAsia" w:ascii="宋体" w:hAnsi="宋体" w:cs="宋体"/>
                <w:color w:val="000000" w:themeColor="text1"/>
                <w:sz w:val="18"/>
                <w:szCs w:val="18"/>
                <w:highlight w:val="none"/>
                <w14:textFill>
                  <w14:solidFill>
                    <w14:schemeClr w14:val="tx1"/>
                  </w14:solidFill>
                </w14:textFill>
              </w:rPr>
              <w:t>具有良好的商业信用及支付能力的境内外企业或其他组织。</w:t>
            </w:r>
          </w:p>
        </w:tc>
      </w:tr>
      <w:bookmarkEnd w:id="46"/>
    </w:tbl>
    <w:p>
      <w:pPr>
        <w:ind w:firstLine="422"/>
        <w:rPr>
          <w:rFonts w:ascii="宋体" w:hAnsi="宋体" w:cs="宋体"/>
          <w:b/>
          <w:color w:val="000000" w:themeColor="text1"/>
          <w:szCs w:val="21"/>
          <w:highlight w:val="none"/>
          <w14:textFill>
            <w14:solidFill>
              <w14:schemeClr w14:val="tx1"/>
            </w14:solidFill>
          </w14:textFill>
        </w:rPr>
      </w:pPr>
    </w:p>
    <w:p>
      <w:pPr>
        <w:pStyle w:val="2"/>
        <w:spacing w:before="100" w:beforeAutospacing="1" w:after="100" w:afterAutospacing="1" w:line="360" w:lineRule="auto"/>
        <w:jc w:val="center"/>
        <w:rPr>
          <w:color w:val="000000" w:themeColor="text1"/>
          <w:sz w:val="36"/>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br w:type="page"/>
      </w:r>
      <w:bookmarkStart w:id="47" w:name="_Toc16293"/>
      <w:bookmarkStart w:id="48" w:name="_Toc528773697"/>
      <w:bookmarkStart w:id="49" w:name="_Toc16709"/>
      <w:r>
        <w:rPr>
          <w:rFonts w:hint="eastAsia"/>
          <w:color w:val="000000" w:themeColor="text1"/>
          <w:sz w:val="36"/>
          <w:highlight w:val="none"/>
          <w14:textFill>
            <w14:solidFill>
              <w14:schemeClr w14:val="tx1"/>
            </w14:solidFill>
          </w14:textFill>
        </w:rPr>
        <w:t>台州市产权交易所有限公司</w:t>
      </w:r>
      <w:r>
        <w:rPr>
          <w:rFonts w:hint="eastAsia"/>
          <w:color w:val="000000" w:themeColor="text1"/>
          <w:sz w:val="36"/>
          <w:highlight w:val="none"/>
          <w14:textFill>
            <w14:solidFill>
              <w14:schemeClr w14:val="tx1"/>
            </w14:solidFill>
          </w14:textFill>
        </w:rPr>
        <w:br w:type="textWrapping"/>
      </w:r>
      <w:r>
        <w:rPr>
          <w:rFonts w:hint="eastAsia"/>
          <w:color w:val="000000" w:themeColor="text1"/>
          <w:sz w:val="36"/>
          <w:highlight w:val="none"/>
          <w14:textFill>
            <w14:solidFill>
              <w14:schemeClr w14:val="tx1"/>
            </w14:solidFill>
          </w14:textFill>
        </w:rPr>
        <w:t>简  介</w:t>
      </w:r>
      <w:bookmarkEnd w:id="47"/>
      <w:bookmarkEnd w:id="48"/>
      <w:bookmarkEnd w:id="49"/>
    </w:p>
    <w:p>
      <w:pPr>
        <w:spacing w:line="348" w:lineRule="auto"/>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348" w:lineRule="auto"/>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台州市产权交易所有限公司为全市非上市股份有限公司的股权转让，市属企事业单位的改制与国有资本的流动，公共资源交易以及其他各类企业的产权交易提供服务。</w:t>
      </w:r>
    </w:p>
    <w:p>
      <w:pPr>
        <w:spacing w:line="348" w:lineRule="auto"/>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台州市产权交易所有限公司的业务领域为：</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企事业单位的国有产权转让服务；</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公共资源交易服务；</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非上市股份有限公司股权转让平台；</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拟开展股权托管、质押服务；</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其他各类企业的产权交易服务；</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招商引资服务；</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项目合作及融资服务；</w:t>
      </w:r>
    </w:p>
    <w:p>
      <w:pPr>
        <w:numPr>
          <w:ilvl w:val="0"/>
          <w:numId w:val="12"/>
        </w:numPr>
        <w:spacing w:line="348" w:lineRule="auto"/>
        <w:ind w:left="20"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各种相关的培训、咨询业务。</w:t>
      </w:r>
    </w:p>
    <w:p>
      <w:pPr>
        <w:spacing w:line="348" w:lineRule="auto"/>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348" w:lineRule="auto"/>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台州市产权交易所通过对产权交易的成功运作，事实证明产权“阳光交易”，程序规范化，市场化操作，更好地满足企业在资产盘活、增资扩股、资源引进、融资等多方面的需求。同时，通过台州市产权交易所有限公司交易平台实现国有资产的保值增值。</w:t>
      </w:r>
    </w:p>
    <w:p>
      <w:pPr>
        <w:spacing w:line="348" w:lineRule="auto"/>
        <w:ind w:firstLine="480"/>
        <w:rPr>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台州市产权交易所有限公司位于台州市市府大道777号浙江民泰商业银行五楼，邮编：318000，电话：0576-88685180，传真：0576-88685177，网址:www.tzpre.com。</w:t>
      </w:r>
    </w:p>
    <w:p>
      <w:pPr>
        <w:spacing w:line="348" w:lineRule="auto"/>
        <w:ind w:firstLine="420"/>
        <w:rPr>
          <w:color w:val="000000" w:themeColor="text1"/>
          <w:highlight w:val="none"/>
          <w14:textFill>
            <w14:solidFill>
              <w14:schemeClr w14:val="tx1"/>
            </w14:solidFill>
          </w14:textFill>
        </w:rPr>
      </w:pPr>
    </w:p>
    <w:sectPr>
      <w:footerReference r:id="rId10" w:type="default"/>
      <w:pgSz w:w="11906" w:h="16838"/>
      <w:pgMar w:top="1440" w:right="1531" w:bottom="898" w:left="1531"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95910" cy="153035"/>
              <wp:effectExtent l="0" t="0" r="0" b="0"/>
              <wp:wrapNone/>
              <wp:docPr id="1" name="文本框1"/>
              <wp:cNvGraphicFramePr/>
              <a:graphic xmlns:a="http://schemas.openxmlformats.org/drawingml/2006/main">
                <a:graphicData uri="http://schemas.microsoft.com/office/word/2010/wordprocessingShape">
                  <wps:wsp>
                    <wps:cNvSpPr txBox="1">
                      <a:spLocks noChangeArrowheads="1"/>
                    </wps:cNvSpPr>
                    <wps:spPr bwMode="auto">
                      <a:xfrm>
                        <a:off x="0" y="0"/>
                        <a:ext cx="295910" cy="153035"/>
                      </a:xfrm>
                      <a:prstGeom prst="rect">
                        <a:avLst/>
                      </a:prstGeom>
                      <a:noFill/>
                      <a:ln>
                        <a:noFill/>
                      </a:ln>
                      <a:effectLst/>
                    </wps:spPr>
                    <wps:txbx>
                      <w:txbxContent>
                        <w:p>
                          <w:pPr>
                            <w:snapToGrid w:val="0"/>
                            <w:ind w:firstLine="360"/>
                            <w:rPr>
                              <w:sz w:val="18"/>
                            </w:rPr>
                          </w:pPr>
                        </w:p>
                      </w:txbxContent>
                    </wps:txbx>
                    <wps:bodyPr rot="0" vert="horz" wrap="none" lIns="0" tIns="0" rIns="0" bIns="0" anchor="t" anchorCtr="0" upright="1">
                      <a:spAutoFit/>
                    </wps:bodyPr>
                  </wps:wsp>
                </a:graphicData>
              </a:graphic>
            </wp:anchor>
          </w:drawing>
        </mc:Choice>
        <mc:Fallback>
          <w:pict>
            <v:shape id="文本框1" o:spid="_x0000_s1026" o:spt="202" type="#_x0000_t202" style="position:absolute;left:0pt;margin-top:0pt;height:12.05pt;width:23.3pt;mso-position-horizontal:center;mso-position-horizontal-relative:margin;mso-wrap-style:none;z-index:251658240;mso-width-relative:page;mso-height-relative:page;" filled="f" stroked="f" coordsize="21600,21600" o:gfxdata="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we&#10;4HTRAAAAAwEAAA8AAAAAAAAAAQAgAAAAIgAAAGRycy9kb3ducmV2LnhtbFBLAQIUABQAAAAIAIdO&#10;4kAe5BQz8QEAAMEDAAAOAAAAAAAAAAEAIAAAACABAABkcnMvZTJvRG9jLnhtbFBLBQYAAAAABgAG&#10;AFkBAACDBQAAAAA=&#10;">
              <v:fill on="f" focussize="0,0"/>
              <v:stroke on="f"/>
              <v:imagedata o:title=""/>
              <o:lock v:ext="edit" aspectratio="f"/>
              <v:textbox inset="0mm,0mm,0mm,0mm" style="mso-fit-shape-to-text:t;">
                <w:txbxContent>
                  <w:p>
                    <w:pPr>
                      <w:snapToGrid w:val="0"/>
                      <w:ind w:firstLine="360"/>
                      <w:rPr>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A4485C"/>
    <w:multiLevelType w:val="singleLevel"/>
    <w:tmpl w:val="8EA4485C"/>
    <w:lvl w:ilvl="0" w:tentative="0">
      <w:start w:val="1"/>
      <w:numFmt w:val="decimalEnclosedCircleChinese"/>
      <w:suff w:val="nothing"/>
      <w:lvlText w:val="%1　"/>
      <w:lvlJc w:val="left"/>
      <w:pPr>
        <w:ind w:left="0" w:firstLine="400"/>
      </w:pPr>
      <w:rPr>
        <w:rFonts w:hint="eastAsia"/>
      </w:rPr>
    </w:lvl>
  </w:abstractNum>
  <w:abstractNum w:abstractNumId="1">
    <w:nsid w:val="ABACB610"/>
    <w:multiLevelType w:val="singleLevel"/>
    <w:tmpl w:val="ABACB610"/>
    <w:lvl w:ilvl="0" w:tentative="0">
      <w:start w:val="1"/>
      <w:numFmt w:val="chineseCounting"/>
      <w:suff w:val="nothing"/>
      <w:lvlText w:val="%1、"/>
      <w:lvlJc w:val="left"/>
      <w:rPr>
        <w:rFonts w:hint="eastAsia"/>
      </w:rPr>
    </w:lvl>
  </w:abstractNum>
  <w:abstractNum w:abstractNumId="2">
    <w:nsid w:val="00000008"/>
    <w:multiLevelType w:val="multilevel"/>
    <w:tmpl w:val="00000008"/>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3">
    <w:nsid w:val="03127D76"/>
    <w:multiLevelType w:val="multilevel"/>
    <w:tmpl w:val="03127D76"/>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2A9676A7"/>
    <w:multiLevelType w:val="multilevel"/>
    <w:tmpl w:val="2A9676A7"/>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C933895"/>
    <w:multiLevelType w:val="multilevel"/>
    <w:tmpl w:val="2C933895"/>
    <w:lvl w:ilvl="0" w:tentative="0">
      <w:start w:val="1"/>
      <w:numFmt w:val="decimal"/>
      <w:lvlText w:val="%1、"/>
      <w:lvlJc w:val="left"/>
      <w:pPr>
        <w:ind w:left="1130" w:hanging="420"/>
      </w:pPr>
      <w:rPr>
        <w:rFonts w:hint="eastAsia"/>
      </w:rPr>
    </w:lvl>
    <w:lvl w:ilvl="1" w:tentative="0">
      <w:start w:val="1"/>
      <w:numFmt w:val="japaneseCounting"/>
      <w:lvlText w:val="第%2条"/>
      <w:lvlJc w:val="left"/>
      <w:pPr>
        <w:ind w:left="2415" w:hanging="1155"/>
      </w:pPr>
      <w:rPr>
        <w:rFonts w:hint="default"/>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3011A217"/>
    <w:multiLevelType w:val="singleLevel"/>
    <w:tmpl w:val="3011A217"/>
    <w:lvl w:ilvl="0" w:tentative="0">
      <w:start w:val="15"/>
      <w:numFmt w:val="chineseCounting"/>
      <w:suff w:val="nothing"/>
      <w:lvlText w:val="%1、"/>
      <w:lvlJc w:val="left"/>
      <w:rPr>
        <w:rFonts w:hint="eastAsia"/>
      </w:rPr>
    </w:lvl>
  </w:abstractNum>
  <w:abstractNum w:abstractNumId="8">
    <w:nsid w:val="34667914"/>
    <w:multiLevelType w:val="multilevel"/>
    <w:tmpl w:val="34667914"/>
    <w:lvl w:ilvl="0" w:tentative="0">
      <w:start w:val="1"/>
      <w:numFmt w:val="chineseCountingThousand"/>
      <w:lvlText w:val="第%1条"/>
      <w:lvlJc w:val="left"/>
      <w:pPr>
        <w:ind w:left="982" w:hanging="420"/>
      </w:pPr>
      <w:rPr>
        <w:rFonts w:hint="default"/>
        <w:b/>
      </w:rPr>
    </w:lvl>
    <w:lvl w:ilvl="1" w:tentative="0">
      <w:start w:val="1"/>
      <w:numFmt w:val="chineseCountingThousand"/>
      <w:lvlText w:val="第%2条"/>
      <w:lvlJc w:val="left"/>
      <w:pPr>
        <w:ind w:left="1402" w:hanging="420"/>
      </w:pPr>
      <w:rPr>
        <w:rFonts w:hint="default"/>
        <w:b/>
      </w:r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9">
    <w:nsid w:val="4A4A7152"/>
    <w:multiLevelType w:val="singleLevel"/>
    <w:tmpl w:val="4A4A7152"/>
    <w:lvl w:ilvl="0" w:tentative="0">
      <w:start w:val="4"/>
      <w:numFmt w:val="chineseCounting"/>
      <w:suff w:val="nothing"/>
      <w:lvlText w:val="%1、"/>
      <w:lvlJc w:val="left"/>
      <w:rPr>
        <w:rFonts w:hint="eastAsia"/>
      </w:rPr>
    </w:lvl>
  </w:abstractNum>
  <w:abstractNum w:abstractNumId="10">
    <w:nsid w:val="4D713390"/>
    <w:multiLevelType w:val="multilevel"/>
    <w:tmpl w:val="4D713390"/>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7727DB9"/>
    <w:multiLevelType w:val="multilevel"/>
    <w:tmpl w:val="57727DB9"/>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9"/>
  </w:num>
  <w:num w:numId="3">
    <w:abstractNumId w:val="7"/>
  </w:num>
  <w:num w:numId="4">
    <w:abstractNumId w:val="1"/>
  </w:num>
  <w:num w:numId="5">
    <w:abstractNumId w:val="6"/>
  </w:num>
  <w:num w:numId="6">
    <w:abstractNumId w:val="8"/>
  </w:num>
  <w:num w:numId="7">
    <w:abstractNumId w:val="10"/>
  </w:num>
  <w:num w:numId="8">
    <w:abstractNumId w:val="11"/>
  </w:num>
  <w:num w:numId="9">
    <w:abstractNumId w:val="3"/>
  </w:num>
  <w:num w:numId="10">
    <w:abstractNumId w:val="5"/>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dit="readOnly"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EA4"/>
    <w:rsid w:val="00004570"/>
    <w:rsid w:val="00007373"/>
    <w:rsid w:val="000100E9"/>
    <w:rsid w:val="00012229"/>
    <w:rsid w:val="00016FF9"/>
    <w:rsid w:val="000231FA"/>
    <w:rsid w:val="000269A0"/>
    <w:rsid w:val="00030FDD"/>
    <w:rsid w:val="00035CD1"/>
    <w:rsid w:val="00042AE4"/>
    <w:rsid w:val="00044671"/>
    <w:rsid w:val="00044C87"/>
    <w:rsid w:val="00044EEF"/>
    <w:rsid w:val="0004738D"/>
    <w:rsid w:val="000475D3"/>
    <w:rsid w:val="0005023E"/>
    <w:rsid w:val="00051756"/>
    <w:rsid w:val="00051E1B"/>
    <w:rsid w:val="00053F41"/>
    <w:rsid w:val="00055B16"/>
    <w:rsid w:val="00061267"/>
    <w:rsid w:val="00063229"/>
    <w:rsid w:val="00076964"/>
    <w:rsid w:val="000821AA"/>
    <w:rsid w:val="000824F7"/>
    <w:rsid w:val="000834BF"/>
    <w:rsid w:val="0008505F"/>
    <w:rsid w:val="0009119C"/>
    <w:rsid w:val="0009243F"/>
    <w:rsid w:val="00092941"/>
    <w:rsid w:val="0009400B"/>
    <w:rsid w:val="000A2955"/>
    <w:rsid w:val="000B0A55"/>
    <w:rsid w:val="000B314F"/>
    <w:rsid w:val="000B4100"/>
    <w:rsid w:val="000B57BE"/>
    <w:rsid w:val="000C1125"/>
    <w:rsid w:val="000C2ED3"/>
    <w:rsid w:val="000C6164"/>
    <w:rsid w:val="000D2808"/>
    <w:rsid w:val="000D41E8"/>
    <w:rsid w:val="000D6918"/>
    <w:rsid w:val="000D748B"/>
    <w:rsid w:val="000F222B"/>
    <w:rsid w:val="000F2B25"/>
    <w:rsid w:val="000F4BDE"/>
    <w:rsid w:val="000F4FC2"/>
    <w:rsid w:val="00101E32"/>
    <w:rsid w:val="00107782"/>
    <w:rsid w:val="00111EEF"/>
    <w:rsid w:val="00113FE7"/>
    <w:rsid w:val="00123207"/>
    <w:rsid w:val="0013072D"/>
    <w:rsid w:val="00130F44"/>
    <w:rsid w:val="00140142"/>
    <w:rsid w:val="001411F8"/>
    <w:rsid w:val="00152B1C"/>
    <w:rsid w:val="00172A27"/>
    <w:rsid w:val="001732B4"/>
    <w:rsid w:val="00175233"/>
    <w:rsid w:val="0017552D"/>
    <w:rsid w:val="00181778"/>
    <w:rsid w:val="00184A00"/>
    <w:rsid w:val="001906A5"/>
    <w:rsid w:val="0019344B"/>
    <w:rsid w:val="001A552C"/>
    <w:rsid w:val="001A6562"/>
    <w:rsid w:val="001A6B32"/>
    <w:rsid w:val="001B1846"/>
    <w:rsid w:val="001B1BB0"/>
    <w:rsid w:val="001B2579"/>
    <w:rsid w:val="001C7035"/>
    <w:rsid w:val="001D5770"/>
    <w:rsid w:val="001E22AF"/>
    <w:rsid w:val="001E6520"/>
    <w:rsid w:val="001F1090"/>
    <w:rsid w:val="001F1744"/>
    <w:rsid w:val="001F45F7"/>
    <w:rsid w:val="001F686F"/>
    <w:rsid w:val="00203894"/>
    <w:rsid w:val="0020610C"/>
    <w:rsid w:val="00206FA1"/>
    <w:rsid w:val="002109C2"/>
    <w:rsid w:val="0022652F"/>
    <w:rsid w:val="002338A9"/>
    <w:rsid w:val="00233B14"/>
    <w:rsid w:val="00243FE1"/>
    <w:rsid w:val="002512C2"/>
    <w:rsid w:val="002549FC"/>
    <w:rsid w:val="00254ABB"/>
    <w:rsid w:val="00257130"/>
    <w:rsid w:val="00273818"/>
    <w:rsid w:val="00274F2C"/>
    <w:rsid w:val="00275FE7"/>
    <w:rsid w:val="00282B21"/>
    <w:rsid w:val="00286A13"/>
    <w:rsid w:val="00290B7C"/>
    <w:rsid w:val="00291931"/>
    <w:rsid w:val="002A0B21"/>
    <w:rsid w:val="002A1D9D"/>
    <w:rsid w:val="002B4616"/>
    <w:rsid w:val="002C363A"/>
    <w:rsid w:val="002D7C8A"/>
    <w:rsid w:val="002E2A21"/>
    <w:rsid w:val="002F1AC2"/>
    <w:rsid w:val="002F51DF"/>
    <w:rsid w:val="002F798F"/>
    <w:rsid w:val="002F7FDE"/>
    <w:rsid w:val="00303B50"/>
    <w:rsid w:val="00311FBA"/>
    <w:rsid w:val="00321650"/>
    <w:rsid w:val="003244F2"/>
    <w:rsid w:val="00325906"/>
    <w:rsid w:val="00330648"/>
    <w:rsid w:val="00334804"/>
    <w:rsid w:val="00337FB6"/>
    <w:rsid w:val="003415BD"/>
    <w:rsid w:val="0034479B"/>
    <w:rsid w:val="00353443"/>
    <w:rsid w:val="00360B62"/>
    <w:rsid w:val="003621B3"/>
    <w:rsid w:val="00374B9E"/>
    <w:rsid w:val="0038388A"/>
    <w:rsid w:val="00384DF0"/>
    <w:rsid w:val="0038651E"/>
    <w:rsid w:val="00394CC6"/>
    <w:rsid w:val="0039580F"/>
    <w:rsid w:val="003962AE"/>
    <w:rsid w:val="003A1C58"/>
    <w:rsid w:val="003A3B6C"/>
    <w:rsid w:val="003A7E15"/>
    <w:rsid w:val="003B02FE"/>
    <w:rsid w:val="003B048C"/>
    <w:rsid w:val="003B1430"/>
    <w:rsid w:val="003B7C17"/>
    <w:rsid w:val="003D179C"/>
    <w:rsid w:val="003D6C02"/>
    <w:rsid w:val="003E02A1"/>
    <w:rsid w:val="003E24C8"/>
    <w:rsid w:val="003F08C9"/>
    <w:rsid w:val="003F0A74"/>
    <w:rsid w:val="004008DA"/>
    <w:rsid w:val="004073F2"/>
    <w:rsid w:val="00420AFC"/>
    <w:rsid w:val="00423FEF"/>
    <w:rsid w:val="0042708B"/>
    <w:rsid w:val="004308F6"/>
    <w:rsid w:val="00435206"/>
    <w:rsid w:val="00441E7D"/>
    <w:rsid w:val="00442BD4"/>
    <w:rsid w:val="00444A32"/>
    <w:rsid w:val="00445ACB"/>
    <w:rsid w:val="00446855"/>
    <w:rsid w:val="00446939"/>
    <w:rsid w:val="004528CD"/>
    <w:rsid w:val="0045749D"/>
    <w:rsid w:val="00462556"/>
    <w:rsid w:val="004643D4"/>
    <w:rsid w:val="00466C23"/>
    <w:rsid w:val="00476299"/>
    <w:rsid w:val="004773C1"/>
    <w:rsid w:val="00477640"/>
    <w:rsid w:val="00483EBA"/>
    <w:rsid w:val="00486610"/>
    <w:rsid w:val="00486681"/>
    <w:rsid w:val="004A24BD"/>
    <w:rsid w:val="004B1C67"/>
    <w:rsid w:val="004C0741"/>
    <w:rsid w:val="004C734B"/>
    <w:rsid w:val="004E00AD"/>
    <w:rsid w:val="004E24EF"/>
    <w:rsid w:val="004E3E63"/>
    <w:rsid w:val="004E4ECF"/>
    <w:rsid w:val="004F7EA6"/>
    <w:rsid w:val="00513377"/>
    <w:rsid w:val="00514204"/>
    <w:rsid w:val="00530227"/>
    <w:rsid w:val="00541110"/>
    <w:rsid w:val="00552BCA"/>
    <w:rsid w:val="005542C7"/>
    <w:rsid w:val="00554476"/>
    <w:rsid w:val="005601E9"/>
    <w:rsid w:val="00561389"/>
    <w:rsid w:val="00562536"/>
    <w:rsid w:val="00565798"/>
    <w:rsid w:val="00566176"/>
    <w:rsid w:val="005754A4"/>
    <w:rsid w:val="00576B2C"/>
    <w:rsid w:val="00577F67"/>
    <w:rsid w:val="00595F8F"/>
    <w:rsid w:val="005A2778"/>
    <w:rsid w:val="005A308E"/>
    <w:rsid w:val="005A331C"/>
    <w:rsid w:val="005A68FE"/>
    <w:rsid w:val="005A7462"/>
    <w:rsid w:val="005B6B2C"/>
    <w:rsid w:val="005C1CFB"/>
    <w:rsid w:val="005D3834"/>
    <w:rsid w:val="005D6A68"/>
    <w:rsid w:val="005D6AFC"/>
    <w:rsid w:val="005E6BA1"/>
    <w:rsid w:val="005F1842"/>
    <w:rsid w:val="00601AFE"/>
    <w:rsid w:val="00602183"/>
    <w:rsid w:val="00604CA0"/>
    <w:rsid w:val="006104A6"/>
    <w:rsid w:val="00613BDA"/>
    <w:rsid w:val="006234A0"/>
    <w:rsid w:val="00625F39"/>
    <w:rsid w:val="00627243"/>
    <w:rsid w:val="006325DE"/>
    <w:rsid w:val="006454CC"/>
    <w:rsid w:val="006471D9"/>
    <w:rsid w:val="00662AB1"/>
    <w:rsid w:val="00663610"/>
    <w:rsid w:val="0066459F"/>
    <w:rsid w:val="00671F88"/>
    <w:rsid w:val="00675801"/>
    <w:rsid w:val="00676EFE"/>
    <w:rsid w:val="00694709"/>
    <w:rsid w:val="006B7891"/>
    <w:rsid w:val="006C2661"/>
    <w:rsid w:val="006C67FE"/>
    <w:rsid w:val="006E1B66"/>
    <w:rsid w:val="006E6A13"/>
    <w:rsid w:val="006F7310"/>
    <w:rsid w:val="00701F19"/>
    <w:rsid w:val="007056AE"/>
    <w:rsid w:val="00717C6C"/>
    <w:rsid w:val="00724D65"/>
    <w:rsid w:val="0073296E"/>
    <w:rsid w:val="00743501"/>
    <w:rsid w:val="00744E0D"/>
    <w:rsid w:val="007600EB"/>
    <w:rsid w:val="00763DDC"/>
    <w:rsid w:val="00770EC7"/>
    <w:rsid w:val="00775C53"/>
    <w:rsid w:val="00780BD9"/>
    <w:rsid w:val="00785FC1"/>
    <w:rsid w:val="00792174"/>
    <w:rsid w:val="007A13C1"/>
    <w:rsid w:val="007A3D7D"/>
    <w:rsid w:val="007B6D93"/>
    <w:rsid w:val="007C5AB8"/>
    <w:rsid w:val="007D0A91"/>
    <w:rsid w:val="007D3565"/>
    <w:rsid w:val="007D635C"/>
    <w:rsid w:val="007D68CD"/>
    <w:rsid w:val="007E1DD1"/>
    <w:rsid w:val="007E59F5"/>
    <w:rsid w:val="007F0311"/>
    <w:rsid w:val="007F7693"/>
    <w:rsid w:val="00800195"/>
    <w:rsid w:val="00800CE1"/>
    <w:rsid w:val="00803220"/>
    <w:rsid w:val="00810429"/>
    <w:rsid w:val="00822178"/>
    <w:rsid w:val="00823D5C"/>
    <w:rsid w:val="00831ADD"/>
    <w:rsid w:val="00832A20"/>
    <w:rsid w:val="00835105"/>
    <w:rsid w:val="00835A2F"/>
    <w:rsid w:val="00843CEB"/>
    <w:rsid w:val="00846E3A"/>
    <w:rsid w:val="00851F7A"/>
    <w:rsid w:val="008551B5"/>
    <w:rsid w:val="00860CF4"/>
    <w:rsid w:val="008737A7"/>
    <w:rsid w:val="00881392"/>
    <w:rsid w:val="0088350F"/>
    <w:rsid w:val="00894904"/>
    <w:rsid w:val="0089657E"/>
    <w:rsid w:val="008A1CA7"/>
    <w:rsid w:val="008A7333"/>
    <w:rsid w:val="008B0412"/>
    <w:rsid w:val="008B46F3"/>
    <w:rsid w:val="008C1CFE"/>
    <w:rsid w:val="008C3C6C"/>
    <w:rsid w:val="008D1AC9"/>
    <w:rsid w:val="008D571C"/>
    <w:rsid w:val="008D71A8"/>
    <w:rsid w:val="008E1B7A"/>
    <w:rsid w:val="008E659E"/>
    <w:rsid w:val="008F5FEB"/>
    <w:rsid w:val="008F6847"/>
    <w:rsid w:val="0090434F"/>
    <w:rsid w:val="00905FB5"/>
    <w:rsid w:val="0092377C"/>
    <w:rsid w:val="00931359"/>
    <w:rsid w:val="00936FB0"/>
    <w:rsid w:val="00937957"/>
    <w:rsid w:val="00943DF9"/>
    <w:rsid w:val="00947C8E"/>
    <w:rsid w:val="0096031B"/>
    <w:rsid w:val="009732AD"/>
    <w:rsid w:val="009733C6"/>
    <w:rsid w:val="00980DAF"/>
    <w:rsid w:val="00994531"/>
    <w:rsid w:val="00994D89"/>
    <w:rsid w:val="009A497D"/>
    <w:rsid w:val="009C1446"/>
    <w:rsid w:val="009C2005"/>
    <w:rsid w:val="009D2B02"/>
    <w:rsid w:val="009E024B"/>
    <w:rsid w:val="009E7B32"/>
    <w:rsid w:val="009F0F7F"/>
    <w:rsid w:val="009F1215"/>
    <w:rsid w:val="009F3794"/>
    <w:rsid w:val="009F490E"/>
    <w:rsid w:val="009F6094"/>
    <w:rsid w:val="00A20883"/>
    <w:rsid w:val="00A21133"/>
    <w:rsid w:val="00A223D9"/>
    <w:rsid w:val="00A413CA"/>
    <w:rsid w:val="00A44E7F"/>
    <w:rsid w:val="00A47F3B"/>
    <w:rsid w:val="00A54333"/>
    <w:rsid w:val="00A54795"/>
    <w:rsid w:val="00A56449"/>
    <w:rsid w:val="00A663BF"/>
    <w:rsid w:val="00A67B10"/>
    <w:rsid w:val="00A74760"/>
    <w:rsid w:val="00A9074D"/>
    <w:rsid w:val="00AA13CA"/>
    <w:rsid w:val="00AA7E0D"/>
    <w:rsid w:val="00AC6598"/>
    <w:rsid w:val="00AD1A7D"/>
    <w:rsid w:val="00AD2633"/>
    <w:rsid w:val="00AD2B0B"/>
    <w:rsid w:val="00AD6028"/>
    <w:rsid w:val="00AE3C82"/>
    <w:rsid w:val="00AE7FCB"/>
    <w:rsid w:val="00AF280C"/>
    <w:rsid w:val="00AF7F4E"/>
    <w:rsid w:val="00B032E5"/>
    <w:rsid w:val="00B05A30"/>
    <w:rsid w:val="00B07CFC"/>
    <w:rsid w:val="00B136F0"/>
    <w:rsid w:val="00B23E51"/>
    <w:rsid w:val="00B3390F"/>
    <w:rsid w:val="00B42456"/>
    <w:rsid w:val="00B42661"/>
    <w:rsid w:val="00B463C3"/>
    <w:rsid w:val="00B506B7"/>
    <w:rsid w:val="00B549C8"/>
    <w:rsid w:val="00B57858"/>
    <w:rsid w:val="00B60F6D"/>
    <w:rsid w:val="00B656C6"/>
    <w:rsid w:val="00B67F32"/>
    <w:rsid w:val="00B718F0"/>
    <w:rsid w:val="00B80BD2"/>
    <w:rsid w:val="00B86DB1"/>
    <w:rsid w:val="00B86DE9"/>
    <w:rsid w:val="00B90BC4"/>
    <w:rsid w:val="00B92A50"/>
    <w:rsid w:val="00BA08B8"/>
    <w:rsid w:val="00BA1299"/>
    <w:rsid w:val="00BB1B06"/>
    <w:rsid w:val="00BB548D"/>
    <w:rsid w:val="00BB5CEE"/>
    <w:rsid w:val="00BB6F95"/>
    <w:rsid w:val="00BC4B76"/>
    <w:rsid w:val="00BC5919"/>
    <w:rsid w:val="00BD1E38"/>
    <w:rsid w:val="00BD4139"/>
    <w:rsid w:val="00BE37C6"/>
    <w:rsid w:val="00BE431F"/>
    <w:rsid w:val="00BE4F9E"/>
    <w:rsid w:val="00BE7994"/>
    <w:rsid w:val="00BF1E1E"/>
    <w:rsid w:val="00BF7E63"/>
    <w:rsid w:val="00C00383"/>
    <w:rsid w:val="00C03D5D"/>
    <w:rsid w:val="00C109EF"/>
    <w:rsid w:val="00C12AF9"/>
    <w:rsid w:val="00C21E6C"/>
    <w:rsid w:val="00C25346"/>
    <w:rsid w:val="00C30C74"/>
    <w:rsid w:val="00C347D1"/>
    <w:rsid w:val="00C46FA7"/>
    <w:rsid w:val="00C538E7"/>
    <w:rsid w:val="00C6046E"/>
    <w:rsid w:val="00C6585E"/>
    <w:rsid w:val="00C664DB"/>
    <w:rsid w:val="00C664E3"/>
    <w:rsid w:val="00C925EC"/>
    <w:rsid w:val="00C97DE6"/>
    <w:rsid w:val="00CA0095"/>
    <w:rsid w:val="00CA25BB"/>
    <w:rsid w:val="00CA5B9B"/>
    <w:rsid w:val="00CC445A"/>
    <w:rsid w:val="00CD22BB"/>
    <w:rsid w:val="00CD4C74"/>
    <w:rsid w:val="00CD5409"/>
    <w:rsid w:val="00CD6404"/>
    <w:rsid w:val="00CF0A6D"/>
    <w:rsid w:val="00D01E34"/>
    <w:rsid w:val="00D0333F"/>
    <w:rsid w:val="00D03C4D"/>
    <w:rsid w:val="00D10AB9"/>
    <w:rsid w:val="00D11FB1"/>
    <w:rsid w:val="00D1511E"/>
    <w:rsid w:val="00D21344"/>
    <w:rsid w:val="00D2459F"/>
    <w:rsid w:val="00D36A55"/>
    <w:rsid w:val="00D37301"/>
    <w:rsid w:val="00D431B7"/>
    <w:rsid w:val="00D51CF5"/>
    <w:rsid w:val="00D64160"/>
    <w:rsid w:val="00D6619F"/>
    <w:rsid w:val="00D72373"/>
    <w:rsid w:val="00D77044"/>
    <w:rsid w:val="00D81EFD"/>
    <w:rsid w:val="00D83892"/>
    <w:rsid w:val="00D914DF"/>
    <w:rsid w:val="00D945D6"/>
    <w:rsid w:val="00D953BB"/>
    <w:rsid w:val="00DA0308"/>
    <w:rsid w:val="00DA27CD"/>
    <w:rsid w:val="00DA47D0"/>
    <w:rsid w:val="00DB1B7B"/>
    <w:rsid w:val="00DB50A7"/>
    <w:rsid w:val="00DB7AA5"/>
    <w:rsid w:val="00DC6543"/>
    <w:rsid w:val="00DC74E5"/>
    <w:rsid w:val="00DE799D"/>
    <w:rsid w:val="00DE7C92"/>
    <w:rsid w:val="00DF11B4"/>
    <w:rsid w:val="00DF6FEC"/>
    <w:rsid w:val="00DF7229"/>
    <w:rsid w:val="00E06CA7"/>
    <w:rsid w:val="00E10F45"/>
    <w:rsid w:val="00E12828"/>
    <w:rsid w:val="00E14C86"/>
    <w:rsid w:val="00E204F2"/>
    <w:rsid w:val="00E21A11"/>
    <w:rsid w:val="00E220CD"/>
    <w:rsid w:val="00E269FC"/>
    <w:rsid w:val="00E27BED"/>
    <w:rsid w:val="00E334A6"/>
    <w:rsid w:val="00E5218B"/>
    <w:rsid w:val="00E67440"/>
    <w:rsid w:val="00E67D7F"/>
    <w:rsid w:val="00E72409"/>
    <w:rsid w:val="00E72F3F"/>
    <w:rsid w:val="00E7791B"/>
    <w:rsid w:val="00E83B12"/>
    <w:rsid w:val="00E83F67"/>
    <w:rsid w:val="00E844D9"/>
    <w:rsid w:val="00E85573"/>
    <w:rsid w:val="00E85AF8"/>
    <w:rsid w:val="00EA0A89"/>
    <w:rsid w:val="00EA5DE5"/>
    <w:rsid w:val="00EA6762"/>
    <w:rsid w:val="00EB0662"/>
    <w:rsid w:val="00EC0E2B"/>
    <w:rsid w:val="00EC7738"/>
    <w:rsid w:val="00ED08FB"/>
    <w:rsid w:val="00ED1F46"/>
    <w:rsid w:val="00ED3366"/>
    <w:rsid w:val="00ED69D3"/>
    <w:rsid w:val="00EE0E71"/>
    <w:rsid w:val="00EE69B5"/>
    <w:rsid w:val="00EE72E3"/>
    <w:rsid w:val="00EF2978"/>
    <w:rsid w:val="00EF47E1"/>
    <w:rsid w:val="00EF4BC5"/>
    <w:rsid w:val="00EF536C"/>
    <w:rsid w:val="00EF5618"/>
    <w:rsid w:val="00F004DC"/>
    <w:rsid w:val="00F06458"/>
    <w:rsid w:val="00F3462B"/>
    <w:rsid w:val="00F35A8E"/>
    <w:rsid w:val="00F42152"/>
    <w:rsid w:val="00F43A8C"/>
    <w:rsid w:val="00F44299"/>
    <w:rsid w:val="00F44A9B"/>
    <w:rsid w:val="00F510F6"/>
    <w:rsid w:val="00F51C7D"/>
    <w:rsid w:val="00F547C0"/>
    <w:rsid w:val="00F744D7"/>
    <w:rsid w:val="00F767A8"/>
    <w:rsid w:val="00F77EBF"/>
    <w:rsid w:val="00F9042D"/>
    <w:rsid w:val="00F9465B"/>
    <w:rsid w:val="00FA082A"/>
    <w:rsid w:val="00FB7AB6"/>
    <w:rsid w:val="00FB7D6B"/>
    <w:rsid w:val="00FC1278"/>
    <w:rsid w:val="00FC497F"/>
    <w:rsid w:val="00FC529B"/>
    <w:rsid w:val="00FD0D99"/>
    <w:rsid w:val="00FE1E62"/>
    <w:rsid w:val="00FF01F7"/>
    <w:rsid w:val="00FF513B"/>
    <w:rsid w:val="011A5255"/>
    <w:rsid w:val="019849E0"/>
    <w:rsid w:val="021B2E3A"/>
    <w:rsid w:val="02C36E7D"/>
    <w:rsid w:val="035501C0"/>
    <w:rsid w:val="03596622"/>
    <w:rsid w:val="037D49A1"/>
    <w:rsid w:val="03A42C8F"/>
    <w:rsid w:val="03AB5609"/>
    <w:rsid w:val="03D37873"/>
    <w:rsid w:val="03E40A94"/>
    <w:rsid w:val="0422582F"/>
    <w:rsid w:val="0441390A"/>
    <w:rsid w:val="047B475B"/>
    <w:rsid w:val="048B795B"/>
    <w:rsid w:val="04C554BC"/>
    <w:rsid w:val="04E812CF"/>
    <w:rsid w:val="04F110A3"/>
    <w:rsid w:val="04F34B2A"/>
    <w:rsid w:val="057B74E1"/>
    <w:rsid w:val="05E00B17"/>
    <w:rsid w:val="05EB178E"/>
    <w:rsid w:val="05F44340"/>
    <w:rsid w:val="062C3CDB"/>
    <w:rsid w:val="067F115E"/>
    <w:rsid w:val="06AC0CFD"/>
    <w:rsid w:val="06D00E2C"/>
    <w:rsid w:val="06E42D81"/>
    <w:rsid w:val="06FB1611"/>
    <w:rsid w:val="07071B14"/>
    <w:rsid w:val="08352586"/>
    <w:rsid w:val="08A60D55"/>
    <w:rsid w:val="094C4E3A"/>
    <w:rsid w:val="095D1AD4"/>
    <w:rsid w:val="09A24842"/>
    <w:rsid w:val="09D943BB"/>
    <w:rsid w:val="09DE0F7A"/>
    <w:rsid w:val="0A4A7484"/>
    <w:rsid w:val="0A4B1F9D"/>
    <w:rsid w:val="0A4D3DB0"/>
    <w:rsid w:val="0AF31DC3"/>
    <w:rsid w:val="0B3705F5"/>
    <w:rsid w:val="0B3D1FE1"/>
    <w:rsid w:val="0B4F60E1"/>
    <w:rsid w:val="0BC802E9"/>
    <w:rsid w:val="0BD41778"/>
    <w:rsid w:val="0C2A5FAD"/>
    <w:rsid w:val="0C983675"/>
    <w:rsid w:val="0CD54AFC"/>
    <w:rsid w:val="0CF01B2C"/>
    <w:rsid w:val="0D416E2E"/>
    <w:rsid w:val="0D6B128A"/>
    <w:rsid w:val="0D6E22D5"/>
    <w:rsid w:val="0DEA21FC"/>
    <w:rsid w:val="0EA52B3C"/>
    <w:rsid w:val="0EA74A99"/>
    <w:rsid w:val="0F267734"/>
    <w:rsid w:val="0F3109D9"/>
    <w:rsid w:val="0F3F0DD5"/>
    <w:rsid w:val="0F5350BB"/>
    <w:rsid w:val="0F8D6445"/>
    <w:rsid w:val="0F943237"/>
    <w:rsid w:val="105421D6"/>
    <w:rsid w:val="108D72DA"/>
    <w:rsid w:val="11134B92"/>
    <w:rsid w:val="1124702B"/>
    <w:rsid w:val="11354A9E"/>
    <w:rsid w:val="114D02B6"/>
    <w:rsid w:val="11512479"/>
    <w:rsid w:val="11754288"/>
    <w:rsid w:val="120913E9"/>
    <w:rsid w:val="122B34E8"/>
    <w:rsid w:val="12613505"/>
    <w:rsid w:val="12852636"/>
    <w:rsid w:val="12C72BBC"/>
    <w:rsid w:val="13456CAE"/>
    <w:rsid w:val="13726ECD"/>
    <w:rsid w:val="13B341E1"/>
    <w:rsid w:val="14144A88"/>
    <w:rsid w:val="142D1517"/>
    <w:rsid w:val="144430CC"/>
    <w:rsid w:val="14492AA6"/>
    <w:rsid w:val="149312D1"/>
    <w:rsid w:val="14A20267"/>
    <w:rsid w:val="14BC0E10"/>
    <w:rsid w:val="15203773"/>
    <w:rsid w:val="155534DC"/>
    <w:rsid w:val="15902663"/>
    <w:rsid w:val="15D34A26"/>
    <w:rsid w:val="160C5C93"/>
    <w:rsid w:val="16353371"/>
    <w:rsid w:val="16A84292"/>
    <w:rsid w:val="16F1665A"/>
    <w:rsid w:val="17053F41"/>
    <w:rsid w:val="1736138F"/>
    <w:rsid w:val="17772C01"/>
    <w:rsid w:val="17BC7379"/>
    <w:rsid w:val="17EC403A"/>
    <w:rsid w:val="18562CF0"/>
    <w:rsid w:val="18B235B3"/>
    <w:rsid w:val="19190F3D"/>
    <w:rsid w:val="19331F1F"/>
    <w:rsid w:val="193D193A"/>
    <w:rsid w:val="195D392C"/>
    <w:rsid w:val="19AB61EC"/>
    <w:rsid w:val="19E27688"/>
    <w:rsid w:val="1A166A87"/>
    <w:rsid w:val="1A1F47EB"/>
    <w:rsid w:val="1A7136C6"/>
    <w:rsid w:val="1ABD725B"/>
    <w:rsid w:val="1ACF4868"/>
    <w:rsid w:val="1AF968B2"/>
    <w:rsid w:val="1B025BA0"/>
    <w:rsid w:val="1B481CCF"/>
    <w:rsid w:val="1B4A2C53"/>
    <w:rsid w:val="1B6B4E81"/>
    <w:rsid w:val="1B852B9F"/>
    <w:rsid w:val="1BF63B71"/>
    <w:rsid w:val="1C63748E"/>
    <w:rsid w:val="1CA20F14"/>
    <w:rsid w:val="1CF30612"/>
    <w:rsid w:val="1D1475EB"/>
    <w:rsid w:val="1D520B55"/>
    <w:rsid w:val="1D5F0807"/>
    <w:rsid w:val="1DDA7461"/>
    <w:rsid w:val="1E07643F"/>
    <w:rsid w:val="1E084BE8"/>
    <w:rsid w:val="1E13724E"/>
    <w:rsid w:val="1F844D1B"/>
    <w:rsid w:val="1FB44D91"/>
    <w:rsid w:val="1FCD3DD0"/>
    <w:rsid w:val="1FDD649F"/>
    <w:rsid w:val="20600621"/>
    <w:rsid w:val="2072063C"/>
    <w:rsid w:val="207702B7"/>
    <w:rsid w:val="21590CC5"/>
    <w:rsid w:val="21A62FC3"/>
    <w:rsid w:val="22225213"/>
    <w:rsid w:val="2299039F"/>
    <w:rsid w:val="22DB780B"/>
    <w:rsid w:val="2373681F"/>
    <w:rsid w:val="240D14CD"/>
    <w:rsid w:val="241D7307"/>
    <w:rsid w:val="244911F0"/>
    <w:rsid w:val="247B4F3F"/>
    <w:rsid w:val="24B97E49"/>
    <w:rsid w:val="24E060A7"/>
    <w:rsid w:val="24E96248"/>
    <w:rsid w:val="24EB2986"/>
    <w:rsid w:val="2502491F"/>
    <w:rsid w:val="255627BF"/>
    <w:rsid w:val="2605089D"/>
    <w:rsid w:val="269760D9"/>
    <w:rsid w:val="26FC3807"/>
    <w:rsid w:val="280146E7"/>
    <w:rsid w:val="281B425C"/>
    <w:rsid w:val="28484E66"/>
    <w:rsid w:val="28596F80"/>
    <w:rsid w:val="28636E6F"/>
    <w:rsid w:val="287A453F"/>
    <w:rsid w:val="28E330A5"/>
    <w:rsid w:val="293F6E04"/>
    <w:rsid w:val="29933F42"/>
    <w:rsid w:val="299A49BB"/>
    <w:rsid w:val="29C60CD0"/>
    <w:rsid w:val="29E662F0"/>
    <w:rsid w:val="2A2655B6"/>
    <w:rsid w:val="2A273037"/>
    <w:rsid w:val="2A3A0BBC"/>
    <w:rsid w:val="2AAE4298"/>
    <w:rsid w:val="2AAE6793"/>
    <w:rsid w:val="2AE15E00"/>
    <w:rsid w:val="2B7E61AD"/>
    <w:rsid w:val="2BA37EAE"/>
    <w:rsid w:val="2BFC36AD"/>
    <w:rsid w:val="2C7622EF"/>
    <w:rsid w:val="2C785C0A"/>
    <w:rsid w:val="2C974700"/>
    <w:rsid w:val="2C9967CA"/>
    <w:rsid w:val="2CA41DD3"/>
    <w:rsid w:val="2CA80B2F"/>
    <w:rsid w:val="2CBF2AC0"/>
    <w:rsid w:val="2D342CBA"/>
    <w:rsid w:val="2D377698"/>
    <w:rsid w:val="2D4F160E"/>
    <w:rsid w:val="2D715C07"/>
    <w:rsid w:val="2D7F711A"/>
    <w:rsid w:val="2D903F19"/>
    <w:rsid w:val="2D9E6F6C"/>
    <w:rsid w:val="2DC819DE"/>
    <w:rsid w:val="2DC9628E"/>
    <w:rsid w:val="2DF2511C"/>
    <w:rsid w:val="2DF801A9"/>
    <w:rsid w:val="2EAE30CD"/>
    <w:rsid w:val="2EE229FE"/>
    <w:rsid w:val="2F332780"/>
    <w:rsid w:val="2F5E4F5B"/>
    <w:rsid w:val="2FAB6ACA"/>
    <w:rsid w:val="300E4C2E"/>
    <w:rsid w:val="30311C65"/>
    <w:rsid w:val="303F5CE4"/>
    <w:rsid w:val="306A53C7"/>
    <w:rsid w:val="30A03168"/>
    <w:rsid w:val="30A82D39"/>
    <w:rsid w:val="30D41EAC"/>
    <w:rsid w:val="30DD1A74"/>
    <w:rsid w:val="31642D07"/>
    <w:rsid w:val="317A7265"/>
    <w:rsid w:val="31B60975"/>
    <w:rsid w:val="31CB4B53"/>
    <w:rsid w:val="31FB35D8"/>
    <w:rsid w:val="32191F4C"/>
    <w:rsid w:val="328549B8"/>
    <w:rsid w:val="32886F74"/>
    <w:rsid w:val="32C9219B"/>
    <w:rsid w:val="32D21971"/>
    <w:rsid w:val="330D71CD"/>
    <w:rsid w:val="335B4D4D"/>
    <w:rsid w:val="33AA4DE5"/>
    <w:rsid w:val="33F73CD2"/>
    <w:rsid w:val="3422263A"/>
    <w:rsid w:val="34230A32"/>
    <w:rsid w:val="342A79A4"/>
    <w:rsid w:val="34453F3C"/>
    <w:rsid w:val="345D2B9F"/>
    <w:rsid w:val="34A320B1"/>
    <w:rsid w:val="353A1C07"/>
    <w:rsid w:val="359B4014"/>
    <w:rsid w:val="360E4FE9"/>
    <w:rsid w:val="36404E3F"/>
    <w:rsid w:val="36720B63"/>
    <w:rsid w:val="36E42E43"/>
    <w:rsid w:val="37154C7C"/>
    <w:rsid w:val="371B3715"/>
    <w:rsid w:val="37A45519"/>
    <w:rsid w:val="37DE5837"/>
    <w:rsid w:val="37F479DA"/>
    <w:rsid w:val="38403803"/>
    <w:rsid w:val="3893636F"/>
    <w:rsid w:val="38AE1BB0"/>
    <w:rsid w:val="38BB482A"/>
    <w:rsid w:val="38C0124D"/>
    <w:rsid w:val="38D72034"/>
    <w:rsid w:val="39092226"/>
    <w:rsid w:val="397436F1"/>
    <w:rsid w:val="39894C58"/>
    <w:rsid w:val="39C47C69"/>
    <w:rsid w:val="39DB48E0"/>
    <w:rsid w:val="3A896188"/>
    <w:rsid w:val="3AEE2BBB"/>
    <w:rsid w:val="3AFC3F0B"/>
    <w:rsid w:val="3AFF5713"/>
    <w:rsid w:val="3B0349E7"/>
    <w:rsid w:val="3B2318E5"/>
    <w:rsid w:val="3B346845"/>
    <w:rsid w:val="3B3B7D28"/>
    <w:rsid w:val="3B410EC6"/>
    <w:rsid w:val="3B5F79F7"/>
    <w:rsid w:val="3B903FE0"/>
    <w:rsid w:val="3B93114B"/>
    <w:rsid w:val="3C61764F"/>
    <w:rsid w:val="3CA05E05"/>
    <w:rsid w:val="3CE33F5C"/>
    <w:rsid w:val="3D3739B8"/>
    <w:rsid w:val="3D9872C3"/>
    <w:rsid w:val="3DA15314"/>
    <w:rsid w:val="3DA15442"/>
    <w:rsid w:val="3E056BB9"/>
    <w:rsid w:val="3E274987"/>
    <w:rsid w:val="3EFC7306"/>
    <w:rsid w:val="3F143969"/>
    <w:rsid w:val="3F21283D"/>
    <w:rsid w:val="3FAF4CB9"/>
    <w:rsid w:val="403A4131"/>
    <w:rsid w:val="40412754"/>
    <w:rsid w:val="40E0783E"/>
    <w:rsid w:val="40ED6E7C"/>
    <w:rsid w:val="41845450"/>
    <w:rsid w:val="41F063DC"/>
    <w:rsid w:val="42882131"/>
    <w:rsid w:val="42B520C7"/>
    <w:rsid w:val="42B54F9E"/>
    <w:rsid w:val="42E84F3B"/>
    <w:rsid w:val="43403596"/>
    <w:rsid w:val="4343436A"/>
    <w:rsid w:val="43775ABD"/>
    <w:rsid w:val="440A3070"/>
    <w:rsid w:val="444B19FD"/>
    <w:rsid w:val="449360C1"/>
    <w:rsid w:val="44EB56FC"/>
    <w:rsid w:val="45543701"/>
    <w:rsid w:val="46294B95"/>
    <w:rsid w:val="46895076"/>
    <w:rsid w:val="473F4357"/>
    <w:rsid w:val="47576D71"/>
    <w:rsid w:val="47782AF6"/>
    <w:rsid w:val="47847862"/>
    <w:rsid w:val="47985129"/>
    <w:rsid w:val="483E4EB7"/>
    <w:rsid w:val="488346DD"/>
    <w:rsid w:val="48BD27FA"/>
    <w:rsid w:val="491D348C"/>
    <w:rsid w:val="492130F0"/>
    <w:rsid w:val="4A011096"/>
    <w:rsid w:val="4ACC089D"/>
    <w:rsid w:val="4AE02880"/>
    <w:rsid w:val="4B012973"/>
    <w:rsid w:val="4B580182"/>
    <w:rsid w:val="4B5D7340"/>
    <w:rsid w:val="4B8236CE"/>
    <w:rsid w:val="4B993CC8"/>
    <w:rsid w:val="4B9E6AC5"/>
    <w:rsid w:val="4BBB1116"/>
    <w:rsid w:val="4BE913AC"/>
    <w:rsid w:val="4BEA681C"/>
    <w:rsid w:val="4BEF27C6"/>
    <w:rsid w:val="4C4920B9"/>
    <w:rsid w:val="4C4F4E5A"/>
    <w:rsid w:val="4CA84FFE"/>
    <w:rsid w:val="4CB9236D"/>
    <w:rsid w:val="4CEC55CE"/>
    <w:rsid w:val="4D851A20"/>
    <w:rsid w:val="4DBC4A28"/>
    <w:rsid w:val="4E753947"/>
    <w:rsid w:val="4E991F18"/>
    <w:rsid w:val="4ED34835"/>
    <w:rsid w:val="4EDF6C6B"/>
    <w:rsid w:val="4F254094"/>
    <w:rsid w:val="4F374CC4"/>
    <w:rsid w:val="4F3D16E4"/>
    <w:rsid w:val="4FB236B0"/>
    <w:rsid w:val="4FB52AD0"/>
    <w:rsid w:val="4FCF6733"/>
    <w:rsid w:val="4FF52BF4"/>
    <w:rsid w:val="502150B0"/>
    <w:rsid w:val="502E46B1"/>
    <w:rsid w:val="50421398"/>
    <w:rsid w:val="50BA02FE"/>
    <w:rsid w:val="50BF7195"/>
    <w:rsid w:val="51525370"/>
    <w:rsid w:val="515677F6"/>
    <w:rsid w:val="51BD5605"/>
    <w:rsid w:val="51D718FA"/>
    <w:rsid w:val="51F82B07"/>
    <w:rsid w:val="521F4B14"/>
    <w:rsid w:val="52607177"/>
    <w:rsid w:val="52745592"/>
    <w:rsid w:val="52933407"/>
    <w:rsid w:val="53D70C1A"/>
    <w:rsid w:val="53E61FA4"/>
    <w:rsid w:val="53FF079E"/>
    <w:rsid w:val="540A3B95"/>
    <w:rsid w:val="540B4200"/>
    <w:rsid w:val="54100840"/>
    <w:rsid w:val="546C2289"/>
    <w:rsid w:val="5487789F"/>
    <w:rsid w:val="551510AF"/>
    <w:rsid w:val="55167C62"/>
    <w:rsid w:val="55672106"/>
    <w:rsid w:val="5586691D"/>
    <w:rsid w:val="55A8256D"/>
    <w:rsid w:val="55C238BF"/>
    <w:rsid w:val="55E211BC"/>
    <w:rsid w:val="55E51B76"/>
    <w:rsid w:val="560D0119"/>
    <w:rsid w:val="56193C4E"/>
    <w:rsid w:val="567129F2"/>
    <w:rsid w:val="56764886"/>
    <w:rsid w:val="56A213A6"/>
    <w:rsid w:val="56ED74A9"/>
    <w:rsid w:val="57206944"/>
    <w:rsid w:val="58090EFA"/>
    <w:rsid w:val="58407AB0"/>
    <w:rsid w:val="584A2FE9"/>
    <w:rsid w:val="587924B3"/>
    <w:rsid w:val="58BC3AA2"/>
    <w:rsid w:val="58D43382"/>
    <w:rsid w:val="58F011F8"/>
    <w:rsid w:val="58F802E6"/>
    <w:rsid w:val="59366BF8"/>
    <w:rsid w:val="594A67E6"/>
    <w:rsid w:val="59506E95"/>
    <w:rsid w:val="59CF144B"/>
    <w:rsid w:val="59F70CFE"/>
    <w:rsid w:val="5A55504B"/>
    <w:rsid w:val="5A70166E"/>
    <w:rsid w:val="5AB4478F"/>
    <w:rsid w:val="5AB87A9E"/>
    <w:rsid w:val="5B310CDD"/>
    <w:rsid w:val="5BE5416B"/>
    <w:rsid w:val="5C755ABC"/>
    <w:rsid w:val="5CA4290E"/>
    <w:rsid w:val="5CB73994"/>
    <w:rsid w:val="5CD90E90"/>
    <w:rsid w:val="5D164D0C"/>
    <w:rsid w:val="5D1715C8"/>
    <w:rsid w:val="5D2B4F05"/>
    <w:rsid w:val="5D7B386B"/>
    <w:rsid w:val="5D7D5225"/>
    <w:rsid w:val="5E0F30AD"/>
    <w:rsid w:val="5E79378D"/>
    <w:rsid w:val="5EA236D3"/>
    <w:rsid w:val="5EB36DEA"/>
    <w:rsid w:val="5EC02868"/>
    <w:rsid w:val="5FCF62BD"/>
    <w:rsid w:val="602C7C64"/>
    <w:rsid w:val="607C4170"/>
    <w:rsid w:val="60D75962"/>
    <w:rsid w:val="60D822FE"/>
    <w:rsid w:val="61130ED3"/>
    <w:rsid w:val="612648DA"/>
    <w:rsid w:val="613D24A4"/>
    <w:rsid w:val="61957F56"/>
    <w:rsid w:val="61BF66C0"/>
    <w:rsid w:val="624A5EA4"/>
    <w:rsid w:val="63647F0C"/>
    <w:rsid w:val="638E35D0"/>
    <w:rsid w:val="63933B88"/>
    <w:rsid w:val="63DC5AE3"/>
    <w:rsid w:val="641C0F55"/>
    <w:rsid w:val="642052D3"/>
    <w:rsid w:val="6430100D"/>
    <w:rsid w:val="64657FC6"/>
    <w:rsid w:val="64DA042A"/>
    <w:rsid w:val="651A2F6C"/>
    <w:rsid w:val="652E7769"/>
    <w:rsid w:val="65684DEA"/>
    <w:rsid w:val="65BD5FF9"/>
    <w:rsid w:val="667145FD"/>
    <w:rsid w:val="66AF4687"/>
    <w:rsid w:val="66D35B72"/>
    <w:rsid w:val="66E42936"/>
    <w:rsid w:val="670B79A6"/>
    <w:rsid w:val="672B1D9E"/>
    <w:rsid w:val="675018FF"/>
    <w:rsid w:val="678A3FEA"/>
    <w:rsid w:val="67D27C62"/>
    <w:rsid w:val="67F602C1"/>
    <w:rsid w:val="687D4B12"/>
    <w:rsid w:val="68C11050"/>
    <w:rsid w:val="68D648A2"/>
    <w:rsid w:val="696049C4"/>
    <w:rsid w:val="6960616F"/>
    <w:rsid w:val="6966217B"/>
    <w:rsid w:val="69A8091F"/>
    <w:rsid w:val="69AC5408"/>
    <w:rsid w:val="69B2569A"/>
    <w:rsid w:val="69EF1F39"/>
    <w:rsid w:val="6A2A0B23"/>
    <w:rsid w:val="6A446D6B"/>
    <w:rsid w:val="6A67569D"/>
    <w:rsid w:val="6A980F46"/>
    <w:rsid w:val="6A9B0FD8"/>
    <w:rsid w:val="6AB879E2"/>
    <w:rsid w:val="6B1730D0"/>
    <w:rsid w:val="6B7D7195"/>
    <w:rsid w:val="6B8F6404"/>
    <w:rsid w:val="6BC96697"/>
    <w:rsid w:val="6C675EEA"/>
    <w:rsid w:val="6C7D36CC"/>
    <w:rsid w:val="6C8B30CB"/>
    <w:rsid w:val="6CF67383"/>
    <w:rsid w:val="6D2941B9"/>
    <w:rsid w:val="6D4D5460"/>
    <w:rsid w:val="6DE568D8"/>
    <w:rsid w:val="6DFD2FDE"/>
    <w:rsid w:val="6E1C328E"/>
    <w:rsid w:val="6E6955CB"/>
    <w:rsid w:val="6E892DFA"/>
    <w:rsid w:val="6E9409CF"/>
    <w:rsid w:val="6F030322"/>
    <w:rsid w:val="6F24072D"/>
    <w:rsid w:val="6F3166F5"/>
    <w:rsid w:val="6F391EBB"/>
    <w:rsid w:val="6F6822D7"/>
    <w:rsid w:val="6FA220B1"/>
    <w:rsid w:val="70092AF5"/>
    <w:rsid w:val="700C1760"/>
    <w:rsid w:val="70244C09"/>
    <w:rsid w:val="702618AC"/>
    <w:rsid w:val="70372B56"/>
    <w:rsid w:val="706A0CF3"/>
    <w:rsid w:val="71014D1D"/>
    <w:rsid w:val="714275DF"/>
    <w:rsid w:val="714F266E"/>
    <w:rsid w:val="71F335F0"/>
    <w:rsid w:val="71F8328C"/>
    <w:rsid w:val="733B55A6"/>
    <w:rsid w:val="73661CAA"/>
    <w:rsid w:val="739D6070"/>
    <w:rsid w:val="73AC6B66"/>
    <w:rsid w:val="740F6558"/>
    <w:rsid w:val="74561364"/>
    <w:rsid w:val="74596753"/>
    <w:rsid w:val="7461636D"/>
    <w:rsid w:val="74945B44"/>
    <w:rsid w:val="74CE4D36"/>
    <w:rsid w:val="7510601B"/>
    <w:rsid w:val="75670E6E"/>
    <w:rsid w:val="75846AEF"/>
    <w:rsid w:val="75935CB7"/>
    <w:rsid w:val="75C03C40"/>
    <w:rsid w:val="76985EA2"/>
    <w:rsid w:val="76B60492"/>
    <w:rsid w:val="76CE7275"/>
    <w:rsid w:val="77191529"/>
    <w:rsid w:val="780F284E"/>
    <w:rsid w:val="787A1B62"/>
    <w:rsid w:val="78D62F65"/>
    <w:rsid w:val="78D86DBC"/>
    <w:rsid w:val="791B013F"/>
    <w:rsid w:val="791F7711"/>
    <w:rsid w:val="796075AF"/>
    <w:rsid w:val="79E041E8"/>
    <w:rsid w:val="79E53DDC"/>
    <w:rsid w:val="7A2C1281"/>
    <w:rsid w:val="7A5B654D"/>
    <w:rsid w:val="7ADB489D"/>
    <w:rsid w:val="7B704391"/>
    <w:rsid w:val="7BE57B0E"/>
    <w:rsid w:val="7C765FBE"/>
    <w:rsid w:val="7CE271F0"/>
    <w:rsid w:val="7CF938EA"/>
    <w:rsid w:val="7CFD2CE9"/>
    <w:rsid w:val="7D3753C2"/>
    <w:rsid w:val="7D6C7155"/>
    <w:rsid w:val="7DA03BD7"/>
    <w:rsid w:val="7DB12845"/>
    <w:rsid w:val="7DBA6ED4"/>
    <w:rsid w:val="7E0520DB"/>
    <w:rsid w:val="7E0D38E6"/>
    <w:rsid w:val="7E164309"/>
    <w:rsid w:val="7E4610B7"/>
    <w:rsid w:val="7EB114EF"/>
    <w:rsid w:val="7ED868D4"/>
    <w:rsid w:val="7EFE6E10"/>
    <w:rsid w:val="7F4C4F6B"/>
    <w:rsid w:val="7F8A5E4A"/>
    <w:rsid w:val="7FDB704E"/>
    <w:rsid w:val="7FDE3356"/>
    <w:rsid w:val="7FDF0D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5"/>
    <w:qFormat/>
    <w:uiPriority w:val="0"/>
    <w:pPr>
      <w:jc w:val="left"/>
    </w:pPr>
  </w:style>
  <w:style w:type="paragraph" w:styleId="4">
    <w:name w:val="Body Text Indent"/>
    <w:basedOn w:val="1"/>
    <w:qFormat/>
    <w:uiPriority w:val="0"/>
    <w:pPr>
      <w:spacing w:line="440" w:lineRule="exact"/>
      <w:ind w:firstLine="720" w:firstLineChars="300"/>
    </w:pPr>
    <w:rPr>
      <w:sz w:val="24"/>
    </w:rPr>
  </w:style>
  <w:style w:type="paragraph" w:styleId="5">
    <w:name w:val="Plain Text"/>
    <w:basedOn w:val="1"/>
    <w:link w:val="28"/>
    <w:qFormat/>
    <w:uiPriority w:val="0"/>
    <w:pPr>
      <w:ind w:firstLine="0" w:firstLineChars="0"/>
    </w:pPr>
    <w:rPr>
      <w:rFonts w:ascii="宋体" w:hAnsi="Courier New"/>
    </w:rPr>
  </w:style>
  <w:style w:type="paragraph" w:styleId="6">
    <w:name w:val="Date"/>
    <w:basedOn w:val="1"/>
    <w:next w:val="1"/>
    <w:link w:val="27"/>
    <w:qFormat/>
    <w:uiPriority w:val="0"/>
    <w:pPr>
      <w:ind w:left="100" w:leftChars="2500"/>
    </w:pPr>
  </w:style>
  <w:style w:type="paragraph" w:styleId="7">
    <w:name w:val="Body Text Indent 2"/>
    <w:basedOn w:val="1"/>
    <w:qFormat/>
    <w:uiPriority w:val="0"/>
    <w:pPr>
      <w:spacing w:after="120" w:line="480" w:lineRule="auto"/>
      <w:ind w:left="420" w:leftChars="200"/>
    </w:p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HTML Preformatted"/>
    <w:basedOn w:val="1"/>
    <w:link w:val="23"/>
    <w:qFormat/>
    <w:uiPriority w:val="0"/>
    <w:rPr>
      <w:rFonts w:ascii="Courier New" w:hAnsi="Courier New"/>
      <w:sz w:val="20"/>
      <w:szCs w:val="20"/>
    </w:rPr>
  </w:style>
  <w:style w:type="paragraph" w:styleId="13">
    <w:name w:val="Title"/>
    <w:basedOn w:val="1"/>
    <w:next w:val="1"/>
    <w:qFormat/>
    <w:uiPriority w:val="0"/>
    <w:pPr>
      <w:spacing w:before="240" w:after="60"/>
      <w:jc w:val="center"/>
      <w:outlineLvl w:val="0"/>
    </w:pPr>
    <w:rPr>
      <w:rFonts w:ascii="Cambria" w:hAnsi="Cambria"/>
      <w:b/>
      <w:bCs/>
      <w:sz w:val="32"/>
      <w:szCs w:val="32"/>
    </w:rPr>
  </w:style>
  <w:style w:type="paragraph" w:styleId="14">
    <w:name w:val="annotation subject"/>
    <w:basedOn w:val="3"/>
    <w:next w:val="3"/>
    <w:link w:val="26"/>
    <w:qFormat/>
    <w:uiPriority w:val="0"/>
    <w:rPr>
      <w:b/>
      <w:bCs/>
    </w:rPr>
  </w:style>
  <w:style w:type="table" w:styleId="16">
    <w:name w:val="Table Grid"/>
    <w:basedOn w:val="1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qFormat/>
    <w:uiPriority w:val="0"/>
    <w:rPr>
      <w:color w:val="800080"/>
      <w:u w:val="single"/>
    </w:rPr>
  </w:style>
  <w:style w:type="character" w:styleId="20">
    <w:name w:val="Emphasis"/>
    <w:qFormat/>
    <w:uiPriority w:val="0"/>
    <w:rPr>
      <w:i/>
    </w:rPr>
  </w:style>
  <w:style w:type="character" w:styleId="21">
    <w:name w:val="Hyperlink"/>
    <w:qFormat/>
    <w:uiPriority w:val="99"/>
    <w:rPr>
      <w:color w:val="0000FF"/>
      <w:u w:val="single"/>
    </w:rPr>
  </w:style>
  <w:style w:type="character" w:styleId="22">
    <w:name w:val="annotation reference"/>
    <w:qFormat/>
    <w:uiPriority w:val="0"/>
    <w:rPr>
      <w:sz w:val="21"/>
      <w:szCs w:val="21"/>
    </w:rPr>
  </w:style>
  <w:style w:type="character" w:customStyle="1" w:styleId="23">
    <w:name w:val="HTML 预设格式 Char"/>
    <w:link w:val="12"/>
    <w:qFormat/>
    <w:uiPriority w:val="0"/>
    <w:rPr>
      <w:rFonts w:ascii="Courier New" w:hAnsi="Courier New" w:cs="Courier New"/>
      <w:kern w:val="2"/>
    </w:rPr>
  </w:style>
  <w:style w:type="character" w:customStyle="1" w:styleId="24">
    <w:name w:val="标题 1 Char"/>
    <w:link w:val="2"/>
    <w:qFormat/>
    <w:uiPriority w:val="0"/>
    <w:rPr>
      <w:rFonts w:ascii="Calibri" w:hAnsi="Calibri"/>
      <w:b/>
      <w:bCs/>
      <w:kern w:val="44"/>
      <w:sz w:val="44"/>
      <w:szCs w:val="44"/>
    </w:rPr>
  </w:style>
  <w:style w:type="character" w:customStyle="1" w:styleId="25">
    <w:name w:val="批注文字 Char"/>
    <w:link w:val="3"/>
    <w:qFormat/>
    <w:uiPriority w:val="0"/>
    <w:rPr>
      <w:kern w:val="2"/>
      <w:sz w:val="21"/>
      <w:szCs w:val="24"/>
    </w:rPr>
  </w:style>
  <w:style w:type="character" w:customStyle="1" w:styleId="26">
    <w:name w:val="批注主题 Char"/>
    <w:link w:val="14"/>
    <w:qFormat/>
    <w:uiPriority w:val="0"/>
    <w:rPr>
      <w:b/>
      <w:bCs/>
      <w:kern w:val="2"/>
      <w:sz w:val="21"/>
      <w:szCs w:val="24"/>
    </w:rPr>
  </w:style>
  <w:style w:type="character" w:customStyle="1" w:styleId="27">
    <w:name w:val="日期 Char"/>
    <w:link w:val="6"/>
    <w:qFormat/>
    <w:uiPriority w:val="0"/>
    <w:rPr>
      <w:kern w:val="2"/>
      <w:sz w:val="21"/>
      <w:szCs w:val="24"/>
    </w:rPr>
  </w:style>
  <w:style w:type="character" w:customStyle="1" w:styleId="28">
    <w:name w:val="纯文本 Char"/>
    <w:link w:val="5"/>
    <w:qFormat/>
    <w:uiPriority w:val="0"/>
    <w:rPr>
      <w:rFonts w:ascii="宋体" w:hAnsi="Courier New"/>
      <w:kern w:val="2"/>
      <w:sz w:val="21"/>
      <w:szCs w:val="24"/>
    </w:rPr>
  </w:style>
  <w:style w:type="paragraph" w:customStyle="1" w:styleId="29">
    <w:name w:val="列出段落1"/>
    <w:basedOn w:val="1"/>
    <w:qFormat/>
    <w:uiPriority w:val="99"/>
    <w:pPr>
      <w:ind w:firstLine="420"/>
    </w:pPr>
    <w:rPr>
      <w:rFonts w:ascii="等线" w:hAnsi="等线" w:eastAsia="等线"/>
      <w:szCs w:val="22"/>
    </w:rPr>
  </w:style>
  <w:style w:type="paragraph" w:customStyle="1" w:styleId="30">
    <w:name w:val="Char Char"/>
    <w:basedOn w:val="1"/>
    <w:qFormat/>
    <w:uiPriority w:val="0"/>
  </w:style>
  <w:style w:type="paragraph" w:customStyle="1" w:styleId="31">
    <w:name w:val="正文表格"/>
    <w:basedOn w:val="1"/>
    <w:qFormat/>
    <w:uiPriority w:val="0"/>
    <w:pPr>
      <w:spacing w:before="60" w:after="60"/>
    </w:pPr>
    <w:rPr>
      <w:sz w:val="24"/>
    </w:rPr>
  </w:style>
  <w:style w:type="paragraph" w:customStyle="1" w:styleId="32">
    <w:name w:val="1"/>
    <w:basedOn w:val="1"/>
    <w:next w:val="7"/>
    <w:qFormat/>
    <w:uiPriority w:val="0"/>
    <w:pPr>
      <w:spacing w:before="60" w:after="60"/>
      <w:ind w:firstLine="425"/>
    </w:pPr>
    <w:rPr>
      <w:sz w:val="24"/>
    </w:rPr>
  </w:style>
  <w:style w:type="paragraph" w:customStyle="1" w:styleId="33">
    <w:name w:val="p0"/>
    <w:basedOn w:val="1"/>
    <w:qFormat/>
    <w:uiPriority w:val="0"/>
    <w:pPr>
      <w:widowControl/>
    </w:pPr>
    <w:rPr>
      <w:kern w:val="0"/>
      <w:szCs w:val="21"/>
    </w:rPr>
  </w:style>
  <w:style w:type="paragraph" w:styleId="34">
    <w:name w:val="List Paragraph"/>
    <w:basedOn w:val="1"/>
    <w:qFormat/>
    <w:uiPriority w:val="34"/>
    <w:pPr>
      <w:ind w:firstLine="420"/>
    </w:pPr>
  </w:style>
  <w:style w:type="paragraph" w:customStyle="1" w:styleId="3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列表段落1"/>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B71303-0437-41FE-A3B2-35D878470514}">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2001</Words>
  <Characters>11407</Characters>
  <Lines>95</Lines>
  <Paragraphs>26</Paragraphs>
  <TotalTime>9</TotalTime>
  <ScaleCrop>false</ScaleCrop>
  <LinksUpToDate>false</LinksUpToDate>
  <CharactersWithSpaces>13382</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2019-11-21T15:24:00Z</dcterms:created>
  <dc:creator>Administrator</dc:creator>
  <cp:lastModifiedBy>多年以后</cp:lastModifiedBy>
  <cp:lastPrinted>2020-03-16T07:49:37Z</cp:lastPrinted>
  <dcterms:modified xsi:type="dcterms:W3CDTF">2020-03-16T07:54:52Z</dcterms:modified>
  <dc:title>浙江丰安生物制药有限公司14.9723%国有法人股权</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