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
    <w:p/>
    <w:p/>
    <w:p/>
    <w:p/>
    <w:p/>
    <w:p>
      <w:pPr>
        <w:rPr>
          <w:b/>
          <w:bCs/>
          <w:sz w:val="44"/>
          <w:szCs w:val="44"/>
        </w:rPr>
      </w:pPr>
    </w:p>
    <w:p>
      <w:pPr>
        <w:spacing w:line="360" w:lineRule="auto"/>
        <w:jc w:val="center"/>
        <w:rPr>
          <w:rFonts w:ascii="黑体" w:eastAsia="黑体"/>
          <w:b/>
          <w:bCs/>
          <w:spacing w:val="4"/>
          <w:sz w:val="44"/>
          <w:szCs w:val="44"/>
        </w:rPr>
      </w:pPr>
      <w:bookmarkStart w:id="0" w:name="_Hlk527636170"/>
      <w:r>
        <w:rPr>
          <w:rFonts w:hint="eastAsia" w:ascii="黑体" w:eastAsia="黑体"/>
          <w:b/>
          <w:bCs/>
          <w:spacing w:val="4"/>
          <w:sz w:val="44"/>
          <w:szCs w:val="44"/>
        </w:rPr>
        <w:t>浙江海正动物保健品有限公司</w:t>
      </w:r>
    </w:p>
    <w:p>
      <w:pPr>
        <w:spacing w:line="360" w:lineRule="auto"/>
        <w:jc w:val="center"/>
        <w:rPr>
          <w:rFonts w:ascii="黑体" w:eastAsia="黑体"/>
          <w:b/>
          <w:bCs/>
          <w:spacing w:val="4"/>
          <w:sz w:val="44"/>
          <w:szCs w:val="44"/>
        </w:rPr>
      </w:pPr>
      <w:r>
        <w:rPr>
          <w:rFonts w:hint="eastAsia" w:ascii="黑体" w:eastAsia="黑体"/>
          <w:b/>
          <w:bCs/>
          <w:spacing w:val="4"/>
          <w:sz w:val="44"/>
          <w:szCs w:val="44"/>
        </w:rPr>
        <w:t>新增</w:t>
      </w:r>
      <w:bookmarkEnd w:id="0"/>
      <w:r>
        <w:rPr>
          <w:rFonts w:ascii="黑体" w:eastAsia="黑体"/>
          <w:b/>
          <w:bCs/>
          <w:spacing w:val="4"/>
          <w:sz w:val="44"/>
          <w:szCs w:val="44"/>
        </w:rPr>
        <w:t>18</w:t>
      </w:r>
      <w:r>
        <w:rPr>
          <w:rFonts w:hint="eastAsia" w:ascii="黑体" w:eastAsia="黑体"/>
          <w:b/>
          <w:bCs/>
          <w:spacing w:val="4"/>
          <w:sz w:val="44"/>
          <w:szCs w:val="44"/>
        </w:rPr>
        <w:t>,</w:t>
      </w:r>
      <w:r>
        <w:rPr>
          <w:rFonts w:ascii="黑体" w:eastAsia="黑体"/>
          <w:b/>
          <w:bCs/>
          <w:spacing w:val="4"/>
          <w:sz w:val="44"/>
          <w:szCs w:val="44"/>
        </w:rPr>
        <w:t>000</w:t>
      </w:r>
      <w:r>
        <w:rPr>
          <w:rFonts w:hint="eastAsia" w:ascii="黑体" w:eastAsia="黑体"/>
          <w:b/>
          <w:bCs/>
          <w:spacing w:val="4"/>
          <w:sz w:val="44"/>
          <w:szCs w:val="44"/>
        </w:rPr>
        <w:t>,</w:t>
      </w:r>
      <w:r>
        <w:rPr>
          <w:rFonts w:ascii="黑体" w:eastAsia="黑体"/>
          <w:b/>
          <w:bCs/>
          <w:spacing w:val="4"/>
          <w:sz w:val="44"/>
          <w:szCs w:val="44"/>
        </w:rPr>
        <w:t>000</w:t>
      </w:r>
      <w:r>
        <w:rPr>
          <w:rFonts w:hint="eastAsia" w:ascii="黑体" w:eastAsia="黑体"/>
          <w:b/>
          <w:bCs/>
          <w:spacing w:val="4"/>
          <w:sz w:val="44"/>
          <w:szCs w:val="44"/>
        </w:rPr>
        <w:t>股</w:t>
      </w:r>
    </w:p>
    <w:p/>
    <w:p/>
    <w:p>
      <w:pPr>
        <w:spacing w:line="360" w:lineRule="auto"/>
        <w:jc w:val="center"/>
        <w:rPr>
          <w:rFonts w:ascii="黑体" w:eastAsia="黑体"/>
          <w:b/>
          <w:spacing w:val="4"/>
          <w:sz w:val="46"/>
          <w:szCs w:val="46"/>
        </w:rPr>
      </w:pPr>
    </w:p>
    <w:p>
      <w:pPr>
        <w:spacing w:line="360" w:lineRule="auto"/>
        <w:jc w:val="center"/>
        <w:rPr>
          <w:rFonts w:ascii="黑体" w:eastAsia="黑体"/>
          <w:b/>
          <w:sz w:val="2"/>
          <w:szCs w:val="52"/>
        </w:rPr>
      </w:pPr>
    </w:p>
    <w:p>
      <w:pPr>
        <w:spacing w:line="360" w:lineRule="auto"/>
        <w:jc w:val="center"/>
        <w:rPr>
          <w:rFonts w:ascii="黑体" w:eastAsia="黑体"/>
          <w:b/>
          <w:sz w:val="68"/>
          <w:szCs w:val="52"/>
        </w:rPr>
      </w:pPr>
      <w:r>
        <w:rPr>
          <w:rFonts w:hint="eastAsia" w:ascii="黑体" w:eastAsia="黑体"/>
          <w:b/>
          <w:sz w:val="68"/>
          <w:szCs w:val="52"/>
        </w:rPr>
        <w:t>增资文件</w:t>
      </w:r>
    </w:p>
    <w:p>
      <w:pPr>
        <w:spacing w:line="360" w:lineRule="auto"/>
        <w:jc w:val="center"/>
        <w:rPr>
          <w:rFonts w:ascii="黑体" w:hAnsi="宋体" w:eastAsia="黑体"/>
          <w:b/>
          <w:sz w:val="32"/>
          <w:szCs w:val="32"/>
        </w:rPr>
      </w:pPr>
    </w:p>
    <w:p>
      <w:pPr>
        <w:spacing w:line="360" w:lineRule="auto"/>
        <w:jc w:val="center"/>
        <w:rPr>
          <w:rFonts w:ascii="黑体" w:hAnsi="宋体" w:eastAsia="黑体"/>
          <w:b/>
          <w:sz w:val="32"/>
          <w:szCs w:val="32"/>
        </w:rPr>
      </w:pPr>
    </w:p>
    <w:p>
      <w:pPr>
        <w:spacing w:line="360" w:lineRule="auto"/>
        <w:jc w:val="center"/>
        <w:rPr>
          <w:rFonts w:ascii="黑体" w:hAnsi="宋体" w:eastAsia="黑体"/>
          <w:b/>
          <w:sz w:val="32"/>
          <w:szCs w:val="32"/>
        </w:rPr>
      </w:pPr>
      <w:r>
        <w:rPr>
          <w:rFonts w:hint="eastAsia" w:ascii="黑体" w:hAnsi="宋体" w:eastAsia="黑体"/>
          <w:b/>
          <w:sz w:val="32"/>
          <w:szCs w:val="32"/>
        </w:rPr>
        <w:t>台交所挂〔202</w:t>
      </w:r>
      <w:r>
        <w:rPr>
          <w:rFonts w:ascii="黑体" w:hAnsi="宋体" w:eastAsia="黑体"/>
          <w:b/>
          <w:sz w:val="32"/>
          <w:szCs w:val="32"/>
        </w:rPr>
        <w:t>1</w:t>
      </w:r>
      <w:r>
        <w:rPr>
          <w:rFonts w:hint="eastAsia" w:ascii="黑体" w:hAnsi="宋体" w:eastAsia="黑体"/>
          <w:b/>
          <w:sz w:val="32"/>
          <w:szCs w:val="32"/>
        </w:rPr>
        <w:t>〕</w:t>
      </w:r>
      <w:r>
        <w:rPr>
          <w:rFonts w:ascii="黑体" w:hAnsi="宋体" w:eastAsia="黑体"/>
          <w:b/>
          <w:sz w:val="32"/>
          <w:szCs w:val="32"/>
        </w:rPr>
        <w:t>11</w:t>
      </w:r>
      <w:r>
        <w:rPr>
          <w:rFonts w:hint="eastAsia" w:ascii="黑体" w:hAnsi="宋体" w:eastAsia="黑体"/>
          <w:b/>
          <w:sz w:val="32"/>
          <w:szCs w:val="32"/>
        </w:rPr>
        <w:t>号</w:t>
      </w:r>
    </w:p>
    <w:p/>
    <w:p/>
    <w:p/>
    <w:p/>
    <w:p/>
    <w:p/>
    <w:p/>
    <w:p/>
    <w:p>
      <w:pPr>
        <w:rPr>
          <w:rFonts w:hint="eastAsia"/>
        </w:rPr>
      </w:pPr>
    </w:p>
    <w:p/>
    <w:p/>
    <w:p>
      <w:pPr>
        <w:ind w:left="-540" w:leftChars="-257" w:right="-693" w:rightChars="-330"/>
        <w:rPr>
          <w:b/>
          <w:sz w:val="18"/>
        </w:rPr>
      </w:pPr>
      <w:r>
        <w:rPr>
          <w:rFonts w:hint="eastAsia"/>
          <w:b/>
          <w:sz w:val="18"/>
        </w:rPr>
        <w:t>◎台州市产权交易所有限公司◎   地址：台州市市府大道</w:t>
      </w:r>
      <w:r>
        <w:rPr>
          <w:b/>
          <w:sz w:val="18"/>
        </w:rPr>
        <w:t>777</w:t>
      </w:r>
      <w:r>
        <w:rPr>
          <w:rFonts w:hint="eastAsia"/>
          <w:b/>
          <w:sz w:val="18"/>
        </w:rPr>
        <w:t>号浙江民泰商业银行五楼◎电话：</w:t>
      </w:r>
      <w:r>
        <w:rPr>
          <w:b/>
          <w:sz w:val="18"/>
        </w:rPr>
        <w:t xml:space="preserve"> 88685180</w:t>
      </w:r>
      <w:r>
        <w:rPr>
          <w:rFonts w:hint="eastAsia"/>
          <w:b/>
          <w:sz w:val="18"/>
        </w:rPr>
        <w:t xml:space="preserve">   </w:t>
      </w:r>
      <w:r>
        <w:rPr>
          <w:b/>
          <w:sz w:val="18"/>
        </w:rPr>
        <w:t>88685177</w:t>
      </w:r>
      <w:r>
        <w:rPr>
          <w:rFonts w:hint="eastAsia"/>
          <w:b/>
          <w:sz w:val="18"/>
        </w:rPr>
        <w:t>◎</w:t>
      </w:r>
    </w:p>
    <w:p>
      <w:pPr>
        <w:ind w:left="-540" w:leftChars="-257" w:right="-693" w:rightChars="-330"/>
        <w:rPr>
          <w:b/>
          <w:sz w:val="18"/>
          <w:szCs w:val="18"/>
        </w:rPr>
      </w:pPr>
      <w:r>
        <w:rPr>
          <w:rFonts w:hint="eastAsia"/>
          <w:b/>
          <w:sz w:val="18"/>
        </w:rPr>
        <w:t>网址：</w:t>
      </w:r>
      <w:r>
        <w:fldChar w:fldCharType="begin"/>
      </w:r>
      <w:r>
        <w:instrText xml:space="preserve"> HYPERLINK "http://www.tzpre.com" </w:instrText>
      </w:r>
      <w:r>
        <w:fldChar w:fldCharType="separate"/>
      </w:r>
      <w:r>
        <w:rPr>
          <w:rStyle w:val="23"/>
          <w:rFonts w:ascii="Calibri" w:hAnsi="Calibri"/>
          <w:b/>
          <w:color w:val="auto"/>
          <w:kern w:val="2"/>
          <w:sz w:val="18"/>
          <w:lang w:eastAsia="zh-CN"/>
        </w:rPr>
        <w:t>www.tzpre.com</w:t>
      </w:r>
      <w:r>
        <w:rPr>
          <w:rStyle w:val="23"/>
          <w:rFonts w:ascii="Calibri" w:hAnsi="Calibri"/>
          <w:b/>
          <w:color w:val="auto"/>
          <w:kern w:val="2"/>
          <w:sz w:val="18"/>
          <w:lang w:eastAsia="zh-CN"/>
        </w:rPr>
        <w:fldChar w:fldCharType="end"/>
      </w:r>
    </w:p>
    <w:p>
      <w:pPr>
        <w:widowControl/>
        <w:jc w:val="center"/>
        <w:rPr>
          <w:rFonts w:ascii="黑体" w:hAnsi="黑体" w:eastAsia="黑体" w:cs="黑体"/>
          <w:sz w:val="44"/>
          <w:szCs w:val="44"/>
        </w:rPr>
      </w:pPr>
      <w:r>
        <w:rPr>
          <w:b/>
          <w:sz w:val="18"/>
          <w:szCs w:val="18"/>
        </w:rPr>
        <w:br w:type="page"/>
      </w:r>
      <w:r>
        <w:rPr>
          <w:rFonts w:hint="eastAsia" w:ascii="黑体" w:hAnsi="黑体" w:eastAsia="黑体" w:cs="黑体"/>
          <w:b/>
          <w:bCs/>
          <w:sz w:val="36"/>
          <w:szCs w:val="36"/>
          <w:lang w:val="zh-CN"/>
        </w:rPr>
        <w:t>目  录</w:t>
      </w:r>
    </w:p>
    <w:p>
      <w:pPr>
        <w:pStyle w:val="14"/>
        <w:spacing w:line="800" w:lineRule="exact"/>
        <w:rPr>
          <w:rFonts w:hint="eastAsia" w:asciiTheme="minorEastAsia" w:hAnsiTheme="minorEastAsia" w:eastAsiaTheme="minorEastAsia" w:cstheme="minorEastAsia"/>
          <w:sz w:val="28"/>
          <w:szCs w:val="28"/>
        </w:rPr>
      </w:pPr>
      <w:r>
        <w:rPr>
          <w:rStyle w:val="23"/>
          <w:rFonts w:hint="eastAsia" w:asciiTheme="minorEastAsia" w:hAnsiTheme="minorEastAsia" w:eastAsiaTheme="minorEastAsia" w:cstheme="minorEastAsia"/>
          <w:color w:val="auto"/>
          <w:sz w:val="28"/>
          <w:szCs w:val="28"/>
        </w:rPr>
        <w:fldChar w:fldCharType="begin"/>
      </w:r>
      <w:r>
        <w:rPr>
          <w:rStyle w:val="23"/>
          <w:rFonts w:hint="eastAsia" w:asciiTheme="minorEastAsia" w:hAnsiTheme="minorEastAsia" w:eastAsiaTheme="minorEastAsia" w:cstheme="minorEastAsia"/>
          <w:color w:val="auto"/>
          <w:sz w:val="28"/>
          <w:szCs w:val="28"/>
        </w:rPr>
        <w:instrText xml:space="preserve"> TOC \o "1-3" \h \z \u </w:instrText>
      </w:r>
      <w:r>
        <w:rPr>
          <w:rStyle w:val="23"/>
          <w:rFonts w:hint="eastAsia" w:asciiTheme="minorEastAsia" w:hAnsiTheme="minorEastAsia" w:eastAsiaTheme="minorEastAsia" w:cstheme="minorEastAsia"/>
          <w:color w:val="auto"/>
          <w:sz w:val="28"/>
          <w:szCs w:val="28"/>
        </w:rPr>
        <w:fldChar w:fldCharType="separate"/>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"_Toc48252217" </w:instrText>
      </w:r>
      <w:r>
        <w:rPr>
          <w:rFonts w:hint="eastAsia" w:asciiTheme="minorEastAsia" w:hAnsiTheme="minorEastAsia" w:eastAsiaTheme="minorEastAsia" w:cstheme="minorEastAsia"/>
          <w:sz w:val="28"/>
          <w:szCs w:val="28"/>
        </w:rPr>
        <w:fldChar w:fldCharType="separate"/>
      </w:r>
      <w:r>
        <w:rPr>
          <w:rStyle w:val="23"/>
          <w:rFonts w:hint="eastAsia" w:asciiTheme="minorEastAsia" w:hAnsiTheme="minorEastAsia" w:eastAsiaTheme="minorEastAsia" w:cstheme="minorEastAsia"/>
          <w:color w:val="auto"/>
          <w:sz w:val="28"/>
          <w:szCs w:val="28"/>
        </w:rPr>
        <w:t>增资公告</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_Toc48252217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14"/>
        <w:spacing w:line="8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文件须知及相关说明.......................................5</w:t>
      </w:r>
    </w:p>
    <w:p>
      <w:pPr>
        <w:pStyle w:val="14"/>
        <w:spacing w:line="8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"_Toc48252218" </w:instrText>
      </w:r>
      <w:r>
        <w:rPr>
          <w:rFonts w:hint="eastAsia" w:asciiTheme="minorEastAsia" w:hAnsiTheme="minorEastAsia" w:eastAsiaTheme="minorEastAsia" w:cstheme="minorEastAsia"/>
          <w:sz w:val="28"/>
          <w:szCs w:val="28"/>
        </w:rPr>
        <w:fldChar w:fldCharType="separate"/>
      </w:r>
      <w:r>
        <w:rPr>
          <w:rStyle w:val="23"/>
          <w:rFonts w:hint="eastAsia" w:asciiTheme="minorEastAsia" w:hAnsiTheme="minorEastAsia" w:eastAsiaTheme="minorEastAsia" w:cstheme="minorEastAsia"/>
          <w:color w:val="auto"/>
          <w:sz w:val="28"/>
          <w:szCs w:val="28"/>
        </w:rPr>
        <w:t>增资扩股投资申请书</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_Toc48252218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14"/>
        <w:spacing w:line="8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"_Toc48252219" </w:instrText>
      </w:r>
      <w:r>
        <w:rPr>
          <w:rFonts w:hint="eastAsia" w:asciiTheme="minorEastAsia" w:hAnsiTheme="minorEastAsia" w:eastAsiaTheme="minorEastAsia" w:cstheme="minorEastAsia"/>
          <w:sz w:val="28"/>
          <w:szCs w:val="28"/>
        </w:rPr>
        <w:fldChar w:fldCharType="separate"/>
      </w:r>
      <w:r>
        <w:rPr>
          <w:rStyle w:val="23"/>
          <w:rFonts w:hint="eastAsia" w:asciiTheme="minorEastAsia" w:hAnsiTheme="minorEastAsia" w:eastAsiaTheme="minorEastAsia" w:cstheme="minorEastAsia"/>
          <w:color w:val="auto"/>
          <w:sz w:val="28"/>
          <w:szCs w:val="28"/>
        </w:rPr>
        <w:t>认购风险告知书</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_Toc48252219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18</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14"/>
        <w:spacing w:line="8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"_Toc48252220" </w:instrText>
      </w:r>
      <w:r>
        <w:rPr>
          <w:rFonts w:hint="eastAsia" w:asciiTheme="minorEastAsia" w:hAnsiTheme="minorEastAsia" w:eastAsiaTheme="minorEastAsia" w:cstheme="minorEastAsia"/>
          <w:sz w:val="28"/>
          <w:szCs w:val="28"/>
        </w:rPr>
        <w:fldChar w:fldCharType="separate"/>
      </w:r>
      <w:r>
        <w:rPr>
          <w:rStyle w:val="23"/>
          <w:rFonts w:hint="eastAsia" w:asciiTheme="minorEastAsia" w:hAnsiTheme="minorEastAsia" w:eastAsiaTheme="minorEastAsia" w:cstheme="minorEastAsia"/>
          <w:color w:val="auto"/>
          <w:sz w:val="28"/>
          <w:szCs w:val="28"/>
        </w:rPr>
        <w:t>意向投资方资格确认通知书</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_Toc48252220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14"/>
        <w:spacing w:line="8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"_Toc48252222" </w:instrText>
      </w:r>
      <w:r>
        <w:rPr>
          <w:rFonts w:hint="eastAsia" w:asciiTheme="minorEastAsia" w:hAnsiTheme="minorEastAsia" w:eastAsiaTheme="minorEastAsia" w:cstheme="minorEastAsia"/>
          <w:sz w:val="28"/>
          <w:szCs w:val="28"/>
        </w:rPr>
        <w:fldChar w:fldCharType="separate"/>
      </w:r>
      <w:r>
        <w:rPr>
          <w:rStyle w:val="23"/>
          <w:rFonts w:hint="eastAsia" w:asciiTheme="minorEastAsia" w:hAnsiTheme="minorEastAsia" w:eastAsiaTheme="minorEastAsia" w:cstheme="minorEastAsia"/>
          <w:color w:val="auto"/>
          <w:sz w:val="28"/>
          <w:szCs w:val="28"/>
        </w:rPr>
        <w:t>网络竞价规则</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_Toc48252222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14"/>
        <w:spacing w:line="8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"_Toc48252223" </w:instrText>
      </w:r>
      <w:r>
        <w:rPr>
          <w:rFonts w:hint="eastAsia" w:asciiTheme="minorEastAsia" w:hAnsiTheme="minorEastAsia" w:eastAsiaTheme="minorEastAsia" w:cstheme="minorEastAsia"/>
          <w:sz w:val="28"/>
          <w:szCs w:val="28"/>
        </w:rPr>
        <w:fldChar w:fldCharType="separate"/>
      </w:r>
      <w:r>
        <w:rPr>
          <w:rStyle w:val="23"/>
          <w:rFonts w:hint="eastAsia" w:asciiTheme="minorEastAsia" w:hAnsiTheme="minorEastAsia" w:eastAsiaTheme="minorEastAsia" w:cstheme="minorEastAsia"/>
          <w:color w:val="auto"/>
          <w:sz w:val="28"/>
          <w:szCs w:val="28"/>
        </w:rPr>
        <w:t>增资确认书</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_Toc48252223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24</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pPr>
        <w:pStyle w:val="14"/>
        <w:spacing w:line="80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"_Toc48252224" </w:instrText>
      </w:r>
      <w:r>
        <w:rPr>
          <w:rFonts w:hint="eastAsia" w:asciiTheme="minorEastAsia" w:hAnsiTheme="minorEastAsia" w:eastAsiaTheme="minorEastAsia" w:cstheme="minorEastAsia"/>
          <w:sz w:val="28"/>
          <w:szCs w:val="28"/>
        </w:rPr>
        <w:fldChar w:fldCharType="separate"/>
      </w:r>
      <w:r>
        <w:rPr>
          <w:rStyle w:val="23"/>
          <w:rFonts w:hint="eastAsia" w:asciiTheme="minorEastAsia" w:hAnsiTheme="minorEastAsia" w:eastAsiaTheme="minorEastAsia" w:cstheme="minorEastAsia"/>
          <w:color w:val="auto"/>
          <w:sz w:val="28"/>
          <w:szCs w:val="28"/>
        </w:rPr>
        <w:t>增资扩股协议</w:t>
      </w:r>
      <w:r>
        <w:rPr>
          <w:rFonts w:hint="eastAsia" w:asciiTheme="minorEastAsia" w:hAnsiTheme="minorEastAsia" w:eastAsiaTheme="minorEastAsia" w:cstheme="minorEastAsia"/>
          <w:sz w:val="28"/>
          <w:szCs w:val="28"/>
        </w:rPr>
        <w:t>.............................................22</w:t>
      </w:r>
      <w:r>
        <w:rPr>
          <w:rFonts w:hint="eastAsia" w:asciiTheme="minorEastAsia" w:hAnsiTheme="minorEastAsia" w:eastAsiaTheme="minorEastAsia" w:cstheme="minorEastAsia"/>
          <w:sz w:val="28"/>
          <w:szCs w:val="28"/>
        </w:rPr>
        <w:fldChar w:fldCharType="end"/>
      </w:r>
    </w:p>
    <w:p>
      <w:pPr>
        <w:pStyle w:val="14"/>
        <w:spacing w:before="100" w:beforeAutospacing="1" w:after="100" w:afterAutospacing="1" w:line="800" w:lineRule="exact"/>
      </w:pPr>
      <w:r>
        <w:rPr>
          <w:rFonts w:hint="eastAsia" w:asciiTheme="minorEastAsia" w:hAnsiTheme="minorEastAsia" w:eastAsiaTheme="minorEastAsia" w:cstheme="minorEastAsia"/>
          <w:sz w:val="28"/>
          <w:szCs w:val="28"/>
        </w:rPr>
        <w:fldChar w:fldCharType="end"/>
      </w:r>
    </w:p>
    <w:p>
      <w:pPr>
        <w:widowControl/>
        <w:spacing w:line="600" w:lineRule="exact"/>
        <w:jc w:val="center"/>
        <w:rPr>
          <w:rFonts w:ascii="黑体" w:hAnsi="黑体" w:eastAsia="黑体" w:cs="黑体"/>
          <w:sz w:val="32"/>
          <w:szCs w:val="32"/>
        </w:rPr>
      </w:pPr>
      <w:r>
        <w:rPr>
          <w:sz w:val="32"/>
          <w:szCs w:val="32"/>
        </w:rPr>
        <w:br w:type="page"/>
      </w:r>
      <w:bookmarkStart w:id="1" w:name="_Toc48252217"/>
      <w:r>
        <w:rPr>
          <w:rFonts w:hint="eastAsia" w:ascii="黑体" w:hAnsi="黑体" w:eastAsia="黑体" w:cs="黑体"/>
          <w:b/>
          <w:sz w:val="36"/>
          <w:szCs w:val="36"/>
        </w:rPr>
        <w:t>增资公告</w:t>
      </w:r>
      <w:bookmarkEnd w:id="1"/>
    </w:p>
    <w:p>
      <w:pPr>
        <w:widowControl/>
        <w:spacing w:line="600" w:lineRule="exact"/>
        <w:jc w:val="center"/>
        <w:rPr>
          <w:rFonts w:ascii="黑体" w:hAnsi="黑体" w:eastAsia="黑体" w:cs="黑体"/>
          <w:sz w:val="28"/>
          <w:szCs w:val="28"/>
        </w:rPr>
      </w:pPr>
      <w:r>
        <w:rPr>
          <w:rFonts w:hint="eastAsia" w:ascii="黑体" w:hAnsi="黑体" w:eastAsia="黑体" w:cs="黑体"/>
          <w:sz w:val="28"/>
          <w:szCs w:val="28"/>
        </w:rPr>
        <w:t>台交所挂【2021】11号</w:t>
      </w:r>
    </w:p>
    <w:p>
      <w:pPr>
        <w:spacing w:line="546" w:lineRule="exact"/>
        <w:ind w:right="105" w:rightChars="50"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受有关单位委托，通过挂牌方式对浙江海正动物保健品有限公司（以下简称“海正动保”）新增18,000,000股项目公开引进投资方，具体事宜公告如下：</w:t>
      </w:r>
    </w:p>
    <w:p>
      <w:pPr>
        <w:spacing w:line="546" w:lineRule="exact"/>
        <w:ind w:right="105" w:rightChars="50"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一、标的、底价及保证金</w:t>
      </w:r>
    </w:p>
    <w:p>
      <w:pPr>
        <w:spacing w:line="546" w:lineRule="exact"/>
        <w:ind w:right="105" w:rightChars="50"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本次增资标的为浙江海正动物保健品有限公司新增18,000,000股，每股价格不低于</w:t>
      </w:r>
      <w:r>
        <w:rPr>
          <w:rFonts w:hint="eastAsia" w:asciiTheme="minorEastAsia" w:hAnsiTheme="minorEastAsia" w:eastAsiaTheme="minorEastAsia" w:cstheme="minorEastAsia"/>
          <w:kern w:val="0"/>
          <w:sz w:val="28"/>
          <w:szCs w:val="28"/>
        </w:rPr>
        <w:t>2.5</w:t>
      </w:r>
      <w:r>
        <w:rPr>
          <w:rFonts w:hint="eastAsia" w:asciiTheme="minorEastAsia" w:hAnsiTheme="minorEastAsia" w:eastAsiaTheme="minorEastAsia" w:cstheme="minorEastAsia"/>
          <w:sz w:val="28"/>
          <w:szCs w:val="28"/>
        </w:rPr>
        <w:t>元人民币，总投资额不低于</w:t>
      </w:r>
      <w:r>
        <w:rPr>
          <w:rFonts w:hint="eastAsia" w:asciiTheme="minorEastAsia" w:hAnsiTheme="minorEastAsia" w:eastAsiaTheme="minorEastAsia" w:cstheme="minorEastAsia"/>
          <w:kern w:val="0"/>
          <w:sz w:val="28"/>
          <w:szCs w:val="28"/>
        </w:rPr>
        <w:t>45,000,000.00元</w:t>
      </w:r>
      <w:r>
        <w:rPr>
          <w:rFonts w:hint="eastAsia" w:asciiTheme="minorEastAsia" w:hAnsiTheme="minorEastAsia" w:eastAsiaTheme="minorEastAsia" w:cstheme="minorEastAsia"/>
          <w:sz w:val="28"/>
          <w:szCs w:val="28"/>
        </w:rPr>
        <w:t>人民币，报名时交纳</w:t>
      </w:r>
      <w:r>
        <w:rPr>
          <w:rFonts w:hint="eastAsia" w:asciiTheme="minorEastAsia" w:hAnsiTheme="minorEastAsia" w:eastAsiaTheme="minorEastAsia" w:cstheme="minorEastAsia"/>
          <w:bCs/>
          <w:kern w:val="0"/>
          <w:sz w:val="28"/>
          <w:szCs w:val="28"/>
        </w:rPr>
        <w:t>13,500,000.00元人民币</w:t>
      </w:r>
      <w:r>
        <w:rPr>
          <w:rFonts w:hint="eastAsia" w:asciiTheme="minorEastAsia" w:hAnsiTheme="minorEastAsia" w:eastAsiaTheme="minorEastAsia" w:cstheme="minorEastAsia"/>
          <w:sz w:val="28"/>
          <w:szCs w:val="28"/>
        </w:rPr>
        <w:t>竞买保证金。</w:t>
      </w:r>
    </w:p>
    <w:p>
      <w:pPr>
        <w:spacing w:line="546" w:lineRule="exact"/>
        <w:ind w:right="105" w:rightChars="50"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二、增资方式：采取网络竞价方式确定最终投资方及其认购价格</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价高者得</w:t>
      </w:r>
      <w:r>
        <w:rPr>
          <w:rFonts w:hint="eastAsia" w:asciiTheme="minorEastAsia" w:hAnsiTheme="minorEastAsia" w:eastAsiaTheme="minorEastAsia" w:cstheme="minorEastAsia"/>
          <w:sz w:val="28"/>
          <w:szCs w:val="28"/>
        </w:rPr>
        <w:t>。</w:t>
      </w:r>
    </w:p>
    <w:p>
      <w:pPr>
        <w:pStyle w:val="44"/>
        <w:numPr>
          <w:ilvl w:val="255"/>
          <w:numId w:val="0"/>
        </w:numPr>
        <w:spacing w:line="546" w:lineRule="exact"/>
        <w:ind w:left="48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三、付款方式</w:t>
      </w:r>
    </w:p>
    <w:p>
      <w:pPr>
        <w:spacing w:line="546" w:lineRule="exact"/>
        <w:ind w:right="105" w:rightChars="50"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投资方应在签署《浙江海正动物保健品有限公司增资扩股协议》后</w:t>
      </w:r>
      <w:r>
        <w:rPr>
          <w:rFonts w:hint="eastAsia" w:asciiTheme="minorEastAsia" w:hAnsiTheme="minorEastAsia" w:eastAsiaTheme="minorEastAsia" w:cstheme="minorEastAsia"/>
          <w:sz w:val="28"/>
          <w:szCs w:val="28"/>
          <w:lang w:eastAsia="zh-CN"/>
        </w:rPr>
        <w:t>五个工作日</w:t>
      </w:r>
      <w:r>
        <w:rPr>
          <w:rFonts w:hint="eastAsia" w:asciiTheme="minorEastAsia" w:hAnsiTheme="minorEastAsia" w:eastAsiaTheme="minorEastAsia" w:cstheme="minorEastAsia"/>
          <w:sz w:val="28"/>
          <w:szCs w:val="28"/>
        </w:rPr>
        <w:t>内一次性支付全部剩余增资款。</w:t>
      </w:r>
    </w:p>
    <w:p>
      <w:pPr>
        <w:spacing w:line="546" w:lineRule="exact"/>
        <w:ind w:right="105" w:rightChars="50"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四、投资方条件</w:t>
      </w:r>
    </w:p>
    <w:p>
      <w:pPr>
        <w:suppressAutoHyphens/>
        <w:spacing w:line="546" w:lineRule="exact"/>
        <w:ind w:right="105" w:rightChars="50"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（1）投资主体及其关联方不能与公司业务具有同业竞争；</w:t>
      </w:r>
    </w:p>
    <w:p>
      <w:pPr>
        <w:suppressAutoHyphens/>
        <w:spacing w:line="546" w:lineRule="exact"/>
        <w:ind w:right="105" w:rightChars="50"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（2）具有股权投资的能力和经验的机构（非个体），认同海正动保的发展战略和目标，与海正动保具有资源协同性；</w:t>
      </w:r>
    </w:p>
    <w:p>
      <w:pPr>
        <w:suppressAutoHyphens/>
        <w:spacing w:line="546" w:lineRule="exact"/>
        <w:ind w:right="105" w:rightChars="50"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（3）充分理解国有企业发展的特殊性，能严格遵守国有资本监管的相关规定，投资人的股东中国有企业或国有控股企业持股比例合计不低于50%；</w:t>
      </w:r>
    </w:p>
    <w:p>
      <w:pPr>
        <w:suppressAutoHyphens/>
        <w:spacing w:line="546" w:lineRule="exact"/>
        <w:ind w:right="105" w:rightChars="50"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（4）本项目接受联合体参加竞买，联合体中投资方不超过3个独立主体（非自然人），至少有一方为近三年清科或者投中排名前30的专业投资机构；</w:t>
      </w:r>
    </w:p>
    <w:p>
      <w:pPr>
        <w:suppressAutoHyphens/>
        <w:spacing w:line="546" w:lineRule="exact"/>
        <w:ind w:right="105" w:rightChars="50"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（5）具备单项目投资金额达到或超过4500万元人民币的意愿及资金证明。</w:t>
      </w:r>
    </w:p>
    <w:p>
      <w:pPr>
        <w:numPr>
          <w:ilvl w:val="255"/>
          <w:numId w:val="0"/>
        </w:numPr>
        <w:spacing w:line="546"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五、报名须知</w:t>
      </w:r>
    </w:p>
    <w:p>
      <w:pPr>
        <w:spacing w:line="546" w:lineRule="exact"/>
        <w:ind w:right="105" w:rightChars="50"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1、意向投资方认购金额不低于45,000,000.00元人民币。</w:t>
      </w:r>
    </w:p>
    <w:p>
      <w:pPr>
        <w:spacing w:line="546" w:lineRule="exact"/>
        <w:ind w:right="105" w:rightChars="50"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2、浙江海正动物保健品有限公司将实行员工持股计划，员工持股平台同步增资22，000，000股，增资认购价格为本次挂牌成交价。</w:t>
      </w:r>
    </w:p>
    <w:p>
      <w:pPr>
        <w:spacing w:line="546" w:lineRule="exact"/>
        <w:ind w:right="105" w:rightChars="50"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凡报名者企业法人须持营业执照（或者其他注册证明文件）复印件、《增资扩股投资申请书》、法定代表人身份证（委托书、委托人身份证、受托人身份证）、公司章程、相关决议、投资方条件要求的相关材料，上述材料须全部加盖公章。报名时须足额缴付保证金。</w:t>
      </w:r>
    </w:p>
    <w:p>
      <w:pPr>
        <w:spacing w:line="546" w:lineRule="exact"/>
        <w:ind w:right="105" w:rightChars="50"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六、实行网络报名：台州市公共资源交易网（https://tzztb.zjtz.gov.cn/tzcms/），现场资格确认。</w:t>
      </w:r>
    </w:p>
    <w:p>
      <w:pPr>
        <w:widowControl/>
        <w:spacing w:line="546" w:lineRule="exact"/>
        <w:ind w:right="105" w:rightChars="50"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资格确认时间：2021年6月11日至2021年8月6日下午4：00前（上午8：30－11：30，下午14：00－16：00时，节假日除外）。</w:t>
      </w:r>
    </w:p>
    <w:p>
      <w:pPr>
        <w:widowControl/>
        <w:spacing w:line="546" w:lineRule="exact"/>
        <w:ind w:right="105" w:rightChars="50"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资格确认地址：台州市产权交易所有限公司（台州市市府大道777号浙江民泰商业银行五楼511室）。</w:t>
      </w:r>
    </w:p>
    <w:p>
      <w:pPr>
        <w:spacing w:line="546" w:lineRule="exact"/>
        <w:ind w:right="105" w:rightChars="50"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七、网络竞价时间：2021年8月10日（星期二）上午9:30 </w:t>
      </w:r>
    </w:p>
    <w:p>
      <w:pPr>
        <w:spacing w:line="546" w:lineRule="exact"/>
        <w:ind w:right="105" w:rightChars="50"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八、联系人：潘女士     电话（传真）：0576-88685180</w:t>
      </w:r>
    </w:p>
    <w:p>
      <w:pPr>
        <w:spacing w:line="546" w:lineRule="exact"/>
        <w:ind w:right="105" w:rightChars="50"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九、具体情况详见须知及相关说明。</w:t>
      </w:r>
    </w:p>
    <w:p>
      <w:pPr>
        <w:spacing w:line="546" w:lineRule="exact"/>
        <w:ind w:right="105" w:rightChars="50"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详情登陆 www.tzpre.com   </w:t>
      </w:r>
      <w:r>
        <w:fldChar w:fldCharType="begin"/>
      </w:r>
      <w:r>
        <w:instrText xml:space="preserve"> HYPERLINK "https://tzztb.zjtz.gov.cn/tzcms/" </w:instrText>
      </w:r>
      <w:r>
        <w:fldChar w:fldCharType="separate"/>
      </w:r>
      <w:r>
        <w:rPr>
          <w:rStyle w:val="23"/>
          <w:rFonts w:hint="eastAsia" w:asciiTheme="minorEastAsia" w:hAnsiTheme="minorEastAsia" w:eastAsiaTheme="minorEastAsia" w:cstheme="minorEastAsia"/>
          <w:sz w:val="28"/>
          <w:szCs w:val="28"/>
          <w:lang w:eastAsia="zh-CN"/>
        </w:rPr>
        <w:t>https://tzztb.zjtz.gov.cn/tzcms/</w:t>
      </w:r>
      <w:r>
        <w:rPr>
          <w:rStyle w:val="23"/>
          <w:rFonts w:hint="eastAsia" w:asciiTheme="minorEastAsia" w:hAnsiTheme="minorEastAsia" w:eastAsiaTheme="minorEastAsia" w:cstheme="minorEastAsia"/>
          <w:sz w:val="28"/>
          <w:szCs w:val="28"/>
          <w:lang w:eastAsia="zh-CN"/>
        </w:rPr>
        <w:fldChar w:fldCharType="end"/>
      </w:r>
    </w:p>
    <w:p>
      <w:pPr>
        <w:spacing w:line="546" w:lineRule="exact"/>
        <w:ind w:right="105" w:rightChars="50" w:firstLine="560" w:firstLineChars="200"/>
        <w:jc w:val="left"/>
        <w:rPr>
          <w:rFonts w:asciiTheme="minorEastAsia" w:hAnsiTheme="minorEastAsia" w:eastAsiaTheme="minorEastAsia" w:cstheme="minorEastAsia"/>
          <w:sz w:val="28"/>
          <w:szCs w:val="28"/>
        </w:rPr>
      </w:pPr>
    </w:p>
    <w:p>
      <w:pPr>
        <w:spacing w:line="546" w:lineRule="exact"/>
        <w:ind w:right="105" w:rightChars="50" w:firstLine="560" w:firstLineChars="200"/>
        <w:jc w:val="righ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台州市产权交易所有限公司</w:t>
      </w:r>
    </w:p>
    <w:p>
      <w:pPr>
        <w:spacing w:line="546" w:lineRule="exact"/>
        <w:ind w:right="105" w:rightChars="50" w:firstLine="560" w:firstLineChars="200"/>
        <w:jc w:val="righ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2021年6月11日 </w:t>
      </w:r>
    </w:p>
    <w:p>
      <w:pPr>
        <w:spacing w:line="546" w:lineRule="exact"/>
        <w:ind w:right="105" w:rightChars="50" w:firstLine="560" w:firstLineChars="200"/>
        <w:jc w:val="right"/>
        <w:rPr>
          <w:rFonts w:hint="eastAsia" w:asciiTheme="minorEastAsia" w:hAnsiTheme="minorEastAsia" w:eastAsiaTheme="minorEastAsia" w:cstheme="minorEastAsia"/>
          <w:sz w:val="28"/>
          <w:szCs w:val="28"/>
        </w:rPr>
      </w:pPr>
    </w:p>
    <w:p>
      <w:pPr>
        <w:jc w:val="both"/>
        <w:rPr>
          <w:rFonts w:hint="eastAsia"/>
          <w:b/>
          <w:sz w:val="32"/>
          <w:szCs w:val="32"/>
        </w:rPr>
      </w:pPr>
    </w:p>
    <w:p>
      <w:pPr>
        <w:jc w:val="center"/>
        <w:rPr>
          <w:rFonts w:hint="eastAsia" w:ascii="黑体" w:hAnsi="黑体" w:eastAsia="黑体" w:cs="黑体"/>
          <w:b/>
          <w:sz w:val="36"/>
          <w:szCs w:val="36"/>
        </w:rPr>
      </w:pPr>
      <w:r>
        <w:rPr>
          <w:rFonts w:hint="eastAsia" w:ascii="黑体" w:hAnsi="黑体" w:eastAsia="黑体" w:cs="黑体"/>
          <w:b/>
          <w:sz w:val="36"/>
          <w:szCs w:val="36"/>
        </w:rPr>
        <w:t>浙江海正动物保健品有限公司新增18,000,000股项目</w:t>
      </w:r>
    </w:p>
    <w:p>
      <w:pPr>
        <w:jc w:val="center"/>
        <w:rPr>
          <w:rFonts w:hint="eastAsia" w:ascii="黑体" w:hAnsi="黑体" w:eastAsia="黑体" w:cs="黑体"/>
          <w:b/>
          <w:sz w:val="36"/>
          <w:szCs w:val="36"/>
        </w:rPr>
      </w:pPr>
      <w:r>
        <w:rPr>
          <w:rFonts w:hint="eastAsia" w:ascii="黑体" w:hAnsi="黑体" w:eastAsia="黑体" w:cs="黑体"/>
          <w:b/>
          <w:sz w:val="36"/>
          <w:szCs w:val="36"/>
        </w:rPr>
        <w:t>文件</w:t>
      </w:r>
      <w:r>
        <w:rPr>
          <w:rFonts w:hint="eastAsia" w:ascii="黑体" w:hAnsi="黑体" w:eastAsia="黑体" w:cs="黑体"/>
          <w:b/>
          <w:bCs/>
          <w:sz w:val="36"/>
          <w:szCs w:val="36"/>
        </w:rPr>
        <w:t>须知及相关说明</w:t>
      </w:r>
    </w:p>
    <w:p>
      <w:pPr>
        <w:spacing w:line="500" w:lineRule="atLeast"/>
        <w:ind w:firstLine="560" w:firstLineChars="200"/>
        <w:rPr>
          <w:rFonts w:ascii="宋体"/>
          <w:sz w:val="28"/>
          <w:szCs w:val="28"/>
        </w:rPr>
      </w:pPr>
      <w:r>
        <w:rPr>
          <w:rFonts w:hint="eastAsia" w:ascii="宋体" w:hAnsi="宋体"/>
          <w:sz w:val="28"/>
          <w:szCs w:val="28"/>
        </w:rPr>
        <w:t>本公司（即台州市产权交易所有限公司）受浙江海正动物保健品有限公司的委托，</w:t>
      </w:r>
      <w:r>
        <w:rPr>
          <w:rFonts w:hint="eastAsia" w:ascii="宋体"/>
          <w:sz w:val="28"/>
          <w:szCs w:val="28"/>
        </w:rPr>
        <w:t>通过挂牌方式对其新增18,000,000股项目公开引进投资方。</w:t>
      </w:r>
      <w:r>
        <w:rPr>
          <w:rFonts w:hint="eastAsia" w:ascii="宋体" w:hAnsi="宋体"/>
          <w:sz w:val="28"/>
          <w:szCs w:val="28"/>
        </w:rPr>
        <w:t>为切实保障各参与当事人的权利和义务，根据《中华人民共和国民法典》、《中华人民共和国企业国有资产法》和《企业国有资产交易监督管理办法》（</w:t>
      </w:r>
      <w:r>
        <w:rPr>
          <w:rFonts w:ascii="宋体" w:hAnsi="宋体"/>
          <w:sz w:val="28"/>
          <w:szCs w:val="28"/>
        </w:rPr>
        <w:t>3</w:t>
      </w:r>
      <w:r>
        <w:rPr>
          <w:rFonts w:hint="eastAsia" w:ascii="宋体" w:hAnsi="宋体"/>
          <w:sz w:val="28"/>
          <w:szCs w:val="28"/>
        </w:rPr>
        <w:t>2号令），本着公开、公平、公正、诚实信用的原则，特制定须知及特别约定如下：</w:t>
      </w:r>
    </w:p>
    <w:p>
      <w:pPr>
        <w:numPr>
          <w:ilvl w:val="0"/>
          <w:numId w:val="1"/>
        </w:numPr>
        <w:spacing w:line="500" w:lineRule="atLeast"/>
        <w:ind w:left="0" w:firstLine="720"/>
        <w:rPr>
          <w:rFonts w:ascii="宋体"/>
          <w:b/>
          <w:sz w:val="28"/>
          <w:szCs w:val="28"/>
        </w:rPr>
      </w:pPr>
      <w:r>
        <w:rPr>
          <w:rFonts w:hint="eastAsia" w:ascii="宋体" w:hAnsi="宋体"/>
          <w:b/>
          <w:sz w:val="28"/>
          <w:szCs w:val="28"/>
        </w:rPr>
        <w:t>定义和释义</w:t>
      </w:r>
    </w:p>
    <w:p>
      <w:pPr>
        <w:spacing w:line="500" w:lineRule="atLeast"/>
        <w:ind w:firstLine="560" w:firstLineChars="200"/>
        <w:rPr>
          <w:rFonts w:ascii="宋体"/>
          <w:sz w:val="28"/>
          <w:szCs w:val="28"/>
        </w:rPr>
      </w:pPr>
      <w:r>
        <w:rPr>
          <w:rFonts w:hint="eastAsia" w:ascii="宋体" w:hAnsi="宋体"/>
          <w:sz w:val="28"/>
          <w:szCs w:val="28"/>
        </w:rPr>
        <w:t>（一）定义</w:t>
      </w:r>
    </w:p>
    <w:p>
      <w:pPr>
        <w:numPr>
          <w:ilvl w:val="0"/>
          <w:numId w:val="2"/>
        </w:numPr>
        <w:spacing w:line="500" w:lineRule="atLeast"/>
        <w:ind w:left="23" w:leftChars="0" w:firstLine="560" w:firstLineChars="0"/>
        <w:rPr>
          <w:rFonts w:ascii="宋体"/>
          <w:sz w:val="28"/>
          <w:szCs w:val="28"/>
        </w:rPr>
      </w:pPr>
      <w:r>
        <w:rPr>
          <w:rFonts w:hint="eastAsia" w:ascii="宋体" w:hAnsi="宋体"/>
          <w:sz w:val="28"/>
          <w:szCs w:val="28"/>
        </w:rPr>
        <w:t>本项目：浙江海正动物保健品有限公司新增</w:t>
      </w:r>
      <w:r>
        <w:rPr>
          <w:rFonts w:hint="eastAsia" w:ascii="宋体"/>
          <w:sz w:val="28"/>
          <w:szCs w:val="28"/>
        </w:rPr>
        <w:t>18,000,000</w:t>
      </w:r>
      <w:r>
        <w:rPr>
          <w:rFonts w:hint="eastAsia" w:ascii="宋体" w:hAnsi="宋体"/>
          <w:sz w:val="28"/>
          <w:szCs w:val="28"/>
        </w:rPr>
        <w:t>股。</w:t>
      </w:r>
    </w:p>
    <w:p>
      <w:pPr>
        <w:numPr>
          <w:ilvl w:val="0"/>
          <w:numId w:val="2"/>
        </w:numPr>
        <w:spacing w:line="500" w:lineRule="atLeast"/>
        <w:ind w:left="23" w:leftChars="0" w:firstLine="560" w:firstLineChars="0"/>
        <w:rPr>
          <w:rFonts w:ascii="宋体"/>
          <w:sz w:val="28"/>
          <w:szCs w:val="28"/>
        </w:rPr>
      </w:pPr>
      <w:r>
        <w:rPr>
          <w:rFonts w:hint="eastAsia" w:ascii="宋体" w:hAnsi="宋体"/>
          <w:sz w:val="28"/>
          <w:szCs w:val="28"/>
        </w:rPr>
        <w:t>标的公司：浙江海正动物保健品有限公司（以下简称“海正动保”）。</w:t>
      </w:r>
    </w:p>
    <w:p>
      <w:pPr>
        <w:numPr>
          <w:ilvl w:val="0"/>
          <w:numId w:val="2"/>
        </w:numPr>
        <w:spacing w:line="500" w:lineRule="atLeast"/>
        <w:ind w:left="23" w:leftChars="0" w:firstLine="560" w:firstLineChars="0"/>
        <w:rPr>
          <w:rFonts w:ascii="宋体"/>
          <w:sz w:val="28"/>
          <w:szCs w:val="28"/>
        </w:rPr>
      </w:pPr>
      <w:r>
        <w:rPr>
          <w:rFonts w:hint="eastAsia" w:ascii="宋体" w:hAnsi="宋体"/>
          <w:sz w:val="28"/>
          <w:szCs w:val="28"/>
        </w:rPr>
        <w:t>申请方：浙江海正动物保健品有限公司（也称融资方）。</w:t>
      </w:r>
    </w:p>
    <w:p>
      <w:pPr>
        <w:numPr>
          <w:ilvl w:val="0"/>
          <w:numId w:val="2"/>
        </w:numPr>
        <w:spacing w:line="500" w:lineRule="atLeast"/>
        <w:ind w:left="23" w:leftChars="0" w:firstLine="560" w:firstLineChars="0"/>
        <w:rPr>
          <w:rFonts w:ascii="宋体"/>
          <w:sz w:val="28"/>
          <w:szCs w:val="28"/>
        </w:rPr>
      </w:pPr>
      <w:r>
        <w:rPr>
          <w:rFonts w:hint="eastAsia" w:ascii="宋体" w:hAnsi="宋体"/>
          <w:sz w:val="28"/>
          <w:szCs w:val="28"/>
        </w:rPr>
        <w:t>组织人：指台州市产权交易所有限公司（以下简称“台交所”）。</w:t>
      </w:r>
    </w:p>
    <w:p>
      <w:pPr>
        <w:numPr>
          <w:ilvl w:val="0"/>
          <w:numId w:val="2"/>
        </w:numPr>
        <w:spacing w:line="500" w:lineRule="atLeast"/>
        <w:ind w:left="23" w:leftChars="0" w:firstLine="560" w:firstLineChars="0"/>
        <w:rPr>
          <w:rFonts w:ascii="宋体" w:hAnsi="宋体"/>
          <w:sz w:val="28"/>
          <w:szCs w:val="28"/>
        </w:rPr>
      </w:pPr>
      <w:r>
        <w:rPr>
          <w:rFonts w:hint="eastAsia" w:ascii="宋体" w:hAnsi="宋体"/>
          <w:sz w:val="28"/>
          <w:szCs w:val="28"/>
        </w:rPr>
        <w:t>意向投资方：指经资格确认参与本项目并按时交纳足额保证金的意向投资主体；</w:t>
      </w:r>
    </w:p>
    <w:p>
      <w:pPr>
        <w:numPr>
          <w:ilvl w:val="0"/>
          <w:numId w:val="2"/>
        </w:numPr>
        <w:spacing w:line="500" w:lineRule="atLeast"/>
        <w:ind w:left="23" w:leftChars="0" w:firstLine="560" w:firstLineChars="0"/>
        <w:rPr>
          <w:rFonts w:ascii="宋体"/>
          <w:sz w:val="28"/>
          <w:szCs w:val="28"/>
        </w:rPr>
      </w:pPr>
      <w:r>
        <w:rPr>
          <w:rFonts w:hint="eastAsia" w:ascii="宋体" w:hAnsi="宋体"/>
          <w:sz w:val="28"/>
          <w:szCs w:val="28"/>
        </w:rPr>
        <w:t>投资方：</w:t>
      </w:r>
      <w:r>
        <w:rPr>
          <w:rFonts w:hint="eastAsia" w:ascii="宋体" w:hAnsi="宋体"/>
          <w:sz w:val="28"/>
          <w:szCs w:val="28"/>
          <w:lang w:val="en-US" w:eastAsia="zh-CN"/>
        </w:rPr>
        <w:t>指</w:t>
      </w:r>
      <w:r>
        <w:rPr>
          <w:rFonts w:hint="eastAsia" w:ascii="宋体" w:hAnsi="宋体"/>
          <w:sz w:val="28"/>
          <w:szCs w:val="28"/>
        </w:rPr>
        <w:t>本项目最终确定的投资主体。</w:t>
      </w:r>
    </w:p>
    <w:p>
      <w:pPr>
        <w:numPr>
          <w:ilvl w:val="0"/>
          <w:numId w:val="2"/>
        </w:numPr>
        <w:spacing w:line="500" w:lineRule="atLeast"/>
        <w:ind w:left="23" w:leftChars="0" w:firstLine="560" w:firstLineChars="0"/>
        <w:rPr>
          <w:rFonts w:ascii="宋体"/>
          <w:sz w:val="28"/>
          <w:szCs w:val="28"/>
        </w:rPr>
      </w:pPr>
      <w:r>
        <w:rPr>
          <w:rFonts w:hint="eastAsia" w:ascii="宋体" w:hAnsi="宋体"/>
          <w:sz w:val="28"/>
          <w:szCs w:val="28"/>
        </w:rPr>
        <w:t>增资扩股协议：指融资方与投资方就本项目签订的《浙江海正动物保健品有限公司增资扩股协议》。</w:t>
      </w:r>
    </w:p>
    <w:p>
      <w:pPr>
        <w:numPr>
          <w:ilvl w:val="0"/>
          <w:numId w:val="0"/>
        </w:numPr>
        <w:spacing w:line="500" w:lineRule="atLeast"/>
        <w:ind w:firstLine="560" w:firstLineChars="200"/>
        <w:rPr>
          <w:rFonts w:ascii="宋体"/>
          <w:sz w:val="28"/>
          <w:szCs w:val="28"/>
        </w:rPr>
      </w:pPr>
      <w:r>
        <w:rPr>
          <w:rFonts w:hint="eastAsia" w:ascii="宋体" w:hAnsi="宋体"/>
          <w:sz w:val="28"/>
          <w:szCs w:val="28"/>
          <w:lang w:val="en-US" w:eastAsia="zh-CN"/>
        </w:rPr>
        <w:t>8.</w:t>
      </w:r>
      <w:r>
        <w:rPr>
          <w:rFonts w:hint="eastAsia" w:ascii="宋体" w:hAnsi="宋体"/>
          <w:sz w:val="28"/>
          <w:szCs w:val="28"/>
        </w:rPr>
        <w:t>增资文件：指《浙江海正动物保健品有限公司新增</w:t>
      </w:r>
      <w:r>
        <w:rPr>
          <w:rFonts w:hint="eastAsia" w:ascii="宋体"/>
          <w:sz w:val="28"/>
          <w:szCs w:val="28"/>
        </w:rPr>
        <w:t>18,000,000</w:t>
      </w:r>
      <w:r>
        <w:rPr>
          <w:rFonts w:hint="eastAsia" w:ascii="宋体" w:hAnsi="宋体"/>
          <w:sz w:val="28"/>
          <w:szCs w:val="28"/>
        </w:rPr>
        <w:t>股增资文件》。</w:t>
      </w:r>
    </w:p>
    <w:p>
      <w:pPr>
        <w:numPr>
          <w:ilvl w:val="0"/>
          <w:numId w:val="0"/>
        </w:numPr>
        <w:spacing w:line="500" w:lineRule="atLeast"/>
        <w:ind w:left="0" w:leftChars="0" w:firstLine="560" w:firstLineChars="200"/>
        <w:rPr>
          <w:rFonts w:hint="eastAsia" w:ascii="宋体" w:hAnsi="宋体"/>
          <w:sz w:val="28"/>
          <w:szCs w:val="28"/>
        </w:rPr>
      </w:pPr>
      <w:r>
        <w:rPr>
          <w:rFonts w:hint="eastAsia" w:ascii="宋体" w:hAnsi="宋体"/>
          <w:sz w:val="28"/>
          <w:szCs w:val="28"/>
          <w:lang w:val="en-US" w:eastAsia="zh-CN"/>
        </w:rPr>
        <w:t>9.</w:t>
      </w:r>
      <w:r>
        <w:rPr>
          <w:rFonts w:hint="eastAsia" w:ascii="宋体" w:hAnsi="宋体"/>
          <w:sz w:val="28"/>
          <w:szCs w:val="28"/>
        </w:rPr>
        <w:t>报名截止时间：</w:t>
      </w:r>
      <w:r>
        <w:rPr>
          <w:rFonts w:hint="eastAsia" w:ascii="宋体" w:hAnsi="宋体"/>
          <w:sz w:val="28"/>
          <w:szCs w:val="28"/>
          <w:u w:val="none"/>
        </w:rPr>
        <w:t xml:space="preserve"> 2021</w:t>
      </w:r>
      <w:r>
        <w:rPr>
          <w:rFonts w:hint="eastAsia" w:ascii="宋体" w:hAnsi="宋体"/>
          <w:sz w:val="28"/>
          <w:szCs w:val="28"/>
        </w:rPr>
        <w:t>年</w:t>
      </w:r>
      <w:r>
        <w:rPr>
          <w:rFonts w:hint="eastAsia" w:ascii="宋体" w:hAnsi="宋体"/>
          <w:sz w:val="28"/>
          <w:szCs w:val="28"/>
          <w:u w:val="none"/>
        </w:rPr>
        <w:t>8月6日</w:t>
      </w:r>
      <w:r>
        <w:rPr>
          <w:rFonts w:hint="eastAsia" w:ascii="宋体" w:hAnsi="宋体"/>
          <w:sz w:val="28"/>
          <w:szCs w:val="28"/>
        </w:rPr>
        <w:t>下午4时整。</w:t>
      </w:r>
    </w:p>
    <w:p>
      <w:pPr>
        <w:numPr>
          <w:ilvl w:val="0"/>
          <w:numId w:val="0"/>
        </w:numPr>
        <w:spacing w:line="500" w:lineRule="atLeast"/>
        <w:ind w:left="0" w:leftChars="0" w:firstLine="560" w:firstLineChars="200"/>
        <w:rPr>
          <w:rFonts w:ascii="宋体"/>
          <w:sz w:val="28"/>
          <w:szCs w:val="28"/>
        </w:rPr>
      </w:pPr>
      <w:r>
        <w:rPr>
          <w:rFonts w:hint="eastAsia" w:ascii="宋体" w:hAnsi="宋体"/>
          <w:sz w:val="28"/>
          <w:szCs w:val="28"/>
          <w:lang w:val="en-US" w:eastAsia="zh-CN"/>
        </w:rPr>
        <w:t>10.</w:t>
      </w:r>
      <w:r>
        <w:rPr>
          <w:rFonts w:hint="eastAsia" w:ascii="宋体" w:hAnsi="宋体"/>
          <w:sz w:val="28"/>
          <w:szCs w:val="28"/>
        </w:rPr>
        <w:t>保证金到账截止时间：指意向投资方的保证金到达组织人指定账户的截止时间，以银行到账为准。</w:t>
      </w:r>
    </w:p>
    <w:p>
      <w:pPr>
        <w:spacing w:line="500" w:lineRule="atLeast"/>
        <w:ind w:firstLine="560" w:firstLineChars="200"/>
        <w:rPr>
          <w:rFonts w:ascii="宋体"/>
          <w:sz w:val="28"/>
          <w:szCs w:val="28"/>
        </w:rPr>
      </w:pPr>
      <w:r>
        <w:rPr>
          <w:rFonts w:hint="eastAsia" w:ascii="宋体" w:hAnsi="宋体"/>
          <w:sz w:val="28"/>
          <w:szCs w:val="28"/>
        </w:rPr>
        <w:t>（二）释义</w:t>
      </w:r>
    </w:p>
    <w:p>
      <w:pPr>
        <w:numPr>
          <w:ilvl w:val="0"/>
          <w:numId w:val="3"/>
        </w:numPr>
        <w:spacing w:line="500" w:lineRule="atLeast"/>
        <w:ind w:left="0" w:firstLine="560" w:firstLineChars="200"/>
        <w:rPr>
          <w:rFonts w:ascii="宋体"/>
          <w:sz w:val="28"/>
          <w:szCs w:val="28"/>
        </w:rPr>
      </w:pPr>
      <w:r>
        <w:rPr>
          <w:rFonts w:hint="eastAsia" w:ascii="宋体" w:hAnsi="宋体"/>
          <w:sz w:val="28"/>
          <w:szCs w:val="28"/>
        </w:rPr>
        <w:t>除非上下文另有所指，所提及的条款指本增资文件的条款。</w:t>
      </w:r>
    </w:p>
    <w:p>
      <w:pPr>
        <w:numPr>
          <w:ilvl w:val="0"/>
          <w:numId w:val="3"/>
        </w:numPr>
        <w:spacing w:line="500" w:lineRule="atLeast"/>
        <w:ind w:left="0" w:firstLine="560" w:firstLineChars="200"/>
        <w:rPr>
          <w:rFonts w:ascii="宋体"/>
          <w:sz w:val="28"/>
          <w:szCs w:val="28"/>
        </w:rPr>
      </w:pPr>
      <w:r>
        <w:rPr>
          <w:rFonts w:hint="eastAsia" w:ascii="宋体" w:hAnsi="宋体"/>
          <w:sz w:val="28"/>
          <w:szCs w:val="28"/>
        </w:rPr>
        <w:t>本增资文件提及的时间皆为北京时间，货币指人民币。</w:t>
      </w:r>
    </w:p>
    <w:p>
      <w:pPr>
        <w:numPr>
          <w:ilvl w:val="0"/>
          <w:numId w:val="3"/>
        </w:numPr>
        <w:spacing w:line="500" w:lineRule="atLeast"/>
        <w:ind w:left="0" w:firstLine="560" w:firstLineChars="200"/>
        <w:rPr>
          <w:rFonts w:ascii="宋体"/>
          <w:sz w:val="28"/>
          <w:szCs w:val="28"/>
        </w:rPr>
      </w:pPr>
      <w:r>
        <w:rPr>
          <w:rFonts w:hint="eastAsia" w:ascii="宋体" w:hAnsi="宋体"/>
          <w:sz w:val="28"/>
          <w:szCs w:val="28"/>
        </w:rPr>
        <w:t>本增资文件提供中文文本。</w:t>
      </w:r>
    </w:p>
    <w:p>
      <w:pPr>
        <w:numPr>
          <w:ilvl w:val="0"/>
          <w:numId w:val="1"/>
        </w:numPr>
        <w:tabs>
          <w:tab w:val="left" w:pos="640"/>
          <w:tab w:val="clear" w:pos="720"/>
        </w:tabs>
        <w:spacing w:line="500" w:lineRule="atLeast"/>
        <w:ind w:hanging="80"/>
        <w:rPr>
          <w:rFonts w:ascii="宋体"/>
          <w:b/>
          <w:sz w:val="28"/>
          <w:szCs w:val="28"/>
        </w:rPr>
      </w:pPr>
      <w:r>
        <w:rPr>
          <w:rFonts w:hint="eastAsia" w:ascii="宋体" w:hAnsi="宋体"/>
          <w:b/>
          <w:sz w:val="28"/>
          <w:szCs w:val="28"/>
        </w:rPr>
        <w:t>须知</w:t>
      </w:r>
    </w:p>
    <w:p>
      <w:pPr>
        <w:spacing w:before="156" w:beforeLines="50" w:line="360" w:lineRule="auto"/>
        <w:ind w:firstLine="562" w:firstLineChars="200"/>
        <w:rPr>
          <w:rFonts w:ascii="宋体"/>
          <w:b/>
          <w:bCs/>
          <w:sz w:val="28"/>
          <w:szCs w:val="28"/>
        </w:rPr>
      </w:pPr>
      <w:r>
        <w:rPr>
          <w:rFonts w:hint="eastAsia" w:ascii="宋体" w:hAnsi="宋体"/>
          <w:b/>
          <w:bCs/>
          <w:sz w:val="28"/>
          <w:szCs w:val="28"/>
        </w:rPr>
        <w:t>（一）海正动保基本情况</w:t>
      </w:r>
    </w:p>
    <w:p>
      <w:pPr>
        <w:autoSpaceDE w:val="0"/>
        <w:autoSpaceDN w:val="0"/>
        <w:adjustRightInd w:val="0"/>
        <w:spacing w:before="156" w:beforeLines="50" w:line="360" w:lineRule="auto"/>
        <w:ind w:firstLine="560" w:firstLineChars="200"/>
        <w:rPr>
          <w:rFonts w:ascii="宋体" w:hAnsi="宋体"/>
          <w:sz w:val="28"/>
          <w:szCs w:val="28"/>
        </w:rPr>
      </w:pPr>
      <w:r>
        <w:rPr>
          <w:rFonts w:hint="eastAsia" w:ascii="宋体" w:hAnsi="宋体"/>
          <w:sz w:val="28"/>
          <w:szCs w:val="28"/>
        </w:rPr>
        <w:t>浙江海正动物保健品有限公司（下称“海正动保”）是一家专注于兽用药的专业化公司组建于20</w:t>
      </w:r>
      <w:r>
        <w:rPr>
          <w:rFonts w:ascii="宋体" w:hAnsi="宋体"/>
          <w:sz w:val="28"/>
          <w:szCs w:val="28"/>
        </w:rPr>
        <w:t>0</w:t>
      </w:r>
      <w:r>
        <w:rPr>
          <w:rFonts w:hint="eastAsia" w:ascii="宋体" w:hAnsi="宋体"/>
          <w:sz w:val="28"/>
          <w:szCs w:val="28"/>
        </w:rPr>
        <w:t>9年</w:t>
      </w:r>
      <w:r>
        <w:rPr>
          <w:rFonts w:ascii="宋体" w:hAnsi="宋体"/>
          <w:sz w:val="28"/>
          <w:szCs w:val="28"/>
        </w:rPr>
        <w:t>8</w:t>
      </w:r>
      <w:r>
        <w:rPr>
          <w:rFonts w:hint="eastAsia" w:ascii="宋体" w:hAnsi="宋体"/>
          <w:sz w:val="28"/>
          <w:szCs w:val="28"/>
        </w:rPr>
        <w:t>月2</w:t>
      </w:r>
      <w:r>
        <w:rPr>
          <w:rFonts w:ascii="宋体" w:hAnsi="宋体"/>
          <w:sz w:val="28"/>
          <w:szCs w:val="28"/>
        </w:rPr>
        <w:t>4</w:t>
      </w:r>
      <w:r>
        <w:rPr>
          <w:rFonts w:hint="eastAsia" w:ascii="宋体" w:hAnsi="宋体"/>
          <w:sz w:val="28"/>
          <w:szCs w:val="28"/>
        </w:rPr>
        <w:t>日，注册资本</w:t>
      </w:r>
      <w:r>
        <w:rPr>
          <w:rFonts w:ascii="宋体" w:hAnsi="宋体"/>
          <w:sz w:val="28"/>
          <w:szCs w:val="28"/>
        </w:rPr>
        <w:t>31000</w:t>
      </w:r>
      <w:r>
        <w:rPr>
          <w:rFonts w:hint="eastAsia" w:ascii="宋体" w:hAnsi="宋体"/>
          <w:sz w:val="28"/>
          <w:szCs w:val="28"/>
        </w:rPr>
        <w:t>万元，统一社会信用代码为</w:t>
      </w:r>
      <w:r>
        <w:rPr>
          <w:rFonts w:ascii="宋体" w:hAnsi="宋体"/>
          <w:sz w:val="28"/>
          <w:szCs w:val="28"/>
        </w:rPr>
        <w:t>913301836945599246</w:t>
      </w:r>
      <w:r>
        <w:rPr>
          <w:rFonts w:hint="eastAsia" w:ascii="宋体" w:hAnsi="宋体"/>
          <w:sz w:val="28"/>
          <w:szCs w:val="28"/>
        </w:rPr>
        <w:t>，法定代表人陈晓华。海正动保现有股权结构如下：</w:t>
      </w:r>
    </w:p>
    <w:tbl>
      <w:tblPr>
        <w:tblStyle w:val="18"/>
        <w:tblW w:w="9214" w:type="dxa"/>
        <w:tblInd w:w="0" w:type="dxa"/>
        <w:tblLayout w:type="fixed"/>
        <w:tblCellMar>
          <w:top w:w="15" w:type="dxa"/>
          <w:left w:w="15" w:type="dxa"/>
          <w:bottom w:w="15" w:type="dxa"/>
          <w:right w:w="15" w:type="dxa"/>
        </w:tblCellMar>
      </w:tblPr>
      <w:tblGrid>
        <w:gridCol w:w="3338"/>
        <w:gridCol w:w="2241"/>
        <w:gridCol w:w="3635"/>
      </w:tblGrid>
      <w:tr>
        <w:tblPrEx>
          <w:tblCellMar>
            <w:top w:w="15" w:type="dxa"/>
            <w:left w:w="15" w:type="dxa"/>
            <w:bottom w:w="15" w:type="dxa"/>
            <w:right w:w="15" w:type="dxa"/>
          </w:tblCellMar>
        </w:tblPrEx>
        <w:trPr>
          <w:trHeight w:val="334" w:hRule="atLeast"/>
          <w:tblHeader/>
        </w:trPr>
        <w:tc>
          <w:tcPr>
            <w:tcW w:w="3338" w:type="dxa"/>
            <w:tcBorders>
              <w:top w:val="single" w:color="000000" w:sz="4" w:space="0"/>
              <w:left w:val="single" w:color="000000" w:sz="4" w:space="0"/>
              <w:bottom w:val="single" w:color="000000" w:sz="4" w:space="0"/>
              <w:right w:val="single" w:color="000000" w:sz="4" w:space="0"/>
            </w:tcBorders>
            <w:vAlign w:val="center"/>
          </w:tcPr>
          <w:p>
            <w:pPr>
              <w:spacing w:line="480" w:lineRule="atLeast"/>
              <w:ind w:right="105" w:rightChars="50"/>
              <w:jc w:val="center"/>
              <w:rPr>
                <w:rFonts w:ascii="宋体" w:hAnsi="宋体"/>
                <w:b/>
                <w:sz w:val="24"/>
                <w:szCs w:val="24"/>
              </w:rPr>
            </w:pPr>
            <w:r>
              <w:rPr>
                <w:rFonts w:hint="eastAsia" w:ascii="宋体" w:hAnsi="宋体"/>
                <w:b/>
                <w:sz w:val="24"/>
                <w:szCs w:val="24"/>
              </w:rPr>
              <w:t>股东名称</w:t>
            </w:r>
          </w:p>
        </w:tc>
        <w:tc>
          <w:tcPr>
            <w:tcW w:w="2241" w:type="dxa"/>
            <w:tcBorders>
              <w:top w:val="single" w:color="000000" w:sz="4" w:space="0"/>
              <w:left w:val="single" w:color="000000" w:sz="4" w:space="0"/>
              <w:bottom w:val="single" w:color="000000" w:sz="4" w:space="0"/>
              <w:right w:val="single" w:color="000000" w:sz="4" w:space="0"/>
            </w:tcBorders>
            <w:vAlign w:val="center"/>
          </w:tcPr>
          <w:p>
            <w:pPr>
              <w:spacing w:line="480" w:lineRule="atLeast"/>
              <w:ind w:right="105" w:rightChars="50"/>
              <w:jc w:val="center"/>
              <w:rPr>
                <w:rFonts w:ascii="宋体" w:hAnsi="宋体"/>
                <w:b/>
                <w:sz w:val="24"/>
                <w:szCs w:val="24"/>
              </w:rPr>
            </w:pPr>
            <w:r>
              <w:rPr>
                <w:rFonts w:hint="eastAsia" w:ascii="宋体" w:hAnsi="宋体"/>
                <w:b/>
                <w:sz w:val="24"/>
                <w:szCs w:val="24"/>
              </w:rPr>
              <w:t>认缴出资金额</w:t>
            </w:r>
          </w:p>
          <w:p>
            <w:pPr>
              <w:spacing w:line="480" w:lineRule="atLeast"/>
              <w:ind w:right="105" w:rightChars="50"/>
              <w:jc w:val="center"/>
              <w:rPr>
                <w:rFonts w:ascii="宋体" w:hAnsi="宋体"/>
                <w:b/>
                <w:sz w:val="24"/>
                <w:szCs w:val="24"/>
              </w:rPr>
            </w:pPr>
            <w:r>
              <w:rPr>
                <w:rFonts w:hint="eastAsia" w:ascii="宋体" w:hAnsi="宋体"/>
                <w:b/>
                <w:sz w:val="24"/>
                <w:szCs w:val="24"/>
              </w:rPr>
              <w:t>(万元)</w:t>
            </w:r>
          </w:p>
        </w:tc>
        <w:tc>
          <w:tcPr>
            <w:tcW w:w="3635" w:type="dxa"/>
            <w:tcBorders>
              <w:top w:val="single" w:color="000000" w:sz="4" w:space="0"/>
              <w:left w:val="single" w:color="000000" w:sz="4" w:space="0"/>
              <w:bottom w:val="single" w:color="000000" w:sz="4" w:space="0"/>
              <w:right w:val="single" w:color="000000" w:sz="4" w:space="0"/>
            </w:tcBorders>
            <w:vAlign w:val="center"/>
          </w:tcPr>
          <w:p>
            <w:pPr>
              <w:spacing w:line="480" w:lineRule="atLeast"/>
              <w:ind w:right="105" w:rightChars="50"/>
              <w:jc w:val="center"/>
              <w:rPr>
                <w:rFonts w:ascii="宋体" w:hAnsi="宋体"/>
                <w:b/>
                <w:sz w:val="24"/>
                <w:szCs w:val="24"/>
              </w:rPr>
            </w:pPr>
            <w:r>
              <w:rPr>
                <w:rFonts w:hint="eastAsia" w:ascii="宋体" w:hAnsi="宋体"/>
                <w:b/>
                <w:sz w:val="24"/>
                <w:szCs w:val="24"/>
              </w:rPr>
              <w:t>认缴出资占注册资本比例</w:t>
            </w:r>
          </w:p>
          <w:p>
            <w:pPr>
              <w:spacing w:line="480" w:lineRule="atLeast"/>
              <w:ind w:right="105" w:rightChars="50"/>
              <w:jc w:val="center"/>
              <w:rPr>
                <w:rFonts w:ascii="宋体" w:hAnsi="宋体"/>
                <w:b/>
                <w:sz w:val="24"/>
                <w:szCs w:val="24"/>
              </w:rPr>
            </w:pPr>
            <w:r>
              <w:rPr>
                <w:rFonts w:hint="eastAsia" w:ascii="宋体" w:hAnsi="宋体"/>
                <w:b/>
                <w:sz w:val="24"/>
                <w:szCs w:val="24"/>
              </w:rPr>
              <w:t>（</w:t>
            </w:r>
            <w:r>
              <w:rPr>
                <w:rFonts w:ascii="宋体" w:hAnsi="宋体"/>
                <w:b/>
                <w:sz w:val="24"/>
                <w:szCs w:val="24"/>
              </w:rPr>
              <w:t>%</w:t>
            </w:r>
            <w:r>
              <w:rPr>
                <w:rFonts w:hint="eastAsia" w:ascii="宋体" w:hAnsi="宋体"/>
                <w:b/>
                <w:sz w:val="24"/>
                <w:szCs w:val="24"/>
              </w:rPr>
              <w:t>）</w:t>
            </w:r>
          </w:p>
        </w:tc>
      </w:tr>
      <w:tr>
        <w:tblPrEx>
          <w:tblCellMar>
            <w:top w:w="15" w:type="dxa"/>
            <w:left w:w="15" w:type="dxa"/>
            <w:bottom w:w="15" w:type="dxa"/>
            <w:right w:w="15" w:type="dxa"/>
          </w:tblCellMar>
        </w:tblPrEx>
        <w:trPr>
          <w:trHeight w:val="334" w:hRule="atLeast"/>
        </w:trPr>
        <w:tc>
          <w:tcPr>
            <w:tcW w:w="3338" w:type="dxa"/>
            <w:tcBorders>
              <w:top w:val="single" w:color="000000" w:sz="4" w:space="0"/>
              <w:left w:val="single" w:color="000000" w:sz="4" w:space="0"/>
              <w:bottom w:val="single" w:color="000000" w:sz="4" w:space="0"/>
              <w:right w:val="single" w:color="000000" w:sz="4" w:space="0"/>
            </w:tcBorders>
            <w:vAlign w:val="center"/>
          </w:tcPr>
          <w:p>
            <w:pPr>
              <w:spacing w:line="480" w:lineRule="atLeast"/>
              <w:ind w:right="105" w:rightChars="50"/>
              <w:jc w:val="center"/>
              <w:rPr>
                <w:rFonts w:ascii="宋体" w:hAnsi="宋体"/>
                <w:sz w:val="24"/>
                <w:szCs w:val="24"/>
              </w:rPr>
            </w:pPr>
            <w:r>
              <w:rPr>
                <w:rFonts w:hint="eastAsia" w:ascii="宋体" w:hAnsi="宋体"/>
                <w:sz w:val="24"/>
                <w:szCs w:val="24"/>
              </w:rPr>
              <w:t>浙江海正药业股份有限公司</w:t>
            </w:r>
          </w:p>
        </w:tc>
        <w:tc>
          <w:tcPr>
            <w:tcW w:w="2241" w:type="dxa"/>
            <w:tcBorders>
              <w:top w:val="single" w:color="000000" w:sz="4" w:space="0"/>
              <w:left w:val="single" w:color="000000" w:sz="4" w:space="0"/>
              <w:bottom w:val="single" w:color="000000" w:sz="4" w:space="0"/>
              <w:right w:val="single" w:color="000000" w:sz="4" w:space="0"/>
            </w:tcBorders>
            <w:vAlign w:val="center"/>
          </w:tcPr>
          <w:p>
            <w:pPr>
              <w:spacing w:line="480" w:lineRule="atLeast"/>
              <w:ind w:right="105" w:rightChars="50"/>
              <w:jc w:val="center"/>
              <w:rPr>
                <w:rFonts w:ascii="宋体" w:hAnsi="宋体"/>
                <w:sz w:val="24"/>
                <w:szCs w:val="24"/>
              </w:rPr>
            </w:pPr>
            <w:r>
              <w:rPr>
                <w:rFonts w:ascii="宋体" w:hAnsi="宋体"/>
                <w:sz w:val="24"/>
                <w:szCs w:val="24"/>
              </w:rPr>
              <w:t>31</w:t>
            </w:r>
            <w:r>
              <w:rPr>
                <w:rFonts w:hint="eastAsia" w:ascii="宋体" w:hAnsi="宋体"/>
                <w:sz w:val="24"/>
                <w:szCs w:val="24"/>
              </w:rPr>
              <w:t>,</w:t>
            </w:r>
            <w:r>
              <w:rPr>
                <w:rFonts w:ascii="宋体" w:hAnsi="宋体"/>
                <w:sz w:val="24"/>
                <w:szCs w:val="24"/>
              </w:rPr>
              <w:t>000</w:t>
            </w:r>
            <w:r>
              <w:rPr>
                <w:rFonts w:hint="eastAsia" w:ascii="宋体" w:hAnsi="宋体"/>
                <w:sz w:val="24"/>
                <w:szCs w:val="24"/>
              </w:rPr>
              <w:t>.</w:t>
            </w:r>
            <w:r>
              <w:rPr>
                <w:rFonts w:ascii="宋体" w:hAnsi="宋体"/>
                <w:sz w:val="24"/>
                <w:szCs w:val="24"/>
              </w:rPr>
              <w:t>0</w:t>
            </w:r>
            <w:r>
              <w:rPr>
                <w:rFonts w:hint="eastAsia" w:ascii="宋体" w:hAnsi="宋体"/>
                <w:sz w:val="24"/>
                <w:szCs w:val="24"/>
              </w:rPr>
              <w:t>0</w:t>
            </w:r>
          </w:p>
        </w:tc>
        <w:tc>
          <w:tcPr>
            <w:tcW w:w="3635" w:type="dxa"/>
            <w:tcBorders>
              <w:top w:val="single" w:color="000000" w:sz="4" w:space="0"/>
              <w:left w:val="single" w:color="000000" w:sz="4" w:space="0"/>
              <w:bottom w:val="single" w:color="000000" w:sz="4" w:space="0"/>
              <w:right w:val="single" w:color="000000" w:sz="4" w:space="0"/>
            </w:tcBorders>
            <w:vAlign w:val="center"/>
          </w:tcPr>
          <w:p>
            <w:pPr>
              <w:spacing w:line="480" w:lineRule="atLeast"/>
              <w:ind w:right="105" w:rightChars="50"/>
              <w:jc w:val="center"/>
              <w:rPr>
                <w:rFonts w:ascii="宋体" w:hAnsi="宋体"/>
                <w:sz w:val="24"/>
                <w:szCs w:val="24"/>
              </w:rPr>
            </w:pPr>
            <w:r>
              <w:rPr>
                <w:rFonts w:ascii="宋体" w:hAnsi="宋体"/>
                <w:sz w:val="24"/>
                <w:szCs w:val="24"/>
              </w:rPr>
              <w:t>100</w:t>
            </w:r>
            <w:r>
              <w:rPr>
                <w:rFonts w:hint="eastAsia" w:ascii="宋体" w:hAnsi="宋体"/>
                <w:sz w:val="24"/>
                <w:szCs w:val="24"/>
              </w:rPr>
              <w:t>.</w:t>
            </w:r>
            <w:r>
              <w:rPr>
                <w:rFonts w:ascii="宋体" w:hAnsi="宋体"/>
                <w:sz w:val="24"/>
                <w:szCs w:val="24"/>
              </w:rPr>
              <w:t>00</w:t>
            </w:r>
          </w:p>
        </w:tc>
      </w:tr>
      <w:tr>
        <w:tblPrEx>
          <w:tblCellMar>
            <w:top w:w="15" w:type="dxa"/>
            <w:left w:w="15" w:type="dxa"/>
            <w:bottom w:w="15" w:type="dxa"/>
            <w:right w:w="15" w:type="dxa"/>
          </w:tblCellMar>
        </w:tblPrEx>
        <w:trPr>
          <w:trHeight w:val="334" w:hRule="atLeast"/>
        </w:trPr>
        <w:tc>
          <w:tcPr>
            <w:tcW w:w="3338" w:type="dxa"/>
            <w:tcBorders>
              <w:top w:val="single" w:color="000000" w:sz="4" w:space="0"/>
              <w:left w:val="single" w:color="000000" w:sz="4" w:space="0"/>
              <w:bottom w:val="single" w:color="000000" w:sz="4" w:space="0"/>
              <w:right w:val="single" w:color="000000" w:sz="4" w:space="0"/>
            </w:tcBorders>
            <w:vAlign w:val="center"/>
          </w:tcPr>
          <w:p>
            <w:pPr>
              <w:spacing w:line="480" w:lineRule="atLeast"/>
              <w:ind w:right="105" w:rightChars="50"/>
              <w:jc w:val="center"/>
              <w:rPr>
                <w:rFonts w:ascii="宋体" w:hAnsi="宋体"/>
                <w:sz w:val="24"/>
                <w:szCs w:val="24"/>
              </w:rPr>
            </w:pPr>
            <w:r>
              <w:rPr>
                <w:rFonts w:hint="eastAsia" w:ascii="宋体" w:hAnsi="宋体"/>
                <w:sz w:val="24"/>
                <w:szCs w:val="24"/>
              </w:rPr>
              <w:t>合计</w:t>
            </w:r>
          </w:p>
        </w:tc>
        <w:tc>
          <w:tcPr>
            <w:tcW w:w="2241" w:type="dxa"/>
            <w:tcBorders>
              <w:top w:val="single" w:color="000000" w:sz="4" w:space="0"/>
              <w:left w:val="single" w:color="000000" w:sz="4" w:space="0"/>
              <w:bottom w:val="single" w:color="000000" w:sz="4" w:space="0"/>
              <w:right w:val="single" w:color="000000" w:sz="4" w:space="0"/>
            </w:tcBorders>
            <w:vAlign w:val="center"/>
          </w:tcPr>
          <w:p>
            <w:pPr>
              <w:spacing w:line="480" w:lineRule="atLeast"/>
              <w:ind w:right="105" w:rightChars="50"/>
              <w:jc w:val="center"/>
              <w:rPr>
                <w:rFonts w:ascii="宋体" w:hAnsi="宋体"/>
                <w:sz w:val="24"/>
                <w:szCs w:val="24"/>
              </w:rPr>
            </w:pPr>
            <w:r>
              <w:rPr>
                <w:rFonts w:ascii="宋体" w:hAnsi="宋体"/>
                <w:sz w:val="24"/>
                <w:szCs w:val="24"/>
              </w:rPr>
              <w:t>31</w:t>
            </w:r>
            <w:r>
              <w:rPr>
                <w:rFonts w:hint="eastAsia" w:ascii="宋体" w:hAnsi="宋体"/>
                <w:sz w:val="24"/>
                <w:szCs w:val="24"/>
              </w:rPr>
              <w:t>,</w:t>
            </w:r>
            <w:r>
              <w:rPr>
                <w:rFonts w:ascii="宋体" w:hAnsi="宋体"/>
                <w:sz w:val="24"/>
                <w:szCs w:val="24"/>
              </w:rPr>
              <w:t>0</w:t>
            </w:r>
            <w:r>
              <w:rPr>
                <w:rFonts w:hint="eastAsia" w:ascii="宋体" w:hAnsi="宋体"/>
                <w:sz w:val="24"/>
                <w:szCs w:val="24"/>
              </w:rPr>
              <w:t>00.00</w:t>
            </w:r>
          </w:p>
        </w:tc>
        <w:tc>
          <w:tcPr>
            <w:tcW w:w="3635" w:type="dxa"/>
            <w:tcBorders>
              <w:top w:val="single" w:color="000000" w:sz="4" w:space="0"/>
              <w:left w:val="single" w:color="000000" w:sz="4" w:space="0"/>
              <w:bottom w:val="single" w:color="000000" w:sz="4" w:space="0"/>
              <w:right w:val="single" w:color="000000" w:sz="4" w:space="0"/>
            </w:tcBorders>
            <w:vAlign w:val="center"/>
          </w:tcPr>
          <w:p>
            <w:pPr>
              <w:spacing w:line="480" w:lineRule="atLeast"/>
              <w:ind w:right="105" w:rightChars="50"/>
              <w:jc w:val="center"/>
              <w:rPr>
                <w:rFonts w:ascii="宋体" w:hAnsi="宋体"/>
                <w:sz w:val="24"/>
                <w:szCs w:val="24"/>
              </w:rPr>
            </w:pPr>
            <w:r>
              <w:rPr>
                <w:rFonts w:hint="eastAsia" w:ascii="宋体" w:hAnsi="宋体"/>
                <w:sz w:val="24"/>
                <w:szCs w:val="24"/>
              </w:rPr>
              <w:t>100.00</w:t>
            </w:r>
          </w:p>
        </w:tc>
      </w:tr>
    </w:tbl>
    <w:p>
      <w:pPr>
        <w:spacing w:line="600" w:lineRule="auto"/>
        <w:ind w:right="105" w:rightChars="50"/>
        <w:jc w:val="left"/>
        <w:rPr>
          <w:rFonts w:ascii="宋体" w:hAnsi="宋体"/>
          <w:sz w:val="28"/>
          <w:szCs w:val="28"/>
        </w:rPr>
      </w:pPr>
      <w:r>
        <w:rPr>
          <w:rFonts w:hint="eastAsia" w:ascii="宋体" w:hAnsi="宋体"/>
          <w:sz w:val="24"/>
        </w:rPr>
        <w:t xml:space="preserve">    </w:t>
      </w:r>
      <w:r>
        <w:rPr>
          <w:rFonts w:hint="eastAsia" w:ascii="宋体" w:hAnsi="宋体"/>
          <w:sz w:val="28"/>
          <w:szCs w:val="28"/>
        </w:rPr>
        <w:t>海正动保公司主要财务数据</w:t>
      </w:r>
    </w:p>
    <w:tbl>
      <w:tblPr>
        <w:tblStyle w:val="18"/>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0"/>
        <w:gridCol w:w="1651"/>
        <w:gridCol w:w="1737"/>
        <w:gridCol w:w="1615"/>
        <w:gridCol w:w="1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7" w:hRule="exact"/>
          <w:jc w:val="center"/>
        </w:trPr>
        <w:tc>
          <w:tcPr>
            <w:tcW w:w="2660" w:type="dxa"/>
            <w:vAlign w:val="center"/>
          </w:tcPr>
          <w:p>
            <w:pPr>
              <w:jc w:val="center"/>
              <w:rPr>
                <w:b/>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主要财务指标（单位：人民币元）</w:t>
            </w:r>
          </w:p>
        </w:tc>
        <w:tc>
          <w:tcPr>
            <w:tcW w:w="6740" w:type="dxa"/>
            <w:gridSpan w:val="4"/>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以下数据出自企业20</w:t>
            </w:r>
            <w:r>
              <w:rPr>
                <w:rFonts w:hint="default"/>
                <w:color w:val="000000" w:themeColor="text1"/>
                <w:sz w:val="24"/>
                <w:szCs w:val="24"/>
                <w:lang w:val="en-US"/>
                <w14:textFill>
                  <w14:solidFill>
                    <w14:schemeClr w14:val="tx1"/>
                  </w14:solidFill>
                </w14:textFill>
              </w:rPr>
              <w:t>18</w:t>
            </w:r>
            <w:r>
              <w:rPr>
                <w:rFonts w:hint="eastAsia"/>
                <w:color w:val="000000" w:themeColor="text1"/>
                <w:sz w:val="24"/>
                <w:szCs w:val="24"/>
                <w14:textFill>
                  <w14:solidFill>
                    <w14:schemeClr w14:val="tx1"/>
                  </w14:solidFill>
                </w14:textFill>
              </w:rPr>
              <w:t>年1-12月审计报告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2660" w:type="dxa"/>
            <w:vMerge w:val="restart"/>
            <w:vAlign w:val="center"/>
          </w:tcPr>
          <w:p>
            <w:pPr>
              <w:jc w:val="center"/>
              <w:rPr>
                <w:b/>
                <w:color w:val="000000" w:themeColor="text1"/>
                <w:sz w:val="24"/>
                <w:szCs w:val="24"/>
                <w14:textFill>
                  <w14:solidFill>
                    <w14:schemeClr w14:val="tx1"/>
                  </w14:solidFill>
                </w14:textFill>
              </w:rPr>
            </w:pPr>
          </w:p>
        </w:tc>
        <w:tc>
          <w:tcPr>
            <w:tcW w:w="1651" w:type="dxa"/>
            <w:vAlign w:val="center"/>
          </w:tcPr>
          <w:p>
            <w:pPr>
              <w:jc w:val="center"/>
              <w:rPr>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年度日期</w:t>
            </w:r>
          </w:p>
        </w:tc>
        <w:tc>
          <w:tcPr>
            <w:tcW w:w="1737" w:type="dxa"/>
            <w:vAlign w:val="center"/>
          </w:tcPr>
          <w:p>
            <w:pPr>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资产总计</w:t>
            </w:r>
          </w:p>
        </w:tc>
        <w:tc>
          <w:tcPr>
            <w:tcW w:w="1615" w:type="dxa"/>
            <w:vAlign w:val="center"/>
          </w:tcPr>
          <w:p>
            <w:pPr>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负债总计</w:t>
            </w:r>
          </w:p>
        </w:tc>
        <w:tc>
          <w:tcPr>
            <w:tcW w:w="1737" w:type="dxa"/>
            <w:vAlign w:val="center"/>
          </w:tcPr>
          <w:p>
            <w:pPr>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2660" w:type="dxa"/>
            <w:vMerge w:val="continue"/>
            <w:vAlign w:val="center"/>
          </w:tcPr>
          <w:p>
            <w:pPr>
              <w:jc w:val="center"/>
              <w:rPr>
                <w:color w:val="000000" w:themeColor="text1"/>
                <w:sz w:val="24"/>
                <w:szCs w:val="24"/>
                <w14:textFill>
                  <w14:solidFill>
                    <w14:schemeClr w14:val="tx1"/>
                  </w14:solidFill>
                </w14:textFill>
              </w:rPr>
            </w:pPr>
          </w:p>
        </w:tc>
        <w:tc>
          <w:tcPr>
            <w:tcW w:w="1651" w:type="dxa"/>
            <w:vMerge w:val="restart"/>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20</w:t>
            </w:r>
            <w:r>
              <w:rPr>
                <w:rFonts w:hint="default"/>
                <w:color w:val="000000" w:themeColor="text1"/>
                <w:sz w:val="24"/>
                <w:szCs w:val="24"/>
                <w:lang w:val="en-US"/>
                <w14:textFill>
                  <w14:solidFill>
                    <w14:schemeClr w14:val="tx1"/>
                  </w14:solidFill>
                </w14:textFill>
              </w:rPr>
              <w:t>18</w:t>
            </w:r>
            <w:r>
              <w:rPr>
                <w:rFonts w:hint="eastAsia"/>
                <w:color w:val="000000" w:themeColor="text1"/>
                <w:sz w:val="24"/>
                <w:szCs w:val="24"/>
                <w14:textFill>
                  <w14:solidFill>
                    <w14:schemeClr w14:val="tx1"/>
                  </w14:solidFill>
                </w14:textFill>
              </w:rPr>
              <w:t>年12月31日</w:t>
            </w:r>
          </w:p>
        </w:tc>
        <w:tc>
          <w:tcPr>
            <w:tcW w:w="1737" w:type="dxa"/>
            <w:vAlign w:val="center"/>
          </w:tcPr>
          <w:p>
            <w:pPr>
              <w:jc w:val="center"/>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418110447.10</w:t>
            </w:r>
          </w:p>
        </w:tc>
        <w:tc>
          <w:tcPr>
            <w:tcW w:w="1615" w:type="dxa"/>
            <w:vAlign w:val="center"/>
          </w:tcPr>
          <w:p>
            <w:pPr>
              <w:jc w:val="center"/>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283803933.18</w:t>
            </w:r>
          </w:p>
        </w:tc>
        <w:tc>
          <w:tcPr>
            <w:tcW w:w="1737" w:type="dxa"/>
            <w:vAlign w:val="center"/>
          </w:tcPr>
          <w:p>
            <w:pPr>
              <w:jc w:val="center"/>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134306513.92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2660" w:type="dxa"/>
            <w:vMerge w:val="continue"/>
            <w:vAlign w:val="center"/>
          </w:tcPr>
          <w:p>
            <w:pPr>
              <w:jc w:val="center"/>
              <w:rPr>
                <w:color w:val="000000" w:themeColor="text1"/>
                <w:sz w:val="24"/>
                <w:szCs w:val="24"/>
                <w14:textFill>
                  <w14:solidFill>
                    <w14:schemeClr w14:val="tx1"/>
                  </w14:solidFill>
                </w14:textFill>
              </w:rPr>
            </w:pPr>
          </w:p>
        </w:tc>
        <w:tc>
          <w:tcPr>
            <w:tcW w:w="1651" w:type="dxa"/>
            <w:vMerge w:val="continue"/>
            <w:vAlign w:val="center"/>
          </w:tcPr>
          <w:p>
            <w:pPr>
              <w:jc w:val="center"/>
              <w:rPr>
                <w:color w:val="000000" w:themeColor="text1"/>
                <w:sz w:val="24"/>
                <w:szCs w:val="24"/>
                <w14:textFill>
                  <w14:solidFill>
                    <w14:schemeClr w14:val="tx1"/>
                  </w14:solidFill>
                </w14:textFill>
              </w:rPr>
            </w:pPr>
          </w:p>
        </w:tc>
        <w:tc>
          <w:tcPr>
            <w:tcW w:w="1737" w:type="dxa"/>
            <w:vAlign w:val="center"/>
          </w:tcPr>
          <w:p>
            <w:pPr>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营业收入</w:t>
            </w:r>
          </w:p>
        </w:tc>
        <w:tc>
          <w:tcPr>
            <w:tcW w:w="1615" w:type="dxa"/>
            <w:vAlign w:val="center"/>
          </w:tcPr>
          <w:p>
            <w:pPr>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利润总额</w:t>
            </w:r>
          </w:p>
        </w:tc>
        <w:tc>
          <w:tcPr>
            <w:tcW w:w="1737" w:type="dxa"/>
            <w:vAlign w:val="center"/>
          </w:tcPr>
          <w:p>
            <w:pPr>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2660" w:type="dxa"/>
            <w:vMerge w:val="continue"/>
            <w:vAlign w:val="center"/>
          </w:tcPr>
          <w:p>
            <w:pPr>
              <w:jc w:val="center"/>
              <w:rPr>
                <w:color w:val="000000" w:themeColor="text1"/>
                <w:sz w:val="24"/>
                <w:szCs w:val="24"/>
                <w14:textFill>
                  <w14:solidFill>
                    <w14:schemeClr w14:val="tx1"/>
                  </w14:solidFill>
                </w14:textFill>
              </w:rPr>
            </w:pPr>
          </w:p>
        </w:tc>
        <w:tc>
          <w:tcPr>
            <w:tcW w:w="1651" w:type="dxa"/>
            <w:vMerge w:val="continue"/>
            <w:vAlign w:val="center"/>
          </w:tcPr>
          <w:p>
            <w:pPr>
              <w:jc w:val="center"/>
              <w:rPr>
                <w:color w:val="000000" w:themeColor="text1"/>
                <w:sz w:val="24"/>
                <w:szCs w:val="24"/>
                <w14:textFill>
                  <w14:solidFill>
                    <w14:schemeClr w14:val="tx1"/>
                  </w14:solidFill>
                </w14:textFill>
              </w:rPr>
            </w:pPr>
          </w:p>
        </w:tc>
        <w:tc>
          <w:tcPr>
            <w:tcW w:w="1737" w:type="dxa"/>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116667609.06</w:t>
            </w:r>
          </w:p>
        </w:tc>
        <w:tc>
          <w:tcPr>
            <w:tcW w:w="1615" w:type="dxa"/>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-30348928.61</w:t>
            </w:r>
          </w:p>
        </w:tc>
        <w:tc>
          <w:tcPr>
            <w:tcW w:w="1737" w:type="dxa"/>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-30348928.61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2" w:hRule="atLeast"/>
          <w:jc w:val="center"/>
        </w:trPr>
        <w:tc>
          <w:tcPr>
            <w:tcW w:w="2660" w:type="dxa"/>
            <w:vAlign w:val="center"/>
          </w:tcPr>
          <w:p>
            <w:pPr>
              <w:jc w:val="center"/>
              <w:rPr>
                <w:color w:val="000000" w:themeColor="text1"/>
                <w:sz w:val="24"/>
                <w:szCs w:val="24"/>
                <w14:textFill>
                  <w14:solidFill>
                    <w14:schemeClr w14:val="tx1"/>
                  </w14:solidFill>
                </w14:textFill>
              </w:rPr>
            </w:pPr>
          </w:p>
        </w:tc>
        <w:tc>
          <w:tcPr>
            <w:tcW w:w="1651" w:type="dxa"/>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审计机构</w:t>
            </w:r>
          </w:p>
        </w:tc>
        <w:tc>
          <w:tcPr>
            <w:tcW w:w="5089" w:type="dxa"/>
            <w:gridSpan w:val="3"/>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7" w:hRule="exact"/>
          <w:jc w:val="center"/>
        </w:trPr>
        <w:tc>
          <w:tcPr>
            <w:tcW w:w="2660" w:type="dxa"/>
            <w:vAlign w:val="center"/>
          </w:tcPr>
          <w:p>
            <w:pPr>
              <w:jc w:val="center"/>
              <w:rPr>
                <w:b/>
                <w:color w:val="000000" w:themeColor="text1"/>
                <w:sz w:val="24"/>
                <w:szCs w:val="24"/>
                <w14:textFill>
                  <w14:solidFill>
                    <w14:schemeClr w14:val="tx1"/>
                  </w14:solidFill>
                </w14:textFill>
              </w:rPr>
            </w:pPr>
          </w:p>
        </w:tc>
        <w:tc>
          <w:tcPr>
            <w:tcW w:w="6740" w:type="dxa"/>
            <w:gridSpan w:val="4"/>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以下数据出自企业20</w:t>
            </w:r>
            <w:r>
              <w:rPr>
                <w:rFonts w:hint="default"/>
                <w:color w:val="000000" w:themeColor="text1"/>
                <w:sz w:val="24"/>
                <w:szCs w:val="24"/>
                <w:lang w:val="en-US"/>
                <w14:textFill>
                  <w14:solidFill>
                    <w14:schemeClr w14:val="tx1"/>
                  </w14:solidFill>
                </w14:textFill>
              </w:rPr>
              <w:t>19</w:t>
            </w:r>
            <w:r>
              <w:rPr>
                <w:rFonts w:hint="eastAsia"/>
                <w:color w:val="000000" w:themeColor="text1"/>
                <w:sz w:val="24"/>
                <w:szCs w:val="24"/>
                <w14:textFill>
                  <w14:solidFill>
                    <w14:schemeClr w14:val="tx1"/>
                  </w14:solidFill>
                </w14:textFill>
              </w:rPr>
              <w:t>年1-12月审计报告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jc w:val="center"/>
        </w:trPr>
        <w:tc>
          <w:tcPr>
            <w:tcW w:w="2660" w:type="dxa"/>
            <w:vMerge w:val="restart"/>
            <w:vAlign w:val="center"/>
          </w:tcPr>
          <w:p>
            <w:pPr>
              <w:jc w:val="center"/>
              <w:rPr>
                <w:b/>
                <w:color w:val="000000" w:themeColor="text1"/>
                <w:sz w:val="24"/>
                <w:szCs w:val="24"/>
                <w14:textFill>
                  <w14:solidFill>
                    <w14:schemeClr w14:val="tx1"/>
                  </w14:solidFill>
                </w14:textFill>
              </w:rPr>
            </w:pPr>
          </w:p>
        </w:tc>
        <w:tc>
          <w:tcPr>
            <w:tcW w:w="1651" w:type="dxa"/>
            <w:vAlign w:val="center"/>
          </w:tcPr>
          <w:p>
            <w:pPr>
              <w:jc w:val="center"/>
              <w:rPr>
                <w:b/>
                <w:bCs/>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年度日期</w:t>
            </w:r>
          </w:p>
        </w:tc>
        <w:tc>
          <w:tcPr>
            <w:tcW w:w="1737" w:type="dxa"/>
            <w:vAlign w:val="center"/>
          </w:tcPr>
          <w:p>
            <w:pPr>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资产总计</w:t>
            </w:r>
          </w:p>
        </w:tc>
        <w:tc>
          <w:tcPr>
            <w:tcW w:w="1615" w:type="dxa"/>
            <w:vAlign w:val="center"/>
          </w:tcPr>
          <w:p>
            <w:pPr>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负债总计</w:t>
            </w:r>
          </w:p>
        </w:tc>
        <w:tc>
          <w:tcPr>
            <w:tcW w:w="1737" w:type="dxa"/>
            <w:vAlign w:val="center"/>
          </w:tcPr>
          <w:p>
            <w:pPr>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2660" w:type="dxa"/>
            <w:vMerge w:val="continue"/>
            <w:vAlign w:val="center"/>
          </w:tcPr>
          <w:p>
            <w:pPr>
              <w:jc w:val="center"/>
              <w:rPr>
                <w:color w:val="000000" w:themeColor="text1"/>
                <w:sz w:val="24"/>
                <w:szCs w:val="24"/>
                <w14:textFill>
                  <w14:solidFill>
                    <w14:schemeClr w14:val="tx1"/>
                  </w14:solidFill>
                </w14:textFill>
              </w:rPr>
            </w:pPr>
          </w:p>
        </w:tc>
        <w:tc>
          <w:tcPr>
            <w:tcW w:w="1651" w:type="dxa"/>
            <w:vMerge w:val="restart"/>
            <w:vAlign w:val="center"/>
          </w:tcPr>
          <w:p>
            <w:pPr>
              <w:jc w:val="center"/>
              <w:rPr>
                <w:b/>
                <w:bCs/>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2019年12月31日</w:t>
            </w:r>
          </w:p>
        </w:tc>
        <w:tc>
          <w:tcPr>
            <w:tcW w:w="1737" w:type="dxa"/>
            <w:vAlign w:val="center"/>
          </w:tcPr>
          <w:p>
            <w:pPr>
              <w:jc w:val="center"/>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449726105.91</w:t>
            </w:r>
          </w:p>
        </w:tc>
        <w:tc>
          <w:tcPr>
            <w:tcW w:w="1615" w:type="dxa"/>
            <w:vAlign w:val="center"/>
          </w:tcPr>
          <w:p>
            <w:pPr>
              <w:jc w:val="center"/>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340067127.29</w:t>
            </w:r>
          </w:p>
        </w:tc>
        <w:tc>
          <w:tcPr>
            <w:tcW w:w="1737" w:type="dxa"/>
            <w:vAlign w:val="center"/>
          </w:tcPr>
          <w:p>
            <w:pPr>
              <w:jc w:val="center"/>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109658978.62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2660" w:type="dxa"/>
            <w:vMerge w:val="continue"/>
            <w:vAlign w:val="center"/>
          </w:tcPr>
          <w:p>
            <w:pPr>
              <w:jc w:val="center"/>
              <w:rPr>
                <w:color w:val="000000" w:themeColor="text1"/>
                <w:sz w:val="24"/>
                <w:szCs w:val="24"/>
                <w14:textFill>
                  <w14:solidFill>
                    <w14:schemeClr w14:val="tx1"/>
                  </w14:solidFill>
                </w14:textFill>
              </w:rPr>
            </w:pPr>
          </w:p>
        </w:tc>
        <w:tc>
          <w:tcPr>
            <w:tcW w:w="1651" w:type="dxa"/>
            <w:vMerge w:val="continue"/>
            <w:vAlign w:val="center"/>
          </w:tcPr>
          <w:p>
            <w:pPr>
              <w:jc w:val="center"/>
              <w:rPr>
                <w:color w:val="000000" w:themeColor="text1"/>
                <w:sz w:val="24"/>
                <w:szCs w:val="24"/>
                <w14:textFill>
                  <w14:solidFill>
                    <w14:schemeClr w14:val="tx1"/>
                  </w14:solidFill>
                </w14:textFill>
              </w:rPr>
            </w:pPr>
          </w:p>
        </w:tc>
        <w:tc>
          <w:tcPr>
            <w:tcW w:w="1737" w:type="dxa"/>
            <w:vAlign w:val="center"/>
          </w:tcPr>
          <w:p>
            <w:pPr>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营业收入</w:t>
            </w:r>
          </w:p>
        </w:tc>
        <w:tc>
          <w:tcPr>
            <w:tcW w:w="1615" w:type="dxa"/>
            <w:vAlign w:val="center"/>
          </w:tcPr>
          <w:p>
            <w:pPr>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利润总额</w:t>
            </w:r>
          </w:p>
        </w:tc>
        <w:tc>
          <w:tcPr>
            <w:tcW w:w="1737" w:type="dxa"/>
            <w:vAlign w:val="center"/>
          </w:tcPr>
          <w:p>
            <w:pPr>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660" w:type="dxa"/>
            <w:vMerge w:val="continue"/>
            <w:vAlign w:val="center"/>
          </w:tcPr>
          <w:p>
            <w:pPr>
              <w:jc w:val="center"/>
              <w:rPr>
                <w:color w:val="000000" w:themeColor="text1"/>
                <w:sz w:val="24"/>
                <w:szCs w:val="24"/>
                <w14:textFill>
                  <w14:solidFill>
                    <w14:schemeClr w14:val="tx1"/>
                  </w14:solidFill>
                </w14:textFill>
              </w:rPr>
            </w:pPr>
          </w:p>
        </w:tc>
        <w:tc>
          <w:tcPr>
            <w:tcW w:w="1651" w:type="dxa"/>
            <w:vMerge w:val="continue"/>
            <w:vAlign w:val="center"/>
          </w:tcPr>
          <w:p>
            <w:pPr>
              <w:jc w:val="center"/>
              <w:rPr>
                <w:color w:val="000000" w:themeColor="text1"/>
                <w:sz w:val="24"/>
                <w:szCs w:val="24"/>
                <w14:textFill>
                  <w14:solidFill>
                    <w14:schemeClr w14:val="tx1"/>
                  </w14:solidFill>
                </w14:textFill>
              </w:rPr>
            </w:pPr>
          </w:p>
        </w:tc>
        <w:tc>
          <w:tcPr>
            <w:tcW w:w="1737" w:type="dxa"/>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139602898.71</w:t>
            </w:r>
          </w:p>
        </w:tc>
        <w:tc>
          <w:tcPr>
            <w:tcW w:w="1615" w:type="dxa"/>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-24647535.3</w:t>
            </w:r>
          </w:p>
        </w:tc>
        <w:tc>
          <w:tcPr>
            <w:tcW w:w="1737" w:type="dxa"/>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-24647535.3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2660" w:type="dxa"/>
            <w:vAlign w:val="center"/>
          </w:tcPr>
          <w:p>
            <w:pPr>
              <w:jc w:val="center"/>
              <w:rPr>
                <w:color w:val="000000" w:themeColor="text1"/>
                <w:sz w:val="24"/>
                <w:szCs w:val="24"/>
                <w14:textFill>
                  <w14:solidFill>
                    <w14:schemeClr w14:val="tx1"/>
                  </w14:solidFill>
                </w14:textFill>
              </w:rPr>
            </w:pPr>
          </w:p>
        </w:tc>
        <w:tc>
          <w:tcPr>
            <w:tcW w:w="1651" w:type="dxa"/>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审计机构</w:t>
            </w:r>
          </w:p>
        </w:tc>
        <w:tc>
          <w:tcPr>
            <w:tcW w:w="5089" w:type="dxa"/>
            <w:gridSpan w:val="3"/>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jc w:val="center"/>
        </w:trPr>
        <w:tc>
          <w:tcPr>
            <w:tcW w:w="2660" w:type="dxa"/>
            <w:vAlign w:val="center"/>
          </w:tcPr>
          <w:p>
            <w:pPr>
              <w:jc w:val="center"/>
              <w:rPr>
                <w:color w:val="000000" w:themeColor="text1"/>
                <w:sz w:val="24"/>
                <w:szCs w:val="24"/>
                <w14:textFill>
                  <w14:solidFill>
                    <w14:schemeClr w14:val="tx1"/>
                  </w14:solidFill>
                </w14:textFill>
              </w:rPr>
            </w:pPr>
          </w:p>
        </w:tc>
        <w:tc>
          <w:tcPr>
            <w:tcW w:w="6740" w:type="dxa"/>
            <w:gridSpan w:val="4"/>
            <w:vAlign w:val="center"/>
          </w:tcPr>
          <w:p>
            <w:pPr>
              <w:jc w:val="center"/>
              <w:rPr>
                <w:b/>
                <w:bCs/>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以下数据出自企业2020年1-12月审计报告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660" w:type="dxa"/>
            <w:vMerge w:val="restart"/>
            <w:vAlign w:val="center"/>
          </w:tcPr>
          <w:p>
            <w:pPr>
              <w:jc w:val="center"/>
              <w:rPr>
                <w:b/>
                <w:color w:val="000000" w:themeColor="text1"/>
                <w:sz w:val="24"/>
                <w:szCs w:val="24"/>
                <w14:textFill>
                  <w14:solidFill>
                    <w14:schemeClr w14:val="tx1"/>
                  </w14:solidFill>
                </w14:textFill>
              </w:rPr>
            </w:pPr>
          </w:p>
        </w:tc>
        <w:tc>
          <w:tcPr>
            <w:tcW w:w="1651" w:type="dxa"/>
            <w:vAlign w:val="center"/>
          </w:tcPr>
          <w:p>
            <w:pPr>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年度日期</w:t>
            </w:r>
          </w:p>
        </w:tc>
        <w:tc>
          <w:tcPr>
            <w:tcW w:w="1737" w:type="dxa"/>
            <w:vAlign w:val="center"/>
          </w:tcPr>
          <w:p>
            <w:pPr>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资产总计</w:t>
            </w:r>
          </w:p>
        </w:tc>
        <w:tc>
          <w:tcPr>
            <w:tcW w:w="1615" w:type="dxa"/>
            <w:vAlign w:val="center"/>
          </w:tcPr>
          <w:p>
            <w:pPr>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负债总计</w:t>
            </w:r>
          </w:p>
        </w:tc>
        <w:tc>
          <w:tcPr>
            <w:tcW w:w="1737" w:type="dxa"/>
            <w:vAlign w:val="center"/>
          </w:tcPr>
          <w:p>
            <w:pPr>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660" w:type="dxa"/>
            <w:vMerge w:val="continue"/>
            <w:vAlign w:val="center"/>
          </w:tcPr>
          <w:p>
            <w:pPr>
              <w:jc w:val="center"/>
              <w:rPr>
                <w:b/>
                <w:color w:val="000000" w:themeColor="text1"/>
                <w:sz w:val="24"/>
                <w:szCs w:val="24"/>
                <w14:textFill>
                  <w14:solidFill>
                    <w14:schemeClr w14:val="tx1"/>
                  </w14:solidFill>
                </w14:textFill>
              </w:rPr>
            </w:pPr>
          </w:p>
        </w:tc>
        <w:tc>
          <w:tcPr>
            <w:tcW w:w="1651" w:type="dxa"/>
            <w:vMerge w:val="restart"/>
            <w:vAlign w:val="center"/>
          </w:tcPr>
          <w:p>
            <w:pPr>
              <w:jc w:val="center"/>
              <w:rPr>
                <w:color w:val="000000" w:themeColor="text1"/>
                <w:sz w:val="24"/>
                <w:szCs w:val="24"/>
                <w:u w:val="single"/>
                <w14:textFill>
                  <w14:solidFill>
                    <w14:schemeClr w14:val="tx1"/>
                  </w14:solidFill>
                </w14:textFill>
              </w:rPr>
            </w:pPr>
            <w:r>
              <w:rPr>
                <w:rFonts w:hint="eastAsia"/>
                <w:color w:val="000000" w:themeColor="text1"/>
                <w:sz w:val="24"/>
                <w:szCs w:val="24"/>
                <w14:textFill>
                  <w14:solidFill>
                    <w14:schemeClr w14:val="tx1"/>
                  </w14:solidFill>
                </w14:textFill>
              </w:rPr>
              <w:t>2020年12月31日</w:t>
            </w:r>
          </w:p>
        </w:tc>
        <w:tc>
          <w:tcPr>
            <w:tcW w:w="1737" w:type="dxa"/>
            <w:vAlign w:val="center"/>
          </w:tcPr>
          <w:p>
            <w:pPr>
              <w:jc w:val="center"/>
              <w:rPr>
                <w:bCs/>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626617667.8</w:t>
            </w:r>
          </w:p>
        </w:tc>
        <w:tc>
          <w:tcPr>
            <w:tcW w:w="1615" w:type="dxa"/>
            <w:vAlign w:val="center"/>
          </w:tcPr>
          <w:p>
            <w:pPr>
              <w:jc w:val="center"/>
              <w:rPr>
                <w:bCs/>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328294185.04</w:t>
            </w:r>
          </w:p>
        </w:tc>
        <w:tc>
          <w:tcPr>
            <w:tcW w:w="1737" w:type="dxa"/>
            <w:vAlign w:val="center"/>
          </w:tcPr>
          <w:p>
            <w:pPr>
              <w:jc w:val="center"/>
              <w:rPr>
                <w:bCs/>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298323482.762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660" w:type="dxa"/>
            <w:vMerge w:val="continue"/>
            <w:shd w:val="clear" w:color="auto" w:fill="auto"/>
            <w:vAlign w:val="center"/>
          </w:tcPr>
          <w:p>
            <w:pPr>
              <w:jc w:val="center"/>
              <w:rPr>
                <w:b/>
                <w:color w:val="000000" w:themeColor="text1"/>
                <w:sz w:val="24"/>
                <w:szCs w:val="24"/>
                <w14:textFill>
                  <w14:solidFill>
                    <w14:schemeClr w14:val="tx1"/>
                  </w14:solidFill>
                </w14:textFill>
              </w:rPr>
            </w:pPr>
          </w:p>
        </w:tc>
        <w:tc>
          <w:tcPr>
            <w:tcW w:w="1651" w:type="dxa"/>
            <w:vMerge w:val="continue"/>
            <w:shd w:val="clear" w:color="auto" w:fill="auto"/>
            <w:vAlign w:val="center"/>
          </w:tcPr>
          <w:p>
            <w:pPr>
              <w:jc w:val="center"/>
              <w:rPr>
                <w:color w:val="000000" w:themeColor="text1"/>
                <w:sz w:val="24"/>
                <w:szCs w:val="24"/>
                <w:u w:val="single"/>
                <w14:textFill>
                  <w14:solidFill>
                    <w14:schemeClr w14:val="tx1"/>
                  </w14:solidFill>
                </w14:textFill>
              </w:rPr>
            </w:pPr>
          </w:p>
        </w:tc>
        <w:tc>
          <w:tcPr>
            <w:tcW w:w="1737" w:type="dxa"/>
            <w:shd w:val="clear" w:color="auto" w:fill="auto"/>
            <w:vAlign w:val="center"/>
          </w:tcPr>
          <w:p>
            <w:pPr>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营业收入</w:t>
            </w:r>
          </w:p>
        </w:tc>
        <w:tc>
          <w:tcPr>
            <w:tcW w:w="1615" w:type="dxa"/>
            <w:shd w:val="clear" w:color="auto" w:fill="FFFFFF"/>
            <w:vAlign w:val="center"/>
          </w:tcPr>
          <w:p>
            <w:pPr>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利润总额</w:t>
            </w:r>
          </w:p>
        </w:tc>
        <w:tc>
          <w:tcPr>
            <w:tcW w:w="1737" w:type="dxa"/>
            <w:shd w:val="clear" w:color="auto" w:fill="FFFFFF"/>
            <w:vAlign w:val="center"/>
          </w:tcPr>
          <w:p>
            <w:pPr>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660" w:type="dxa"/>
            <w:vMerge w:val="continue"/>
            <w:shd w:val="clear" w:color="auto" w:fill="auto"/>
            <w:vAlign w:val="center"/>
          </w:tcPr>
          <w:p>
            <w:pPr>
              <w:jc w:val="center"/>
              <w:rPr>
                <w:b/>
                <w:color w:val="000000" w:themeColor="text1"/>
                <w:sz w:val="24"/>
                <w:szCs w:val="24"/>
                <w14:textFill>
                  <w14:solidFill>
                    <w14:schemeClr w14:val="tx1"/>
                  </w14:solidFill>
                </w14:textFill>
              </w:rPr>
            </w:pPr>
          </w:p>
        </w:tc>
        <w:tc>
          <w:tcPr>
            <w:tcW w:w="1651" w:type="dxa"/>
            <w:vMerge w:val="continue"/>
            <w:shd w:val="clear" w:color="auto" w:fill="auto"/>
            <w:vAlign w:val="center"/>
          </w:tcPr>
          <w:p>
            <w:pPr>
              <w:jc w:val="center"/>
              <w:rPr>
                <w:color w:val="000000" w:themeColor="text1"/>
                <w:sz w:val="24"/>
                <w:szCs w:val="24"/>
                <w:u w:val="single"/>
                <w14:textFill>
                  <w14:solidFill>
                    <w14:schemeClr w14:val="tx1"/>
                  </w14:solidFill>
                </w14:textFill>
              </w:rPr>
            </w:pPr>
          </w:p>
        </w:tc>
        <w:tc>
          <w:tcPr>
            <w:tcW w:w="1737" w:type="dxa"/>
            <w:shd w:val="clear" w:color="auto" w:fill="auto"/>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333401270.830</w:t>
            </w:r>
          </w:p>
        </w:tc>
        <w:tc>
          <w:tcPr>
            <w:tcW w:w="1615" w:type="dxa"/>
            <w:shd w:val="clear" w:color="auto" w:fill="FFFFFF"/>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37920390.63</w:t>
            </w:r>
          </w:p>
        </w:tc>
        <w:tc>
          <w:tcPr>
            <w:tcW w:w="1737" w:type="dxa"/>
            <w:shd w:val="clear" w:color="auto" w:fill="FFFFFF"/>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38664504.14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660" w:type="dxa"/>
            <w:shd w:val="clear" w:color="auto" w:fill="auto"/>
            <w:vAlign w:val="center"/>
          </w:tcPr>
          <w:p>
            <w:pPr>
              <w:jc w:val="center"/>
              <w:rPr>
                <w:b/>
                <w:color w:val="000000" w:themeColor="text1"/>
                <w:sz w:val="24"/>
                <w:szCs w:val="24"/>
                <w14:textFill>
                  <w14:solidFill>
                    <w14:schemeClr w14:val="tx1"/>
                  </w14:solidFill>
                </w14:textFill>
              </w:rPr>
            </w:pPr>
          </w:p>
        </w:tc>
        <w:tc>
          <w:tcPr>
            <w:tcW w:w="1651" w:type="dxa"/>
            <w:shd w:val="clear" w:color="auto" w:fill="auto"/>
            <w:vAlign w:val="center"/>
          </w:tcPr>
          <w:p>
            <w:pPr>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审计机构</w:t>
            </w:r>
          </w:p>
        </w:tc>
        <w:tc>
          <w:tcPr>
            <w:tcW w:w="5089" w:type="dxa"/>
            <w:gridSpan w:val="3"/>
            <w:shd w:val="clear" w:color="auto" w:fill="FFFFFF"/>
            <w:vAlign w:val="center"/>
          </w:tcPr>
          <w:p>
            <w:pPr>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天健会计师事务所（特殊普通合伙）</w:t>
            </w:r>
          </w:p>
        </w:tc>
      </w:tr>
    </w:tbl>
    <w:p>
      <w:pPr>
        <w:pStyle w:val="38"/>
        <w:spacing w:line="360" w:lineRule="auto"/>
        <w:ind w:firstLine="0" w:firstLineChars="0"/>
        <w:rPr>
          <w:rFonts w:ascii="宋体"/>
          <w:b/>
          <w:sz w:val="28"/>
          <w:szCs w:val="28"/>
        </w:rPr>
      </w:pPr>
      <w:r>
        <w:rPr>
          <w:rFonts w:hint="eastAsia" w:ascii="宋体" w:hAnsi="宋体"/>
          <w:sz w:val="24"/>
          <w:szCs w:val="24"/>
        </w:rPr>
        <w:t xml:space="preserve">   </w:t>
      </w:r>
      <w:r>
        <w:rPr>
          <w:rFonts w:hint="eastAsia" w:ascii="宋体" w:hAnsi="宋体"/>
          <w:sz w:val="28"/>
          <w:szCs w:val="28"/>
        </w:rPr>
        <w:t xml:space="preserve"> </w:t>
      </w:r>
      <w:r>
        <w:rPr>
          <w:rFonts w:ascii="宋体" w:hAnsi="宋体"/>
          <w:sz w:val="28"/>
          <w:szCs w:val="28"/>
        </w:rPr>
        <w:t>(</w:t>
      </w:r>
      <w:r>
        <w:rPr>
          <w:rFonts w:hint="eastAsia" w:ascii="宋体" w:hAnsi="宋体"/>
          <w:sz w:val="28"/>
          <w:szCs w:val="28"/>
        </w:rPr>
        <w:t>二</w:t>
      </w:r>
      <w:r>
        <w:rPr>
          <w:rFonts w:ascii="宋体" w:hAnsi="宋体"/>
          <w:sz w:val="28"/>
          <w:szCs w:val="28"/>
        </w:rPr>
        <w:t>)</w:t>
      </w:r>
      <w:r>
        <w:rPr>
          <w:rFonts w:hint="eastAsia" w:ascii="宋体" w:hAnsi="宋体"/>
          <w:b/>
          <w:sz w:val="28"/>
          <w:szCs w:val="28"/>
        </w:rPr>
        <w:t>增资扩股后的股权结构</w:t>
      </w:r>
    </w:p>
    <w:p>
      <w:pPr>
        <w:spacing w:line="360" w:lineRule="auto"/>
        <w:ind w:firstLine="560" w:firstLineChars="200"/>
        <w:jc w:val="left"/>
        <w:rPr>
          <w:rFonts w:hint="eastAsia" w:ascii="宋体" w:hAnsi="宋体"/>
          <w:sz w:val="28"/>
          <w:szCs w:val="28"/>
          <w:lang w:eastAsia="zh-CN"/>
        </w:rPr>
      </w:pPr>
      <w:r>
        <w:rPr>
          <w:rFonts w:hint="eastAsia" w:ascii="宋体" w:hAnsi="宋体"/>
          <w:sz w:val="28"/>
          <w:szCs w:val="28"/>
        </w:rPr>
        <w:t>假设本次成交价等于挂牌价，则本次增资完成后，融资方股权结构如下</w:t>
      </w:r>
      <w:r>
        <w:rPr>
          <w:rFonts w:hint="eastAsia" w:ascii="宋体" w:hAnsi="宋体"/>
          <w:sz w:val="28"/>
          <w:szCs w:val="28"/>
          <w:lang w:eastAsia="zh-CN"/>
        </w:rPr>
        <w:t>：</w:t>
      </w:r>
    </w:p>
    <w:p>
      <w:pPr>
        <w:spacing w:line="360" w:lineRule="auto"/>
        <w:ind w:firstLine="7840" w:firstLineChars="2800"/>
        <w:jc w:val="left"/>
        <w:rPr>
          <w:rFonts w:hint="eastAsia" w:ascii="宋体" w:hAnsi="宋体"/>
          <w:sz w:val="28"/>
          <w:szCs w:val="28"/>
        </w:rPr>
      </w:pPr>
      <w:r>
        <w:rPr>
          <w:rFonts w:hint="eastAsia" w:ascii="宋体" w:hAnsi="宋体"/>
          <w:sz w:val="28"/>
          <w:szCs w:val="28"/>
        </w:rPr>
        <w:t>单位：元</w:t>
      </w:r>
    </w:p>
    <w:tbl>
      <w:tblPr>
        <w:tblStyle w:val="18"/>
        <w:tblpPr w:leftFromText="180" w:rightFromText="180" w:vertAnchor="text" w:horzAnchor="page" w:tblpXSpec="center" w:tblpY="326"/>
        <w:tblOverlap w:val="never"/>
        <w:tblW w:w="919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438"/>
        <w:gridCol w:w="3226"/>
        <w:gridCol w:w="1140"/>
        <w:gridCol w:w="1049"/>
        <w:gridCol w:w="1186"/>
        <w:gridCol w:w="1155"/>
        <w:gridCol w:w="1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17" w:hRule="atLeast"/>
          <w:jc w:val="center"/>
        </w:trPr>
        <w:tc>
          <w:tcPr>
            <w:tcW w:w="438" w:type="dxa"/>
            <w:vMerge w:val="restart"/>
            <w:tcBorders>
              <w:tl2br w:val="nil"/>
              <w:tr2bl w:val="nil"/>
            </w:tcBorders>
            <w:shd w:val="clear" w:color="000000" w:fill="D9D9D9"/>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序号</w:t>
            </w:r>
          </w:p>
        </w:tc>
        <w:tc>
          <w:tcPr>
            <w:tcW w:w="3226" w:type="dxa"/>
            <w:vMerge w:val="restart"/>
            <w:tcBorders>
              <w:tl2br w:val="nil"/>
              <w:tr2bl w:val="nil"/>
            </w:tcBorders>
            <w:shd w:val="clear" w:color="000000" w:fill="D9D9D9"/>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股东名称或姓名</w:t>
            </w:r>
          </w:p>
        </w:tc>
        <w:tc>
          <w:tcPr>
            <w:tcW w:w="2189" w:type="dxa"/>
            <w:gridSpan w:val="2"/>
            <w:tcBorders>
              <w:tl2br w:val="nil"/>
              <w:tr2bl w:val="nil"/>
            </w:tcBorders>
            <w:shd w:val="clear" w:color="000000" w:fill="D9D9D9"/>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增资前</w:t>
            </w:r>
          </w:p>
        </w:tc>
        <w:tc>
          <w:tcPr>
            <w:tcW w:w="1186" w:type="dxa"/>
            <w:tcBorders>
              <w:tl2br w:val="nil"/>
              <w:tr2bl w:val="nil"/>
            </w:tcBorders>
            <w:shd w:val="clear" w:color="000000" w:fill="D9D9D9"/>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增资股本</w:t>
            </w:r>
          </w:p>
        </w:tc>
        <w:tc>
          <w:tcPr>
            <w:tcW w:w="2155" w:type="dxa"/>
            <w:gridSpan w:val="2"/>
            <w:tcBorders>
              <w:tl2br w:val="nil"/>
              <w:tr2bl w:val="nil"/>
            </w:tcBorders>
            <w:shd w:val="clear" w:color="000000" w:fill="D9D9D9"/>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增资后</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17" w:hRule="atLeast"/>
          <w:jc w:val="center"/>
        </w:trPr>
        <w:tc>
          <w:tcPr>
            <w:tcW w:w="438" w:type="dxa"/>
            <w:vMerge w:val="continue"/>
            <w:tcBorders>
              <w:tl2br w:val="nil"/>
              <w:tr2bl w:val="nil"/>
            </w:tcBorders>
            <w:vAlign w:val="center"/>
          </w:tcPr>
          <w:p>
            <w:pPr>
              <w:widowControl/>
              <w:jc w:val="center"/>
              <w:rPr>
                <w:rFonts w:hint="eastAsia" w:asciiTheme="minorEastAsia" w:hAnsiTheme="minorEastAsia" w:eastAsiaTheme="minorEastAsia" w:cstheme="minorEastAsia"/>
                <w:b/>
                <w:bCs/>
                <w:kern w:val="0"/>
                <w:sz w:val="24"/>
                <w:szCs w:val="24"/>
              </w:rPr>
            </w:pPr>
          </w:p>
        </w:tc>
        <w:tc>
          <w:tcPr>
            <w:tcW w:w="3226" w:type="dxa"/>
            <w:vMerge w:val="continue"/>
            <w:tcBorders>
              <w:tl2br w:val="nil"/>
              <w:tr2bl w:val="nil"/>
            </w:tcBorders>
            <w:vAlign w:val="center"/>
          </w:tcPr>
          <w:p>
            <w:pPr>
              <w:widowControl/>
              <w:jc w:val="center"/>
              <w:rPr>
                <w:rFonts w:hint="eastAsia" w:asciiTheme="minorEastAsia" w:hAnsiTheme="minorEastAsia" w:eastAsiaTheme="minorEastAsia" w:cstheme="minorEastAsia"/>
                <w:b/>
                <w:bCs/>
                <w:kern w:val="0"/>
                <w:sz w:val="24"/>
                <w:szCs w:val="24"/>
              </w:rPr>
            </w:pPr>
          </w:p>
        </w:tc>
        <w:tc>
          <w:tcPr>
            <w:tcW w:w="1140" w:type="dxa"/>
            <w:tcBorders>
              <w:tl2br w:val="nil"/>
              <w:tr2bl w:val="nil"/>
            </w:tcBorders>
            <w:shd w:val="clear" w:color="000000" w:fill="D9D9D9"/>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股数（股）</w:t>
            </w:r>
          </w:p>
        </w:tc>
        <w:tc>
          <w:tcPr>
            <w:tcW w:w="1049" w:type="dxa"/>
            <w:tcBorders>
              <w:tl2br w:val="nil"/>
              <w:tr2bl w:val="nil"/>
            </w:tcBorders>
            <w:shd w:val="clear" w:color="000000" w:fill="D9D9D9"/>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持股比例</w:t>
            </w:r>
          </w:p>
        </w:tc>
        <w:tc>
          <w:tcPr>
            <w:tcW w:w="1186" w:type="dxa"/>
            <w:tcBorders>
              <w:tl2br w:val="nil"/>
              <w:tr2bl w:val="nil"/>
            </w:tcBorders>
            <w:shd w:val="clear" w:color="000000" w:fill="D9D9D9"/>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新增股数（股）</w:t>
            </w:r>
          </w:p>
        </w:tc>
        <w:tc>
          <w:tcPr>
            <w:tcW w:w="1155" w:type="dxa"/>
            <w:tcBorders>
              <w:tl2br w:val="nil"/>
              <w:tr2bl w:val="nil"/>
            </w:tcBorders>
            <w:shd w:val="clear" w:color="000000" w:fill="D9D9D9"/>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股数（股）</w:t>
            </w:r>
          </w:p>
        </w:tc>
        <w:tc>
          <w:tcPr>
            <w:tcW w:w="1000" w:type="dxa"/>
            <w:tcBorders>
              <w:tl2br w:val="nil"/>
              <w:tr2bl w:val="nil"/>
            </w:tcBorders>
            <w:shd w:val="clear" w:color="000000" w:fill="D9D9D9"/>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持股比例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jc w:val="center"/>
        </w:trPr>
        <w:tc>
          <w:tcPr>
            <w:tcW w:w="438"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w:t>
            </w:r>
          </w:p>
        </w:tc>
        <w:tc>
          <w:tcPr>
            <w:tcW w:w="3226" w:type="dxa"/>
            <w:tcBorders>
              <w:tl2br w:val="nil"/>
              <w:tr2bl w:val="nil"/>
            </w:tcBorders>
            <w:shd w:val="clear" w:color="auto" w:fill="auto"/>
            <w:vAlign w:val="center"/>
          </w:tcPr>
          <w:p>
            <w:pPr>
              <w:widowControl/>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lang w:bidi="ar"/>
              </w:rPr>
              <w:t>浙江海正药业股份有限公司</w:t>
            </w:r>
          </w:p>
        </w:tc>
        <w:tc>
          <w:tcPr>
            <w:tcW w:w="1140" w:type="dxa"/>
            <w:tcBorders>
              <w:tl2br w:val="nil"/>
              <w:tr2bl w:val="nil"/>
            </w:tcBorders>
            <w:vAlign w:val="center"/>
          </w:tcPr>
          <w:p>
            <w:pPr>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31,000.00</w:t>
            </w:r>
          </w:p>
        </w:tc>
        <w:tc>
          <w:tcPr>
            <w:tcW w:w="1049" w:type="dxa"/>
            <w:tcBorders>
              <w:tl2br w:val="nil"/>
              <w:tr2bl w:val="nil"/>
            </w:tcBorders>
            <w:vAlign w:val="center"/>
          </w:tcPr>
          <w:p>
            <w:pPr>
              <w:spacing w:line="500" w:lineRule="exac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100.00%</w:t>
            </w:r>
          </w:p>
        </w:tc>
        <w:tc>
          <w:tcPr>
            <w:tcW w:w="1186" w:type="dxa"/>
            <w:tcBorders>
              <w:tl2br w:val="nil"/>
              <w:tr2bl w:val="nil"/>
            </w:tcBorders>
            <w:shd w:val="clear" w:color="auto" w:fill="auto"/>
            <w:vAlign w:val="center"/>
          </w:tcPr>
          <w:p>
            <w:pPr>
              <w:widowControl/>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w:t>
            </w:r>
          </w:p>
        </w:tc>
        <w:tc>
          <w:tcPr>
            <w:tcW w:w="1155" w:type="dxa"/>
            <w:tcBorders>
              <w:tl2br w:val="nil"/>
              <w:tr2bl w:val="nil"/>
            </w:tcBorders>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31,000.00</w:t>
            </w:r>
          </w:p>
        </w:tc>
        <w:tc>
          <w:tcPr>
            <w:tcW w:w="1000" w:type="dxa"/>
            <w:tcBorders>
              <w:tl2br w:val="nil"/>
              <w:tr2bl w:val="nil"/>
            </w:tcBorders>
            <w:vAlign w:val="center"/>
          </w:tcPr>
          <w:p>
            <w:pPr>
              <w:widowControl/>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88.57%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jc w:val="center"/>
        </w:trPr>
        <w:tc>
          <w:tcPr>
            <w:tcW w:w="438"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w:t>
            </w:r>
          </w:p>
        </w:tc>
        <w:tc>
          <w:tcPr>
            <w:tcW w:w="3226" w:type="dxa"/>
            <w:tcBorders>
              <w:tl2br w:val="nil"/>
              <w:tr2bl w:val="nil"/>
            </w:tcBorders>
            <w:shd w:val="clear" w:color="auto" w:fill="auto"/>
            <w:vAlign w:val="center"/>
          </w:tcPr>
          <w:p>
            <w:pPr>
              <w:widowControl/>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员工持股平台</w:t>
            </w:r>
          </w:p>
        </w:tc>
        <w:tc>
          <w:tcPr>
            <w:tcW w:w="1140"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w:t>
            </w:r>
          </w:p>
        </w:tc>
        <w:tc>
          <w:tcPr>
            <w:tcW w:w="1049"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w:t>
            </w:r>
          </w:p>
        </w:tc>
        <w:tc>
          <w:tcPr>
            <w:tcW w:w="1186"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sz w:val="24"/>
                <w:szCs w:val="24"/>
                <w:lang w:eastAsia="en-US"/>
              </w:rPr>
            </w:pPr>
            <w:r>
              <w:rPr>
                <w:rFonts w:hint="eastAsia" w:asciiTheme="minorEastAsia" w:hAnsiTheme="minorEastAsia" w:eastAsiaTheme="minorEastAsia" w:cstheme="minorEastAsia"/>
                <w:sz w:val="24"/>
                <w:szCs w:val="24"/>
              </w:rPr>
              <w:t>2,200.00</w:t>
            </w:r>
          </w:p>
        </w:tc>
        <w:tc>
          <w:tcPr>
            <w:tcW w:w="1155" w:type="dxa"/>
            <w:tcBorders>
              <w:tl2br w:val="nil"/>
              <w:tr2bl w:val="nil"/>
            </w:tcBorders>
            <w:vAlign w:val="center"/>
          </w:tcPr>
          <w:p>
            <w:pPr>
              <w:widowControl/>
              <w:jc w:val="center"/>
              <w:rPr>
                <w:rFonts w:hint="eastAsia" w:asciiTheme="minorEastAsia" w:hAnsiTheme="minorEastAsia" w:eastAsiaTheme="minorEastAsia" w:cstheme="minorEastAsia"/>
                <w:sz w:val="24"/>
                <w:szCs w:val="24"/>
                <w:lang w:eastAsia="en-US"/>
              </w:rPr>
            </w:pPr>
            <w:r>
              <w:rPr>
                <w:rFonts w:hint="eastAsia" w:asciiTheme="minorEastAsia" w:hAnsiTheme="minorEastAsia" w:eastAsiaTheme="minorEastAsia" w:cstheme="minorEastAsia"/>
                <w:sz w:val="24"/>
                <w:szCs w:val="24"/>
              </w:rPr>
              <w:t>2,200.00</w:t>
            </w:r>
          </w:p>
        </w:tc>
        <w:tc>
          <w:tcPr>
            <w:tcW w:w="1000" w:type="dxa"/>
            <w:tcBorders>
              <w:tl2br w:val="nil"/>
              <w:tr2bl w:val="nil"/>
            </w:tcBorders>
            <w:vAlign w:val="center"/>
          </w:tcPr>
          <w:p>
            <w:pPr>
              <w:widowControl/>
              <w:jc w:val="center"/>
              <w:rPr>
                <w:rFonts w:hint="eastAsia" w:asciiTheme="minorEastAsia" w:hAnsiTheme="minorEastAsia" w:eastAsiaTheme="minorEastAsia" w:cstheme="minorEastAsia"/>
                <w:sz w:val="24"/>
                <w:szCs w:val="24"/>
                <w:lang w:eastAsia="en-US"/>
              </w:rPr>
            </w:pPr>
            <w:r>
              <w:rPr>
                <w:rFonts w:hint="eastAsia" w:asciiTheme="minorEastAsia" w:hAnsiTheme="minorEastAsia" w:eastAsiaTheme="minorEastAsia" w:cstheme="minorEastAsia"/>
                <w:sz w:val="24"/>
                <w:szCs w:val="24"/>
              </w:rPr>
              <w:t>6.29%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06" w:hRule="atLeast"/>
          <w:jc w:val="center"/>
        </w:trPr>
        <w:tc>
          <w:tcPr>
            <w:tcW w:w="438"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3</w:t>
            </w:r>
          </w:p>
        </w:tc>
        <w:tc>
          <w:tcPr>
            <w:tcW w:w="3226" w:type="dxa"/>
            <w:tcBorders>
              <w:tl2br w:val="nil"/>
              <w:tr2bl w:val="nil"/>
            </w:tcBorders>
            <w:shd w:val="clear" w:color="auto" w:fill="auto"/>
            <w:vAlign w:val="center"/>
          </w:tcPr>
          <w:p>
            <w:pPr>
              <w:widowControl/>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lang w:bidi="ar"/>
              </w:rPr>
              <w:t>新投资者（台交所挂【2021】11号）</w:t>
            </w:r>
          </w:p>
        </w:tc>
        <w:tc>
          <w:tcPr>
            <w:tcW w:w="1140"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049"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186"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1,800.00</w:t>
            </w:r>
          </w:p>
        </w:tc>
        <w:tc>
          <w:tcPr>
            <w:tcW w:w="1155" w:type="dxa"/>
            <w:tcBorders>
              <w:tl2br w:val="nil"/>
              <w:tr2bl w:val="nil"/>
            </w:tcBorders>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1,800.00</w:t>
            </w:r>
          </w:p>
        </w:tc>
        <w:tc>
          <w:tcPr>
            <w:tcW w:w="1000" w:type="dxa"/>
            <w:tcBorders>
              <w:tl2br w:val="nil"/>
              <w:tr2bl w:val="nil"/>
            </w:tcBorders>
            <w:vAlign w:val="center"/>
          </w:tcPr>
          <w:p>
            <w:pPr>
              <w:widowControl/>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5.14%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17" w:hRule="atLeast"/>
          <w:jc w:val="center"/>
        </w:trPr>
        <w:tc>
          <w:tcPr>
            <w:tcW w:w="3664" w:type="dxa"/>
            <w:gridSpan w:val="2"/>
            <w:tcBorders>
              <w:tl2br w:val="nil"/>
              <w:tr2bl w:val="nil"/>
            </w:tcBorders>
            <w:shd w:val="clear" w:color="auto" w:fill="auto"/>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合计</w:t>
            </w:r>
          </w:p>
        </w:tc>
        <w:tc>
          <w:tcPr>
            <w:tcW w:w="1140"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sz w:val="24"/>
                <w:szCs w:val="24"/>
              </w:rPr>
              <w:t>31,000.00</w:t>
            </w:r>
          </w:p>
        </w:tc>
        <w:tc>
          <w:tcPr>
            <w:tcW w:w="1049"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sz w:val="24"/>
                <w:szCs w:val="24"/>
              </w:rPr>
              <w:t>100.00%</w:t>
            </w:r>
          </w:p>
        </w:tc>
        <w:tc>
          <w:tcPr>
            <w:tcW w:w="1186"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kern w:val="0"/>
                <w:sz w:val="24"/>
                <w:szCs w:val="24"/>
                <w:lang w:bidi="ar"/>
              </w:rPr>
            </w:pPr>
            <w:r>
              <w:rPr>
                <w:rFonts w:hint="eastAsia" w:asciiTheme="minorEastAsia" w:hAnsiTheme="minorEastAsia" w:eastAsiaTheme="minorEastAsia" w:cstheme="minorEastAsia"/>
                <w:sz w:val="24"/>
                <w:szCs w:val="24"/>
              </w:rPr>
              <w:t>4,000.00</w:t>
            </w:r>
          </w:p>
        </w:tc>
        <w:tc>
          <w:tcPr>
            <w:tcW w:w="1155" w:type="dxa"/>
            <w:tcBorders>
              <w:tl2br w:val="nil"/>
              <w:tr2bl w:val="nil"/>
            </w:tcBorders>
            <w:vAlign w:val="center"/>
          </w:tcPr>
          <w:p>
            <w:pPr>
              <w:widowControl/>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rPr>
              <w:t>35,000.00</w:t>
            </w:r>
          </w:p>
        </w:tc>
        <w:tc>
          <w:tcPr>
            <w:tcW w:w="1000"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sz w:val="24"/>
                <w:szCs w:val="24"/>
              </w:rPr>
              <w:t>100.00%</w:t>
            </w:r>
          </w:p>
        </w:tc>
      </w:tr>
    </w:tbl>
    <w:p>
      <w:pPr>
        <w:spacing w:line="500" w:lineRule="atLeast"/>
        <w:ind w:firstLine="562" w:firstLineChars="200"/>
        <w:rPr>
          <w:rFonts w:ascii="宋体" w:hAnsi="宋体"/>
          <w:b/>
          <w:bCs/>
          <w:sz w:val="28"/>
          <w:szCs w:val="28"/>
        </w:rPr>
      </w:pPr>
      <w:r>
        <w:rPr>
          <w:rFonts w:hint="eastAsia" w:ascii="宋体" w:hAnsi="宋体"/>
          <w:b/>
          <w:bCs/>
          <w:sz w:val="28"/>
          <w:szCs w:val="28"/>
        </w:rPr>
        <w:t>（三）增资程序及时间安排</w:t>
      </w:r>
    </w:p>
    <w:p>
      <w:pPr>
        <w:numPr>
          <w:ilvl w:val="255"/>
          <w:numId w:val="0"/>
        </w:numPr>
        <w:spacing w:line="500" w:lineRule="atLeast"/>
        <w:ind w:firstLine="560" w:firstLineChars="200"/>
        <w:rPr>
          <w:rFonts w:ascii="宋体"/>
          <w:sz w:val="28"/>
          <w:szCs w:val="28"/>
        </w:rPr>
      </w:pPr>
      <w:r>
        <w:rPr>
          <w:rFonts w:hint="eastAsia" w:ascii="宋体" w:hAnsi="宋体"/>
          <w:sz w:val="28"/>
          <w:szCs w:val="28"/>
        </w:rPr>
        <w:t>1.本次增资程序包括报名（递交保证金）、多次报价、确定投资方、签署《增资扩股协议》、缴纳增资款。</w:t>
      </w:r>
    </w:p>
    <w:p>
      <w:pPr>
        <w:numPr>
          <w:ilvl w:val="255"/>
          <w:numId w:val="0"/>
        </w:numPr>
        <w:spacing w:line="500" w:lineRule="atLeast"/>
        <w:ind w:firstLine="560" w:firstLineChars="200"/>
        <w:rPr>
          <w:rFonts w:ascii="宋体"/>
          <w:sz w:val="28"/>
          <w:szCs w:val="28"/>
        </w:rPr>
      </w:pPr>
      <w:r>
        <w:rPr>
          <w:rFonts w:hint="eastAsia" w:ascii="宋体" w:hAnsi="宋体"/>
          <w:sz w:val="28"/>
          <w:szCs w:val="28"/>
        </w:rPr>
        <w:t>2.主要增资条件：</w:t>
      </w:r>
    </w:p>
    <w:p>
      <w:pPr>
        <w:spacing w:line="480" w:lineRule="atLeast"/>
        <w:ind w:right="105" w:rightChars="50" w:firstLine="560" w:firstLineChars="200"/>
        <w:jc w:val="left"/>
        <w:rPr>
          <w:rFonts w:ascii="宋体" w:hAnsi="宋体"/>
          <w:sz w:val="28"/>
          <w:szCs w:val="28"/>
        </w:rPr>
      </w:pPr>
      <w:r>
        <w:rPr>
          <w:rFonts w:hint="eastAsia" w:ascii="宋体" w:hAnsi="宋体"/>
          <w:sz w:val="28"/>
          <w:szCs w:val="28"/>
        </w:rPr>
        <w:t>（1）本次增资标的为浙江海正动物保健品有限公司新增18,000,000股，每股</w:t>
      </w:r>
      <w:r>
        <w:rPr>
          <w:rFonts w:ascii="宋体" w:hAnsi="宋体"/>
          <w:sz w:val="28"/>
          <w:szCs w:val="28"/>
        </w:rPr>
        <w:t>价格</w:t>
      </w:r>
      <w:r>
        <w:rPr>
          <w:rFonts w:hint="eastAsia" w:ascii="宋体" w:hAnsi="宋体"/>
          <w:sz w:val="28"/>
          <w:szCs w:val="28"/>
        </w:rPr>
        <w:t>为不低于</w:t>
      </w:r>
      <w:r>
        <w:rPr>
          <w:rFonts w:ascii="宋体" w:hAnsi="宋体"/>
          <w:sz w:val="28"/>
          <w:szCs w:val="28"/>
        </w:rPr>
        <w:t>2</w:t>
      </w:r>
      <w:r>
        <w:rPr>
          <w:rFonts w:hint="eastAsia" w:ascii="宋体" w:hAnsi="宋体"/>
          <w:sz w:val="28"/>
          <w:szCs w:val="28"/>
        </w:rPr>
        <w:t>.5元人民币。</w:t>
      </w:r>
    </w:p>
    <w:p>
      <w:pPr>
        <w:spacing w:line="480" w:lineRule="atLeast"/>
        <w:ind w:right="105" w:rightChars="50" w:firstLine="560" w:firstLineChars="200"/>
        <w:jc w:val="left"/>
        <w:rPr>
          <w:rFonts w:ascii="宋体" w:hAnsi="宋体"/>
          <w:sz w:val="28"/>
          <w:szCs w:val="28"/>
        </w:rPr>
      </w:pPr>
      <w:r>
        <w:rPr>
          <w:rFonts w:hint="eastAsia" w:ascii="宋体" w:hAnsi="宋体"/>
          <w:sz w:val="28"/>
          <w:szCs w:val="28"/>
        </w:rPr>
        <w:t>（2）投资方认购资金不低于</w:t>
      </w:r>
      <w:r>
        <w:rPr>
          <w:rFonts w:ascii="宋体" w:hAnsi="宋体"/>
          <w:sz w:val="28"/>
          <w:szCs w:val="28"/>
        </w:rPr>
        <w:t>45,000,000.00</w:t>
      </w:r>
      <w:r>
        <w:rPr>
          <w:rFonts w:hint="eastAsia" w:ascii="宋体" w:hAnsi="宋体"/>
          <w:sz w:val="28"/>
          <w:szCs w:val="28"/>
        </w:rPr>
        <w:t>元人民币。</w:t>
      </w:r>
    </w:p>
    <w:p>
      <w:pPr>
        <w:spacing w:line="480" w:lineRule="atLeast"/>
        <w:ind w:right="105" w:rightChars="50" w:firstLine="560" w:firstLineChars="200"/>
        <w:jc w:val="left"/>
        <w:rPr>
          <w:rFonts w:ascii="宋体" w:hAnsi="宋体"/>
          <w:sz w:val="28"/>
          <w:szCs w:val="28"/>
        </w:rPr>
      </w:pPr>
      <w:r>
        <w:rPr>
          <w:rFonts w:hint="eastAsia" w:ascii="宋体" w:hAnsi="宋体"/>
          <w:sz w:val="28"/>
          <w:szCs w:val="28"/>
        </w:rPr>
        <w:t>（3）浙江海正动物保健品有限公司将实行员工持股计划，员工持股平台同步增资2</w:t>
      </w:r>
      <w:r>
        <w:rPr>
          <w:rFonts w:ascii="宋体" w:hAnsi="宋体"/>
          <w:sz w:val="28"/>
          <w:szCs w:val="28"/>
        </w:rPr>
        <w:t>2</w:t>
      </w:r>
      <w:r>
        <w:rPr>
          <w:rFonts w:hint="eastAsia" w:ascii="宋体" w:hAnsi="宋体"/>
          <w:sz w:val="28"/>
          <w:szCs w:val="28"/>
        </w:rPr>
        <w:t>，0</w:t>
      </w:r>
      <w:r>
        <w:rPr>
          <w:rFonts w:ascii="宋体" w:hAnsi="宋体"/>
          <w:sz w:val="28"/>
          <w:szCs w:val="28"/>
        </w:rPr>
        <w:t>00</w:t>
      </w:r>
      <w:r>
        <w:rPr>
          <w:rFonts w:hint="eastAsia" w:ascii="宋体" w:hAnsi="宋体"/>
          <w:sz w:val="28"/>
          <w:szCs w:val="28"/>
        </w:rPr>
        <w:t>，0</w:t>
      </w:r>
      <w:r>
        <w:rPr>
          <w:rFonts w:ascii="宋体" w:hAnsi="宋体"/>
          <w:sz w:val="28"/>
          <w:szCs w:val="28"/>
        </w:rPr>
        <w:t>00</w:t>
      </w:r>
      <w:r>
        <w:rPr>
          <w:rFonts w:hint="eastAsia" w:ascii="宋体" w:hAnsi="宋体"/>
          <w:sz w:val="28"/>
          <w:szCs w:val="28"/>
        </w:rPr>
        <w:t>股，增资认购价格为本次挂牌成交价。</w:t>
      </w:r>
    </w:p>
    <w:p>
      <w:pPr>
        <w:numPr>
          <w:ilvl w:val="255"/>
          <w:numId w:val="0"/>
        </w:numPr>
        <w:spacing w:line="500" w:lineRule="atLeast"/>
        <w:ind w:firstLine="560" w:firstLineChars="200"/>
        <w:rPr>
          <w:rFonts w:ascii="宋体" w:hAnsi="宋体"/>
          <w:sz w:val="28"/>
          <w:szCs w:val="28"/>
        </w:rPr>
      </w:pPr>
      <w:r>
        <w:rPr>
          <w:rFonts w:ascii="宋体" w:hAnsi="宋体"/>
          <w:sz w:val="28"/>
          <w:szCs w:val="28"/>
        </w:rPr>
        <w:t>3.</w:t>
      </w:r>
      <w:r>
        <w:rPr>
          <w:rFonts w:hint="eastAsia" w:ascii="宋体" w:hAnsi="宋体"/>
          <w:sz w:val="28"/>
          <w:szCs w:val="28"/>
        </w:rPr>
        <w:t>报名主体条件：</w:t>
      </w:r>
    </w:p>
    <w:p>
      <w:pPr>
        <w:numPr>
          <w:ilvl w:val="255"/>
          <w:numId w:val="0"/>
        </w:numPr>
        <w:suppressAutoHyphens/>
        <w:spacing w:line="480" w:lineRule="atLeast"/>
        <w:ind w:right="105" w:rightChars="50" w:firstLine="560" w:firstLineChars="200"/>
        <w:jc w:val="left"/>
        <w:rPr>
          <w:rFonts w:ascii="宋体" w:hAnsi="宋体"/>
          <w:sz w:val="28"/>
          <w:szCs w:val="28"/>
        </w:rPr>
      </w:pPr>
      <w:r>
        <w:rPr>
          <w:rFonts w:hint="eastAsia" w:ascii="宋体" w:hAnsi="宋体"/>
          <w:sz w:val="28"/>
          <w:szCs w:val="28"/>
        </w:rPr>
        <w:t>（1）投资主体及其关联方不能与公司业务具有同业竞争；</w:t>
      </w:r>
    </w:p>
    <w:p>
      <w:pPr>
        <w:numPr>
          <w:ilvl w:val="255"/>
          <w:numId w:val="0"/>
        </w:numPr>
        <w:suppressAutoHyphens/>
        <w:spacing w:line="480" w:lineRule="atLeast"/>
        <w:ind w:right="105" w:rightChars="50" w:firstLine="560" w:firstLineChars="200"/>
        <w:jc w:val="left"/>
        <w:rPr>
          <w:rFonts w:ascii="宋体" w:hAnsi="宋体"/>
          <w:sz w:val="28"/>
          <w:szCs w:val="28"/>
        </w:rPr>
      </w:pPr>
      <w:r>
        <w:rPr>
          <w:rFonts w:hint="eastAsia" w:ascii="宋体" w:hAnsi="宋体"/>
          <w:sz w:val="28"/>
          <w:szCs w:val="28"/>
        </w:rPr>
        <w:t>（2）具有股权投资的能力和经验的机构（非个体），认同海正动保的发展战略和目标，与海正动保具有资源协同性；</w:t>
      </w:r>
    </w:p>
    <w:p>
      <w:pPr>
        <w:numPr>
          <w:ilvl w:val="255"/>
          <w:numId w:val="0"/>
        </w:numPr>
        <w:suppressAutoHyphens/>
        <w:spacing w:line="480" w:lineRule="atLeast"/>
        <w:ind w:right="105" w:rightChars="50" w:firstLine="560" w:firstLineChars="200"/>
        <w:jc w:val="left"/>
        <w:rPr>
          <w:rFonts w:ascii="宋体" w:hAnsi="宋体"/>
          <w:sz w:val="28"/>
          <w:szCs w:val="28"/>
        </w:rPr>
      </w:pPr>
      <w:r>
        <w:rPr>
          <w:rFonts w:hint="eastAsia" w:ascii="宋体" w:hAnsi="宋体"/>
          <w:sz w:val="28"/>
          <w:szCs w:val="28"/>
        </w:rPr>
        <w:t>（3）充分理解国有企业发展的特殊性，能严格遵守国有资本监管的相关规定，投资人的股东中国有企业或国有控股企业持股比例合计不低于50%；</w:t>
      </w:r>
    </w:p>
    <w:p>
      <w:pPr>
        <w:numPr>
          <w:ilvl w:val="255"/>
          <w:numId w:val="0"/>
        </w:numPr>
        <w:suppressAutoHyphens/>
        <w:spacing w:line="480" w:lineRule="atLeast"/>
        <w:ind w:right="105" w:rightChars="50" w:firstLine="560" w:firstLineChars="200"/>
        <w:jc w:val="left"/>
        <w:rPr>
          <w:rFonts w:ascii="宋体" w:hAnsi="宋体"/>
          <w:sz w:val="28"/>
          <w:szCs w:val="28"/>
        </w:rPr>
      </w:pPr>
      <w:r>
        <w:rPr>
          <w:rFonts w:hint="eastAsia" w:ascii="宋体" w:hAnsi="宋体"/>
          <w:sz w:val="28"/>
          <w:szCs w:val="28"/>
        </w:rPr>
        <w:t>（4）本项目接受联合体参加竞买，联合体中投资方不超过3个独立主体（非自然人），至少有一方为近三年清科或者投中排名前30的专业投资机构；</w:t>
      </w:r>
    </w:p>
    <w:p>
      <w:pPr>
        <w:numPr>
          <w:ilvl w:val="255"/>
          <w:numId w:val="0"/>
        </w:numPr>
        <w:suppressAutoHyphens/>
        <w:spacing w:line="480" w:lineRule="atLeast"/>
        <w:ind w:right="105" w:rightChars="50" w:firstLine="560" w:firstLineChars="200"/>
        <w:jc w:val="left"/>
        <w:rPr>
          <w:rFonts w:ascii="宋体" w:hAnsi="宋体"/>
          <w:sz w:val="28"/>
          <w:szCs w:val="28"/>
        </w:rPr>
      </w:pPr>
      <w:r>
        <w:rPr>
          <w:rFonts w:hint="eastAsia" w:ascii="宋体" w:hAnsi="宋体"/>
          <w:sz w:val="28"/>
          <w:szCs w:val="28"/>
        </w:rPr>
        <w:t>（5）具备单项目投资金额达到或超过4500万元人民币的意愿及资金证明。</w:t>
      </w:r>
    </w:p>
    <w:p>
      <w:pPr>
        <w:numPr>
          <w:ilvl w:val="255"/>
          <w:numId w:val="0"/>
        </w:numPr>
        <w:spacing w:line="480" w:lineRule="atLeast"/>
        <w:ind w:right="105" w:rightChars="50" w:firstLine="560" w:firstLineChars="200"/>
        <w:jc w:val="left"/>
        <w:rPr>
          <w:rFonts w:ascii="宋体" w:hAnsi="宋体"/>
          <w:sz w:val="28"/>
          <w:szCs w:val="28"/>
        </w:rPr>
      </w:pPr>
      <w:r>
        <w:rPr>
          <w:rFonts w:hint="eastAsia" w:ascii="宋体" w:hAnsi="宋体"/>
          <w:sz w:val="28"/>
          <w:szCs w:val="28"/>
        </w:rPr>
        <w:t>4.递交保证金：报名时交纳13,500,000.00元人民币竞买保证金，意向投资方应在报名截止时间前将保证金汇入组织人指定账户。</w:t>
      </w:r>
    </w:p>
    <w:p>
      <w:pPr>
        <w:numPr>
          <w:ilvl w:val="255"/>
          <w:numId w:val="0"/>
        </w:numPr>
        <w:spacing w:line="480" w:lineRule="atLeast"/>
        <w:ind w:right="105" w:rightChars="50" w:firstLine="560" w:firstLineChars="200"/>
        <w:jc w:val="left"/>
        <w:rPr>
          <w:rFonts w:ascii="宋体" w:hAnsi="宋体"/>
          <w:sz w:val="28"/>
          <w:szCs w:val="28"/>
        </w:rPr>
      </w:pPr>
      <w:r>
        <w:rPr>
          <w:rFonts w:ascii="宋体" w:hAnsi="宋体"/>
          <w:sz w:val="28"/>
          <w:szCs w:val="28"/>
        </w:rPr>
        <w:t>5.确定投资方：依据本增资文件的规定，每股价格为不低于2.5元人民币的基础上，多次网络竞价，价高者得（具体详见网络竞价规则）。</w:t>
      </w:r>
    </w:p>
    <w:p>
      <w:pPr>
        <w:numPr>
          <w:ilvl w:val="255"/>
          <w:numId w:val="0"/>
        </w:numPr>
        <w:spacing w:line="480" w:lineRule="atLeast"/>
        <w:ind w:right="105" w:rightChars="50" w:firstLine="560" w:firstLineChars="200"/>
        <w:jc w:val="left"/>
        <w:rPr>
          <w:rFonts w:ascii="宋体" w:hAnsi="宋体"/>
          <w:sz w:val="28"/>
          <w:szCs w:val="28"/>
        </w:rPr>
      </w:pPr>
      <w:r>
        <w:rPr>
          <w:rFonts w:ascii="宋体" w:hAnsi="宋体"/>
          <w:sz w:val="28"/>
          <w:szCs w:val="28"/>
        </w:rPr>
        <w:t>6.签署</w:t>
      </w:r>
      <w:r>
        <w:rPr>
          <w:rFonts w:hint="eastAsia" w:ascii="宋体" w:hAnsi="宋体"/>
          <w:sz w:val="28"/>
          <w:szCs w:val="28"/>
        </w:rPr>
        <w:t>增资扩股协议</w:t>
      </w:r>
      <w:r>
        <w:rPr>
          <w:rFonts w:ascii="宋体" w:hAnsi="宋体"/>
          <w:sz w:val="28"/>
          <w:szCs w:val="28"/>
        </w:rPr>
        <w:t>：申请方、投资方</w:t>
      </w:r>
      <w:r>
        <w:rPr>
          <w:rFonts w:hint="eastAsia" w:ascii="宋体" w:hAnsi="宋体"/>
          <w:sz w:val="28"/>
          <w:szCs w:val="28"/>
        </w:rPr>
        <w:t>、组织人签署《增资扩股协议》。</w:t>
      </w:r>
    </w:p>
    <w:p>
      <w:pPr>
        <w:numPr>
          <w:ilvl w:val="255"/>
          <w:numId w:val="0"/>
        </w:numPr>
        <w:spacing w:line="500" w:lineRule="atLeast"/>
        <w:ind w:firstLine="560" w:firstLineChars="200"/>
        <w:rPr>
          <w:rFonts w:ascii="宋体"/>
          <w:sz w:val="28"/>
          <w:szCs w:val="28"/>
        </w:rPr>
      </w:pPr>
      <w:r>
        <w:rPr>
          <w:rFonts w:hint="eastAsia" w:ascii="宋体" w:hAnsi="宋体"/>
          <w:sz w:val="28"/>
          <w:szCs w:val="28"/>
        </w:rPr>
        <w:t>7.时间安排：</w:t>
      </w:r>
    </w:p>
    <w:p>
      <w:pPr>
        <w:spacing w:line="500" w:lineRule="atLeast"/>
        <w:ind w:firstLine="560" w:firstLineChars="200"/>
        <w:rPr>
          <w:rFonts w:ascii="宋体" w:hAnsi="宋体"/>
          <w:sz w:val="28"/>
          <w:szCs w:val="28"/>
        </w:rPr>
      </w:pPr>
      <w:r>
        <w:rPr>
          <w:rFonts w:hint="eastAsia" w:ascii="宋体" w:hAnsi="宋体"/>
          <w:sz w:val="28"/>
          <w:szCs w:val="28"/>
        </w:rPr>
        <w:t>（</w:t>
      </w:r>
      <w:r>
        <w:rPr>
          <w:rFonts w:ascii="宋体" w:hAnsi="宋体"/>
          <w:sz w:val="28"/>
          <w:szCs w:val="28"/>
        </w:rPr>
        <w:t>1</w:t>
      </w:r>
      <w:r>
        <w:rPr>
          <w:rFonts w:hint="eastAsia" w:ascii="宋体" w:hAnsi="宋体"/>
          <w:sz w:val="28"/>
          <w:szCs w:val="28"/>
        </w:rPr>
        <w:t>）报名：凡报名者企业法人须持营业执照（或者其他注册证明文件）复印件、</w:t>
      </w:r>
      <w:r>
        <w:rPr>
          <w:rFonts w:hint="eastAsia" w:ascii="宋体" w:hAnsi="宋体"/>
          <w:bCs/>
          <w:sz w:val="28"/>
          <w:szCs w:val="28"/>
        </w:rPr>
        <w:t>《增资扩股投资申请书》、</w:t>
      </w:r>
      <w:r>
        <w:rPr>
          <w:rFonts w:hint="eastAsia" w:ascii="宋体" w:hAnsi="宋体"/>
          <w:sz w:val="28"/>
          <w:szCs w:val="28"/>
        </w:rPr>
        <w:t>法人代表身份证、（委托书与身份证、受托人身份证）、公司章程、相关决议、</w:t>
      </w:r>
      <w:r>
        <w:rPr>
          <w:rFonts w:hint="eastAsia" w:ascii="宋体" w:hAnsi="宋体"/>
          <w:bCs/>
          <w:sz w:val="28"/>
          <w:szCs w:val="28"/>
        </w:rPr>
        <w:t>本公告中对</w:t>
      </w:r>
      <w:r>
        <w:rPr>
          <w:rFonts w:hint="eastAsia" w:ascii="宋体" w:hAnsi="宋体"/>
          <w:sz w:val="28"/>
          <w:szCs w:val="28"/>
        </w:rPr>
        <w:t>投资方条件要求的相关材料。符合条件的意向投资方应在报名截止时间前向组织人递交全部报名材料（日常办理时间：工作日上午</w:t>
      </w:r>
      <w:r>
        <w:rPr>
          <w:rFonts w:ascii="宋体" w:hAnsi="宋体"/>
          <w:sz w:val="28"/>
          <w:szCs w:val="28"/>
        </w:rPr>
        <w:t>8</w:t>
      </w:r>
      <w:r>
        <w:rPr>
          <w:rFonts w:hint="eastAsia" w:ascii="宋体" w:hAnsi="宋体"/>
          <w:sz w:val="28"/>
          <w:szCs w:val="28"/>
        </w:rPr>
        <w:t>：</w:t>
      </w:r>
      <w:r>
        <w:rPr>
          <w:rFonts w:ascii="宋体" w:hAnsi="宋体"/>
          <w:sz w:val="28"/>
          <w:szCs w:val="28"/>
        </w:rPr>
        <w:t>30</w:t>
      </w:r>
      <w:r>
        <w:rPr>
          <w:rFonts w:hint="eastAsia" w:ascii="宋体" w:hAnsi="宋体"/>
          <w:sz w:val="28"/>
          <w:szCs w:val="28"/>
        </w:rPr>
        <w:t>－</w:t>
      </w:r>
      <w:r>
        <w:rPr>
          <w:rFonts w:ascii="宋体" w:hAnsi="宋体"/>
          <w:sz w:val="28"/>
          <w:szCs w:val="28"/>
        </w:rPr>
        <w:t>11</w:t>
      </w:r>
      <w:r>
        <w:rPr>
          <w:rFonts w:hint="eastAsia" w:ascii="宋体" w:hAnsi="宋体"/>
          <w:sz w:val="28"/>
          <w:szCs w:val="28"/>
        </w:rPr>
        <w:t>：</w:t>
      </w:r>
      <w:r>
        <w:rPr>
          <w:rFonts w:ascii="宋体" w:hAnsi="宋体"/>
          <w:sz w:val="28"/>
          <w:szCs w:val="28"/>
        </w:rPr>
        <w:t>30</w:t>
      </w:r>
      <w:r>
        <w:rPr>
          <w:rFonts w:hint="eastAsia" w:ascii="宋体" w:hAnsi="宋体"/>
          <w:sz w:val="28"/>
          <w:szCs w:val="28"/>
        </w:rPr>
        <w:t>，下午</w:t>
      </w:r>
      <w:r>
        <w:rPr>
          <w:rFonts w:ascii="宋体" w:hAnsi="宋体"/>
          <w:sz w:val="28"/>
          <w:szCs w:val="28"/>
        </w:rPr>
        <w:t>14</w:t>
      </w:r>
      <w:r>
        <w:rPr>
          <w:rFonts w:hint="eastAsia" w:ascii="宋体" w:hAnsi="宋体"/>
          <w:sz w:val="28"/>
          <w:szCs w:val="28"/>
        </w:rPr>
        <w:t>：</w:t>
      </w:r>
      <w:r>
        <w:rPr>
          <w:rFonts w:ascii="宋体" w:hAnsi="宋体"/>
          <w:sz w:val="28"/>
          <w:szCs w:val="28"/>
        </w:rPr>
        <w:t>00</w:t>
      </w:r>
      <w:r>
        <w:rPr>
          <w:rFonts w:hint="eastAsia" w:ascii="宋体" w:hAnsi="宋体"/>
          <w:sz w:val="28"/>
          <w:szCs w:val="28"/>
        </w:rPr>
        <w:t>－16</w:t>
      </w:r>
      <w:r>
        <w:rPr>
          <w:rFonts w:ascii="宋体" w:hAnsi="宋体"/>
          <w:sz w:val="28"/>
          <w:szCs w:val="28"/>
        </w:rPr>
        <w:t>：</w:t>
      </w:r>
      <w:r>
        <w:rPr>
          <w:rFonts w:hint="eastAsia" w:ascii="宋体" w:hAnsi="宋体"/>
          <w:sz w:val="28"/>
          <w:szCs w:val="28"/>
        </w:rPr>
        <w:t>00，地点：台州市府大道</w:t>
      </w:r>
      <w:r>
        <w:rPr>
          <w:rFonts w:ascii="宋体" w:hAnsi="宋体"/>
          <w:sz w:val="28"/>
          <w:szCs w:val="28"/>
        </w:rPr>
        <w:t>777</w:t>
      </w:r>
      <w:r>
        <w:rPr>
          <w:rFonts w:hint="eastAsia" w:ascii="宋体" w:hAnsi="宋体"/>
          <w:sz w:val="28"/>
          <w:szCs w:val="28"/>
        </w:rPr>
        <w:t>号浙江民泰商业银行五楼</w:t>
      </w:r>
      <w:r>
        <w:rPr>
          <w:rFonts w:ascii="宋体" w:hAnsi="宋体"/>
          <w:sz w:val="28"/>
          <w:szCs w:val="28"/>
        </w:rPr>
        <w:t>511室</w:t>
      </w:r>
      <w:r>
        <w:rPr>
          <w:rFonts w:hint="eastAsia" w:ascii="宋体" w:hAnsi="宋体"/>
          <w:sz w:val="28"/>
          <w:szCs w:val="28"/>
        </w:rPr>
        <w:t>），逾期无效。组织人在收到递交全部报名材料后，办理报名登记手续。</w:t>
      </w:r>
    </w:p>
    <w:p>
      <w:pPr>
        <w:spacing w:line="360" w:lineRule="auto"/>
        <w:ind w:firstLine="560"/>
        <w:rPr>
          <w:rFonts w:ascii="宋体" w:hAnsi="宋体"/>
          <w:sz w:val="28"/>
          <w:szCs w:val="28"/>
        </w:rPr>
      </w:pPr>
      <w:r>
        <w:rPr>
          <w:rFonts w:hint="eastAsia" w:ascii="宋体" w:hAnsi="宋体"/>
          <w:sz w:val="28"/>
          <w:szCs w:val="28"/>
        </w:rPr>
        <w:t>（</w:t>
      </w:r>
      <w:r>
        <w:rPr>
          <w:rFonts w:ascii="宋体" w:hAnsi="宋体"/>
          <w:sz w:val="28"/>
          <w:szCs w:val="28"/>
        </w:rPr>
        <w:t>2</w:t>
      </w:r>
      <w:r>
        <w:rPr>
          <w:rFonts w:hint="eastAsia" w:ascii="宋体" w:hAnsi="宋体"/>
          <w:sz w:val="28"/>
          <w:szCs w:val="28"/>
        </w:rPr>
        <w:t>）递交保证金：意向投资方应按增资文件规定的时间和要求提交保证金，增资扩股协议签订后，意向投资方先期汇入的</w:t>
      </w:r>
      <w:r>
        <w:rPr>
          <w:rFonts w:hint="eastAsia" w:ascii="宋体" w:hAnsi="宋体" w:cs="Tahoma"/>
          <w:bCs/>
          <w:kern w:val="0"/>
          <w:sz w:val="28"/>
          <w:szCs w:val="28"/>
        </w:rPr>
        <w:t>1</w:t>
      </w:r>
      <w:r>
        <w:rPr>
          <w:rFonts w:ascii="宋体" w:hAnsi="宋体" w:cs="Tahoma"/>
          <w:bCs/>
          <w:kern w:val="0"/>
          <w:sz w:val="28"/>
          <w:szCs w:val="28"/>
        </w:rPr>
        <w:t>3</w:t>
      </w:r>
      <w:r>
        <w:rPr>
          <w:rFonts w:hint="eastAsia" w:ascii="宋体" w:hAnsi="宋体" w:cs="Tahoma"/>
          <w:bCs/>
          <w:kern w:val="0"/>
          <w:sz w:val="28"/>
          <w:szCs w:val="28"/>
        </w:rPr>
        <w:t>,</w:t>
      </w:r>
      <w:r>
        <w:rPr>
          <w:rFonts w:ascii="宋体" w:hAnsi="宋体" w:cs="Tahoma"/>
          <w:bCs/>
          <w:kern w:val="0"/>
          <w:sz w:val="28"/>
          <w:szCs w:val="28"/>
        </w:rPr>
        <w:t>5</w:t>
      </w:r>
      <w:r>
        <w:rPr>
          <w:rFonts w:hint="eastAsia" w:ascii="宋体" w:hAnsi="宋体" w:cs="Tahoma"/>
          <w:bCs/>
          <w:kern w:val="0"/>
          <w:sz w:val="28"/>
          <w:szCs w:val="28"/>
        </w:rPr>
        <w:t>00,000.00元</w:t>
      </w:r>
      <w:r>
        <w:rPr>
          <w:rFonts w:hint="eastAsia" w:ascii="宋体" w:hAnsi="宋体"/>
          <w:sz w:val="28"/>
          <w:szCs w:val="28"/>
        </w:rPr>
        <w:t>竞买保证金转作部分增资款。</w:t>
      </w:r>
    </w:p>
    <w:p>
      <w:pPr>
        <w:spacing w:line="360" w:lineRule="auto"/>
        <w:ind w:firstLine="560"/>
        <w:rPr>
          <w:rFonts w:ascii="宋体"/>
          <w:sz w:val="28"/>
          <w:szCs w:val="28"/>
        </w:rPr>
      </w:pPr>
      <w:r>
        <w:rPr>
          <w:rFonts w:ascii="宋体" w:hAnsi="宋体"/>
          <w:sz w:val="28"/>
          <w:szCs w:val="28"/>
        </w:rPr>
        <w:t>(3)</w:t>
      </w:r>
      <w:r>
        <w:rPr>
          <w:rFonts w:hint="eastAsia" w:ascii="宋体" w:hAnsi="宋体"/>
          <w:sz w:val="28"/>
          <w:szCs w:val="28"/>
        </w:rPr>
        <w:t>签署增资扩股协议：根据本增资文件的约定，</w:t>
      </w:r>
      <w:r>
        <w:rPr>
          <w:rFonts w:hint="eastAsia" w:ascii="宋体" w:hAnsi="宋体"/>
          <w:sz w:val="28"/>
          <w:szCs w:val="28"/>
          <w:lang w:val="en-US" w:eastAsia="zh-CN"/>
        </w:rPr>
        <w:t>竞价成功后二个工作日</w:t>
      </w:r>
      <w:r>
        <w:rPr>
          <w:rFonts w:hint="eastAsia" w:ascii="宋体" w:hAnsi="宋体"/>
          <w:sz w:val="28"/>
          <w:szCs w:val="28"/>
        </w:rPr>
        <w:t>内签订《增资确认书》，并</w:t>
      </w:r>
      <w:r>
        <w:rPr>
          <w:rFonts w:ascii="宋体" w:hAnsi="宋体"/>
          <w:sz w:val="28"/>
          <w:szCs w:val="28"/>
        </w:rPr>
        <w:t>于《增资确认书》</w:t>
      </w:r>
      <w:r>
        <w:rPr>
          <w:rFonts w:hint="eastAsia" w:ascii="宋体" w:hAnsi="宋体"/>
          <w:sz w:val="28"/>
          <w:szCs w:val="28"/>
        </w:rPr>
        <w:t>签署后</w:t>
      </w:r>
      <w:r>
        <w:rPr>
          <w:rFonts w:hint="eastAsia" w:ascii="宋体" w:hAnsi="宋体"/>
          <w:sz w:val="28"/>
          <w:szCs w:val="28"/>
          <w:lang w:val="en-US" w:eastAsia="zh-CN"/>
        </w:rPr>
        <w:t>二个工作日</w:t>
      </w:r>
      <w:r>
        <w:rPr>
          <w:rFonts w:hint="eastAsia" w:ascii="宋体" w:hAnsi="宋体"/>
          <w:sz w:val="28"/>
          <w:szCs w:val="28"/>
        </w:rPr>
        <w:t>内由组织人、投资方、融资方共同签署《增资扩股协议》。</w:t>
      </w:r>
    </w:p>
    <w:p>
      <w:pPr>
        <w:spacing w:line="360" w:lineRule="auto"/>
        <w:ind w:firstLine="560"/>
        <w:rPr>
          <w:rFonts w:ascii="宋体" w:hAnsi="宋体"/>
          <w:sz w:val="28"/>
          <w:szCs w:val="28"/>
        </w:rPr>
      </w:pPr>
      <w:r>
        <w:rPr>
          <w:rFonts w:hint="eastAsia" w:ascii="宋体" w:hAnsi="宋体"/>
          <w:sz w:val="28"/>
          <w:szCs w:val="28"/>
        </w:rPr>
        <w:t>8.付款方式：增资扩股协议签订后，投资方先期汇入的</w:t>
      </w:r>
      <w:r>
        <w:rPr>
          <w:rFonts w:hint="eastAsia" w:ascii="宋体" w:hAnsi="宋体" w:cs="Tahoma"/>
          <w:bCs/>
          <w:kern w:val="0"/>
          <w:sz w:val="28"/>
          <w:szCs w:val="28"/>
        </w:rPr>
        <w:t>1</w:t>
      </w:r>
      <w:r>
        <w:rPr>
          <w:rFonts w:ascii="宋体" w:hAnsi="宋体" w:cs="Tahoma"/>
          <w:bCs/>
          <w:kern w:val="0"/>
          <w:sz w:val="28"/>
          <w:szCs w:val="28"/>
        </w:rPr>
        <w:t>3</w:t>
      </w:r>
      <w:r>
        <w:rPr>
          <w:rFonts w:hint="eastAsia" w:ascii="宋体" w:hAnsi="宋体" w:cs="Tahoma"/>
          <w:bCs/>
          <w:kern w:val="0"/>
          <w:sz w:val="28"/>
          <w:szCs w:val="28"/>
        </w:rPr>
        <w:t>,</w:t>
      </w:r>
      <w:r>
        <w:rPr>
          <w:rFonts w:ascii="宋体" w:hAnsi="宋体" w:cs="Tahoma"/>
          <w:bCs/>
          <w:kern w:val="0"/>
          <w:sz w:val="28"/>
          <w:szCs w:val="28"/>
        </w:rPr>
        <w:t>5</w:t>
      </w:r>
      <w:r>
        <w:rPr>
          <w:rFonts w:hint="eastAsia" w:ascii="宋体" w:hAnsi="宋体" w:cs="Tahoma"/>
          <w:bCs/>
          <w:kern w:val="0"/>
          <w:sz w:val="28"/>
          <w:szCs w:val="28"/>
        </w:rPr>
        <w:t>00,000.00元人民币</w:t>
      </w:r>
      <w:r>
        <w:rPr>
          <w:rFonts w:hint="eastAsia" w:ascii="宋体" w:hAnsi="宋体"/>
          <w:sz w:val="28"/>
          <w:szCs w:val="28"/>
        </w:rPr>
        <w:t>竞买保证金应转作同额金额</w:t>
      </w:r>
      <w:r>
        <w:rPr>
          <w:rFonts w:ascii="宋体" w:hAnsi="宋体"/>
          <w:sz w:val="28"/>
          <w:szCs w:val="28"/>
        </w:rPr>
        <w:t>的</w:t>
      </w:r>
      <w:r>
        <w:rPr>
          <w:rFonts w:hint="eastAsia" w:ascii="宋体" w:hAnsi="宋体"/>
          <w:sz w:val="28"/>
          <w:szCs w:val="28"/>
        </w:rPr>
        <w:t>增资款，投资方应在</w:t>
      </w:r>
      <w:r>
        <w:rPr>
          <w:rFonts w:hint="eastAsia" w:ascii="宋体" w:hAnsi="宋体"/>
          <w:sz w:val="28"/>
          <w:szCs w:val="28"/>
          <w:lang w:eastAsia="zh-CN"/>
        </w:rPr>
        <w:t>《</w:t>
      </w:r>
      <w:r>
        <w:rPr>
          <w:rFonts w:hint="eastAsia" w:ascii="宋体" w:hAnsi="宋体"/>
          <w:sz w:val="28"/>
          <w:szCs w:val="28"/>
        </w:rPr>
        <w:t>增资扩股协议</w:t>
      </w:r>
      <w:r>
        <w:rPr>
          <w:rFonts w:hint="eastAsia" w:ascii="宋体" w:hAnsi="宋体"/>
          <w:sz w:val="28"/>
          <w:szCs w:val="28"/>
          <w:lang w:eastAsia="zh-CN"/>
        </w:rPr>
        <w:t>》</w:t>
      </w:r>
      <w:r>
        <w:rPr>
          <w:rFonts w:hint="eastAsia" w:ascii="宋体" w:hAnsi="宋体"/>
          <w:sz w:val="28"/>
          <w:szCs w:val="28"/>
        </w:rPr>
        <w:t>签署后</w:t>
      </w:r>
      <w:r>
        <w:rPr>
          <w:rFonts w:hint="eastAsia" w:ascii="宋体" w:hAnsi="宋体"/>
          <w:sz w:val="28"/>
          <w:szCs w:val="28"/>
          <w:lang w:eastAsia="zh-CN"/>
        </w:rPr>
        <w:t>五个工作日</w:t>
      </w:r>
      <w:r>
        <w:rPr>
          <w:rFonts w:hint="eastAsia" w:ascii="宋体" w:hAnsi="宋体"/>
          <w:sz w:val="28"/>
          <w:szCs w:val="28"/>
        </w:rPr>
        <w:t>内一次性支付全部剩余增资款和向台州市产权交易所有限公司支付金额为成交额</w:t>
      </w:r>
      <w:r>
        <w:rPr>
          <w:rFonts w:ascii="宋体"/>
          <w:sz w:val="28"/>
          <w:szCs w:val="28"/>
        </w:rPr>
        <w:t>0.</w:t>
      </w:r>
      <w:r>
        <w:rPr>
          <w:rFonts w:hint="eastAsia" w:ascii="宋体" w:hAnsi="宋体"/>
          <w:sz w:val="28"/>
          <w:szCs w:val="28"/>
        </w:rPr>
        <w:t>2</w:t>
      </w:r>
      <w:r>
        <w:rPr>
          <w:rFonts w:ascii="宋体" w:hAnsi="宋体"/>
          <w:sz w:val="28"/>
          <w:szCs w:val="28"/>
        </w:rPr>
        <w:t>%</w:t>
      </w:r>
      <w:r>
        <w:rPr>
          <w:rFonts w:hint="eastAsia" w:ascii="宋体" w:hAnsi="宋体"/>
          <w:sz w:val="28"/>
          <w:szCs w:val="28"/>
        </w:rPr>
        <w:t>的服务费。</w:t>
      </w:r>
    </w:p>
    <w:p>
      <w:pPr>
        <w:spacing w:line="360" w:lineRule="auto"/>
        <w:ind w:firstLine="560"/>
        <w:rPr>
          <w:rFonts w:ascii="宋体" w:hAnsi="宋体"/>
          <w:sz w:val="28"/>
          <w:szCs w:val="28"/>
        </w:rPr>
      </w:pPr>
      <w:r>
        <w:rPr>
          <w:rFonts w:hint="eastAsia" w:ascii="宋体" w:hAnsi="宋体"/>
          <w:sz w:val="28"/>
          <w:szCs w:val="28"/>
        </w:rPr>
        <w:t>上述款项汇入以下账户：开户单位：台州市产权交易所有限公司，</w:t>
      </w:r>
      <w:r>
        <w:rPr>
          <w:rFonts w:ascii="宋体" w:hAnsi="宋体"/>
          <w:sz w:val="28"/>
          <w:szCs w:val="28"/>
        </w:rPr>
        <w:t>开户行：浙江民泰商业银行</w:t>
      </w:r>
      <w:r>
        <w:rPr>
          <w:rFonts w:hint="eastAsia" w:ascii="宋体" w:hAnsi="宋体"/>
          <w:sz w:val="28"/>
          <w:szCs w:val="28"/>
        </w:rPr>
        <w:t>股份有限公司</w:t>
      </w:r>
      <w:r>
        <w:rPr>
          <w:rFonts w:ascii="宋体" w:hAnsi="宋体"/>
          <w:sz w:val="28"/>
          <w:szCs w:val="28"/>
        </w:rPr>
        <w:t>椒江</w:t>
      </w:r>
      <w:r>
        <w:rPr>
          <w:rFonts w:hint="eastAsia" w:ascii="宋体" w:hAnsi="宋体"/>
          <w:sz w:val="28"/>
          <w:szCs w:val="28"/>
        </w:rPr>
        <w:t>市府大道</w:t>
      </w:r>
      <w:r>
        <w:rPr>
          <w:rFonts w:ascii="宋体" w:hAnsi="宋体"/>
          <w:sz w:val="28"/>
          <w:szCs w:val="28"/>
        </w:rPr>
        <w:t>支行</w:t>
      </w:r>
      <w:r>
        <w:rPr>
          <w:rFonts w:hint="eastAsia" w:ascii="宋体" w:hAnsi="宋体"/>
          <w:sz w:val="28"/>
          <w:szCs w:val="28"/>
        </w:rPr>
        <w:t>，</w:t>
      </w:r>
      <w:r>
        <w:rPr>
          <w:rFonts w:ascii="宋体" w:hAnsi="宋体"/>
          <w:sz w:val="28"/>
          <w:szCs w:val="28"/>
        </w:rPr>
        <w:t>账号：5830</w:t>
      </w:r>
      <w:r>
        <w:rPr>
          <w:rFonts w:hint="eastAsia" w:ascii="宋体" w:hAnsi="宋体"/>
          <w:sz w:val="28"/>
          <w:szCs w:val="28"/>
        </w:rPr>
        <w:t>16</w:t>
      </w:r>
      <w:r>
        <w:rPr>
          <w:rFonts w:ascii="宋体" w:hAnsi="宋体"/>
          <w:sz w:val="28"/>
          <w:szCs w:val="28"/>
        </w:rPr>
        <w:t>260800028。</w:t>
      </w:r>
    </w:p>
    <w:p>
      <w:pPr>
        <w:spacing w:line="500" w:lineRule="atLeast"/>
        <w:ind w:firstLine="560" w:firstLineChars="200"/>
        <w:rPr>
          <w:rFonts w:ascii="宋体" w:hAnsi="宋体"/>
          <w:sz w:val="28"/>
          <w:szCs w:val="28"/>
        </w:rPr>
      </w:pPr>
      <w:r>
        <w:rPr>
          <w:rFonts w:hint="eastAsia" w:ascii="宋体" w:hAnsi="宋体"/>
          <w:bCs/>
          <w:sz w:val="28"/>
          <w:szCs w:val="28"/>
        </w:rPr>
        <w:t>（四）本次增资活动是在</w:t>
      </w:r>
      <w:r>
        <w:rPr>
          <w:rFonts w:hint="eastAsia" w:ascii="宋体" w:hAnsi="宋体"/>
          <w:sz w:val="28"/>
          <w:szCs w:val="28"/>
        </w:rPr>
        <w:t>公开、公平、公正、诚实信用的原则下进行的，一切活动都具备法律效力。</w:t>
      </w:r>
    </w:p>
    <w:p>
      <w:pPr>
        <w:spacing w:line="500" w:lineRule="atLeast"/>
        <w:ind w:firstLine="560" w:firstLineChars="200"/>
        <w:rPr>
          <w:rFonts w:ascii="宋体" w:hAnsi="宋体"/>
          <w:sz w:val="28"/>
          <w:szCs w:val="28"/>
        </w:rPr>
      </w:pPr>
      <w:r>
        <w:rPr>
          <w:rFonts w:hint="eastAsia" w:ascii="宋体" w:hAnsi="宋体"/>
          <w:sz w:val="28"/>
          <w:szCs w:val="28"/>
        </w:rPr>
        <w:t>（五）意向投资方应具备并接受本次公告或有关规定中注明的投资方条件，否则不得参与增资。</w:t>
      </w:r>
    </w:p>
    <w:p>
      <w:pPr>
        <w:spacing w:line="500" w:lineRule="atLeast"/>
        <w:ind w:firstLine="560" w:firstLineChars="200"/>
        <w:rPr>
          <w:rFonts w:ascii="宋体" w:hAnsi="宋体"/>
          <w:sz w:val="28"/>
          <w:szCs w:val="28"/>
        </w:rPr>
      </w:pPr>
      <w:r>
        <w:rPr>
          <w:rFonts w:hint="eastAsia" w:ascii="宋体" w:hAnsi="宋体"/>
          <w:sz w:val="28"/>
          <w:szCs w:val="28"/>
        </w:rPr>
        <w:t>（六）意向投资方在办理报名手续时应提交下列材料：1、《增资扩股申请书》及备注清单中的材料；2、组织人认为需要提交的其他文件或资料。</w:t>
      </w:r>
    </w:p>
    <w:p>
      <w:pPr>
        <w:spacing w:line="500" w:lineRule="atLeast"/>
        <w:ind w:firstLine="560" w:firstLineChars="200"/>
        <w:rPr>
          <w:rFonts w:ascii="宋体"/>
          <w:sz w:val="28"/>
          <w:szCs w:val="28"/>
        </w:rPr>
      </w:pPr>
      <w:r>
        <w:rPr>
          <w:rFonts w:hint="eastAsia" w:ascii="宋体" w:hAnsi="宋体"/>
          <w:sz w:val="28"/>
          <w:szCs w:val="28"/>
        </w:rPr>
        <w:t>（七）意向投资方在本项目挂牌期内，应认真阅读本增资文件。意向投资方有异议的，应在报名前提出。意向投资方完成报名手续后即表明已充分了解本项目的一切现状（包括瑕疵），接受本增资文件的全部内容和要求，并不以任何形式对本增资文件的内容提出异议。组织人不承担和担保标的品质和相关瑕疵等任何责任。投资方在网络报价竞得后，不得以事先未进行咨询等任何理由反悔，责任由投资方自负，组织人有权不予返还增资保证金。意向投资方在办理查询手续或报名登记手续后可以向组织人申请查阅标的的相关信息和材料。</w:t>
      </w:r>
    </w:p>
    <w:p>
      <w:pPr>
        <w:spacing w:line="500" w:lineRule="atLeast"/>
        <w:ind w:firstLine="560" w:firstLineChars="200"/>
        <w:rPr>
          <w:rFonts w:ascii="宋体"/>
          <w:sz w:val="28"/>
          <w:szCs w:val="28"/>
        </w:rPr>
      </w:pPr>
      <w:r>
        <w:rPr>
          <w:rFonts w:hint="eastAsia" w:ascii="宋体" w:hAnsi="宋体"/>
          <w:sz w:val="28"/>
          <w:szCs w:val="28"/>
        </w:rPr>
        <w:t>（八）意向投资方递交全部报名材料并交纳全部增资保证金后获得参与增资活动的资格；逾期未交纳的，视为放弃投资。</w:t>
      </w:r>
    </w:p>
    <w:p>
      <w:pPr>
        <w:spacing w:line="500" w:lineRule="atLeast"/>
        <w:ind w:firstLine="560" w:firstLineChars="200"/>
        <w:rPr>
          <w:rFonts w:ascii="宋体" w:hAnsi="宋体"/>
          <w:sz w:val="28"/>
          <w:szCs w:val="28"/>
        </w:rPr>
      </w:pPr>
      <w:r>
        <w:rPr>
          <w:rFonts w:hint="eastAsia" w:ascii="宋体" w:hAnsi="宋体"/>
          <w:sz w:val="28"/>
          <w:szCs w:val="28"/>
        </w:rPr>
        <w:t>（九）本项目采取多次网络竞价，价高者得的方式。</w:t>
      </w:r>
    </w:p>
    <w:p>
      <w:pPr>
        <w:spacing w:line="500" w:lineRule="atLeast"/>
        <w:ind w:firstLine="560" w:firstLineChars="200"/>
        <w:rPr>
          <w:rFonts w:ascii="宋体" w:hAnsi="宋体"/>
          <w:sz w:val="28"/>
          <w:szCs w:val="28"/>
        </w:rPr>
      </w:pPr>
      <w:r>
        <w:rPr>
          <w:rFonts w:hint="eastAsia" w:ascii="宋体" w:hAnsi="宋体"/>
          <w:sz w:val="28"/>
          <w:szCs w:val="28"/>
        </w:rPr>
        <w:t>（十）出现下列情形意向投资方保证金可在</w:t>
      </w:r>
      <w:r>
        <w:rPr>
          <w:rFonts w:hint="eastAsia" w:ascii="宋体" w:hAnsi="宋体"/>
          <w:sz w:val="28"/>
          <w:szCs w:val="28"/>
          <w:lang w:val="en-US" w:eastAsia="zh-CN"/>
        </w:rPr>
        <w:t>五个工作日</w:t>
      </w:r>
      <w:r>
        <w:rPr>
          <w:rFonts w:hint="eastAsia" w:ascii="宋体" w:hAnsi="宋体"/>
          <w:sz w:val="28"/>
          <w:szCs w:val="28"/>
        </w:rPr>
        <w:t>内退还（不计息）：</w:t>
      </w:r>
    </w:p>
    <w:p>
      <w:pPr>
        <w:spacing w:line="500" w:lineRule="atLeast"/>
        <w:ind w:firstLine="560" w:firstLineChars="200"/>
        <w:rPr>
          <w:rFonts w:ascii="宋体" w:hAnsi="宋体"/>
          <w:sz w:val="28"/>
          <w:szCs w:val="28"/>
        </w:rPr>
      </w:pPr>
      <w:r>
        <w:rPr>
          <w:rFonts w:hint="eastAsia" w:ascii="宋体" w:hAnsi="宋体"/>
          <w:sz w:val="28"/>
          <w:szCs w:val="28"/>
        </w:rPr>
        <w:t>（</w:t>
      </w:r>
      <w:r>
        <w:rPr>
          <w:rFonts w:ascii="宋体" w:hAnsi="宋体"/>
          <w:sz w:val="28"/>
          <w:szCs w:val="28"/>
        </w:rPr>
        <w:t>1</w:t>
      </w:r>
      <w:r>
        <w:rPr>
          <w:rFonts w:hint="eastAsia" w:ascii="宋体" w:hAnsi="宋体"/>
          <w:sz w:val="28"/>
          <w:szCs w:val="28"/>
        </w:rPr>
        <w:t>）参加竞价并应价但未能竞得标的者；</w:t>
      </w:r>
    </w:p>
    <w:p>
      <w:pPr>
        <w:spacing w:line="500" w:lineRule="atLeast"/>
        <w:ind w:firstLine="560" w:firstLineChars="200"/>
        <w:rPr>
          <w:rFonts w:ascii="宋体" w:hAnsi="宋体"/>
          <w:sz w:val="28"/>
          <w:szCs w:val="28"/>
        </w:rPr>
      </w:pPr>
      <w:r>
        <w:rPr>
          <w:rFonts w:hint="eastAsia" w:ascii="宋体" w:hAnsi="宋体"/>
          <w:sz w:val="28"/>
          <w:szCs w:val="28"/>
        </w:rPr>
        <w:t>（2）竞价前，因政策等正当理由取消竞价的。</w:t>
      </w:r>
    </w:p>
    <w:p>
      <w:pPr>
        <w:spacing w:line="500" w:lineRule="atLeast"/>
        <w:ind w:firstLine="560" w:firstLineChars="200"/>
        <w:rPr>
          <w:rFonts w:ascii="宋体" w:hAnsi="宋体"/>
          <w:sz w:val="28"/>
          <w:szCs w:val="28"/>
        </w:rPr>
      </w:pPr>
      <w:r>
        <w:rPr>
          <w:rFonts w:hint="eastAsia" w:ascii="宋体" w:hAnsi="宋体"/>
          <w:sz w:val="28"/>
          <w:szCs w:val="28"/>
        </w:rPr>
        <w:t>（十一）出现下列情形意向投资方保证金不予退还：</w:t>
      </w:r>
    </w:p>
    <w:p>
      <w:pPr>
        <w:spacing w:line="500" w:lineRule="atLeast"/>
        <w:ind w:firstLine="560" w:firstLineChars="200"/>
        <w:rPr>
          <w:rFonts w:ascii="宋体" w:hAnsi="宋体"/>
          <w:sz w:val="28"/>
          <w:szCs w:val="28"/>
        </w:rPr>
      </w:pPr>
      <w:r>
        <w:rPr>
          <w:rFonts w:hint="eastAsia" w:ascii="宋体" w:hAnsi="宋体"/>
          <w:sz w:val="28"/>
          <w:szCs w:val="28"/>
        </w:rPr>
        <w:t>（</w:t>
      </w:r>
      <w:r>
        <w:rPr>
          <w:rFonts w:ascii="宋体" w:hAnsi="宋体"/>
          <w:sz w:val="28"/>
          <w:szCs w:val="28"/>
        </w:rPr>
        <w:t>1）意向投资方存在不当行为，包括但不限于：提供的资料和信息存在虚假、不真实、不具有效力等情形</w:t>
      </w:r>
      <w:r>
        <w:rPr>
          <w:rFonts w:hint="eastAsia" w:ascii="宋体" w:hAnsi="宋体"/>
          <w:sz w:val="28"/>
          <w:szCs w:val="28"/>
        </w:rPr>
        <w:t>；</w:t>
      </w:r>
    </w:p>
    <w:p>
      <w:pPr>
        <w:spacing w:line="500" w:lineRule="atLeast"/>
        <w:ind w:firstLine="560" w:firstLineChars="200"/>
        <w:rPr>
          <w:rFonts w:ascii="宋体" w:hAnsi="宋体"/>
          <w:sz w:val="28"/>
          <w:szCs w:val="28"/>
        </w:rPr>
      </w:pPr>
      <w:r>
        <w:rPr>
          <w:rFonts w:hint="eastAsia" w:ascii="宋体" w:hAnsi="宋体"/>
          <w:sz w:val="28"/>
          <w:szCs w:val="28"/>
        </w:rPr>
        <w:t>（2</w:t>
      </w:r>
      <w:r>
        <w:rPr>
          <w:rFonts w:ascii="宋体" w:hAnsi="宋体"/>
          <w:sz w:val="28"/>
          <w:szCs w:val="28"/>
        </w:rPr>
        <w:t>）被确定为最终投资方后，未按期支付</w:t>
      </w:r>
      <w:r>
        <w:rPr>
          <w:rFonts w:hint="eastAsia" w:ascii="宋体" w:hAnsi="宋体"/>
          <w:sz w:val="28"/>
          <w:szCs w:val="28"/>
        </w:rPr>
        <w:t>增资款项的；</w:t>
      </w:r>
    </w:p>
    <w:p>
      <w:pPr>
        <w:spacing w:line="500" w:lineRule="atLeast"/>
        <w:ind w:firstLine="560" w:firstLineChars="200"/>
        <w:rPr>
          <w:rFonts w:ascii="宋体" w:hAnsi="宋体"/>
          <w:sz w:val="28"/>
          <w:szCs w:val="28"/>
        </w:rPr>
      </w:pPr>
      <w:r>
        <w:rPr>
          <w:rFonts w:hint="eastAsia" w:ascii="宋体" w:hAnsi="宋体"/>
          <w:sz w:val="28"/>
          <w:szCs w:val="28"/>
        </w:rPr>
        <w:t>（3</w:t>
      </w:r>
      <w:r>
        <w:rPr>
          <w:rFonts w:ascii="宋体" w:hAnsi="宋体"/>
          <w:sz w:val="28"/>
          <w:szCs w:val="28"/>
        </w:rPr>
        <w:t>）未按期与</w:t>
      </w:r>
      <w:r>
        <w:rPr>
          <w:rFonts w:hint="eastAsia" w:ascii="宋体" w:hAnsi="宋体"/>
          <w:sz w:val="28"/>
          <w:szCs w:val="28"/>
        </w:rPr>
        <w:t>组织人、申请人签订《增资确认书》和</w:t>
      </w:r>
      <w:r>
        <w:rPr>
          <w:rFonts w:hint="eastAsia" w:ascii="宋体" w:hAnsi="宋体"/>
          <w:sz w:val="28"/>
          <w:szCs w:val="28"/>
          <w:lang w:eastAsia="zh-CN"/>
        </w:rPr>
        <w:t>《</w:t>
      </w:r>
      <w:r>
        <w:rPr>
          <w:rFonts w:hint="eastAsia" w:ascii="宋体" w:hAnsi="宋体"/>
          <w:sz w:val="28"/>
          <w:szCs w:val="28"/>
        </w:rPr>
        <w:t>增资扩股协议</w:t>
      </w:r>
      <w:r>
        <w:rPr>
          <w:rFonts w:hint="eastAsia" w:ascii="宋体" w:hAnsi="宋体"/>
          <w:sz w:val="28"/>
          <w:szCs w:val="28"/>
          <w:lang w:eastAsia="zh-CN"/>
        </w:rPr>
        <w:t>》</w:t>
      </w:r>
      <w:r>
        <w:rPr>
          <w:rFonts w:hint="eastAsia" w:ascii="宋体" w:hAnsi="宋体"/>
          <w:sz w:val="28"/>
          <w:szCs w:val="28"/>
        </w:rPr>
        <w:t>的；</w:t>
      </w:r>
    </w:p>
    <w:p>
      <w:pPr>
        <w:spacing w:line="500" w:lineRule="atLeast"/>
        <w:ind w:firstLine="560" w:firstLineChars="200"/>
        <w:rPr>
          <w:rFonts w:ascii="宋体" w:hAnsi="宋体"/>
          <w:sz w:val="28"/>
          <w:szCs w:val="28"/>
        </w:rPr>
      </w:pPr>
      <w:r>
        <w:rPr>
          <w:rFonts w:hint="eastAsia" w:ascii="宋体" w:hAnsi="宋体"/>
          <w:sz w:val="28"/>
          <w:szCs w:val="28"/>
        </w:rPr>
        <w:t>（4</w:t>
      </w:r>
      <w:r>
        <w:rPr>
          <w:rFonts w:ascii="宋体" w:hAnsi="宋体"/>
          <w:sz w:val="28"/>
          <w:szCs w:val="28"/>
        </w:rPr>
        <w:t>）意向投资方</w:t>
      </w:r>
      <w:r>
        <w:rPr>
          <w:rFonts w:hint="eastAsia" w:ascii="宋体" w:hAnsi="宋体"/>
          <w:sz w:val="28"/>
          <w:szCs w:val="28"/>
        </w:rPr>
        <w:t>在</w:t>
      </w:r>
      <w:r>
        <w:rPr>
          <w:rFonts w:ascii="宋体" w:hAnsi="宋体"/>
          <w:sz w:val="28"/>
          <w:szCs w:val="28"/>
        </w:rPr>
        <w:t>重大方面</w:t>
      </w:r>
      <w:r>
        <w:rPr>
          <w:rFonts w:hint="eastAsia" w:ascii="宋体" w:hAnsi="宋体"/>
          <w:sz w:val="28"/>
          <w:szCs w:val="28"/>
        </w:rPr>
        <w:t>存在</w:t>
      </w:r>
      <w:r>
        <w:rPr>
          <w:rFonts w:ascii="宋体" w:hAnsi="宋体"/>
          <w:sz w:val="28"/>
          <w:szCs w:val="28"/>
        </w:rPr>
        <w:t>影响标的正常</w:t>
      </w:r>
      <w:r>
        <w:rPr>
          <w:rFonts w:hint="eastAsia" w:ascii="宋体" w:hAnsi="宋体"/>
          <w:sz w:val="28"/>
          <w:szCs w:val="28"/>
        </w:rPr>
        <w:t>竞价</w:t>
      </w:r>
      <w:r>
        <w:rPr>
          <w:rFonts w:ascii="宋体" w:hAnsi="宋体"/>
          <w:sz w:val="28"/>
          <w:szCs w:val="28"/>
        </w:rPr>
        <w:t>、竞价公正性或其他竞价程序要求的情形的</w:t>
      </w:r>
      <w:r>
        <w:rPr>
          <w:rFonts w:hint="eastAsia" w:ascii="宋体" w:hAnsi="宋体"/>
          <w:sz w:val="28"/>
          <w:szCs w:val="28"/>
        </w:rPr>
        <w:t>。</w:t>
      </w:r>
    </w:p>
    <w:p>
      <w:pPr>
        <w:spacing w:line="500" w:lineRule="atLeast"/>
        <w:ind w:firstLine="560" w:firstLineChars="200"/>
        <w:rPr>
          <w:rFonts w:ascii="宋体"/>
          <w:sz w:val="28"/>
          <w:szCs w:val="28"/>
        </w:rPr>
      </w:pPr>
      <w:r>
        <w:rPr>
          <w:rFonts w:hint="eastAsia" w:ascii="宋体" w:hAnsi="宋体"/>
          <w:sz w:val="28"/>
          <w:szCs w:val="28"/>
        </w:rPr>
        <w:t>（十二）意向投资方应自行承担其参与增资活动（包括但不限于完成报名手续和递交有关文件）所涉及的一切费用，不论结果如何，在任何情况下组织人及融资方均无义务承担此费用。</w:t>
      </w:r>
    </w:p>
    <w:p>
      <w:pPr>
        <w:spacing w:line="500" w:lineRule="atLeast"/>
        <w:ind w:firstLine="560" w:firstLineChars="200"/>
        <w:rPr>
          <w:rFonts w:ascii="宋体" w:hAnsi="宋体"/>
          <w:sz w:val="28"/>
          <w:szCs w:val="28"/>
        </w:rPr>
      </w:pPr>
      <w:r>
        <w:rPr>
          <w:rFonts w:hint="eastAsia" w:ascii="宋体" w:hAnsi="宋体"/>
          <w:sz w:val="28"/>
          <w:szCs w:val="28"/>
        </w:rPr>
        <w:t>（十三）申请方应按增资扩股协议规定时间提交标的企业工商变更、办证及过户所需相关资料，标的企业所涉及的工商变更、办证及过户等相关事宜过程中所产生的税、费等均由标的企业、投资方按国家规定各自承担并自行办理。</w:t>
      </w:r>
    </w:p>
    <w:p>
      <w:pPr>
        <w:spacing w:line="500" w:lineRule="atLeast"/>
        <w:ind w:firstLine="560" w:firstLineChars="200"/>
        <w:rPr>
          <w:rFonts w:ascii="宋体" w:hAnsi="宋体"/>
          <w:sz w:val="28"/>
          <w:szCs w:val="28"/>
        </w:rPr>
      </w:pPr>
      <w:r>
        <w:rPr>
          <w:rFonts w:hint="eastAsia" w:ascii="宋体" w:hAnsi="宋体"/>
          <w:sz w:val="28"/>
          <w:szCs w:val="28"/>
        </w:rPr>
        <w:t>（十四）投资方应确保自身主体资格能符合审批机关、工商管理等部门对投资方主体资格的要求，否则投资方应承担全部法律责任，且其所交保证金由组织人直接支付给申请方所有。</w:t>
      </w:r>
    </w:p>
    <w:p>
      <w:pPr>
        <w:spacing w:line="500" w:lineRule="atLeast"/>
        <w:ind w:firstLine="560" w:firstLineChars="200"/>
        <w:rPr>
          <w:rFonts w:ascii="宋体"/>
          <w:sz w:val="28"/>
          <w:szCs w:val="28"/>
        </w:rPr>
      </w:pPr>
      <w:r>
        <w:rPr>
          <w:rFonts w:hint="eastAsia" w:ascii="宋体" w:hAnsi="宋体"/>
          <w:sz w:val="28"/>
          <w:szCs w:val="28"/>
        </w:rPr>
        <w:t>（十五）申请方有权在增资活动开始前撤回标的。若因不可抗力因素或其他特殊的重要原因申请方撤回标的，组织人有权取消或推迟本次增资活动，由此对意向投资方造成的损失由意向投资方自负，意向投资方不得</w:t>
      </w:r>
      <w:r>
        <w:rPr>
          <w:rFonts w:hint="eastAsia" w:ascii="宋体" w:hAnsi="宋体"/>
          <w:bCs/>
          <w:sz w:val="28"/>
          <w:szCs w:val="28"/>
        </w:rPr>
        <w:t>向</w:t>
      </w:r>
      <w:r>
        <w:rPr>
          <w:rFonts w:hint="eastAsia" w:ascii="宋体" w:hAnsi="宋体"/>
          <w:sz w:val="28"/>
          <w:szCs w:val="28"/>
        </w:rPr>
        <w:t>申请方</w:t>
      </w:r>
      <w:r>
        <w:rPr>
          <w:rFonts w:hint="eastAsia" w:ascii="宋体" w:hAnsi="宋体"/>
          <w:bCs/>
          <w:sz w:val="28"/>
          <w:szCs w:val="28"/>
        </w:rPr>
        <w:t>、组织人追索保证金利息及其他任何费用与责任。</w:t>
      </w:r>
    </w:p>
    <w:p>
      <w:pPr>
        <w:spacing w:line="500" w:lineRule="atLeast"/>
        <w:ind w:firstLine="560" w:firstLineChars="200"/>
        <w:rPr>
          <w:rFonts w:ascii="宋体"/>
          <w:sz w:val="28"/>
          <w:szCs w:val="28"/>
        </w:rPr>
      </w:pPr>
      <w:r>
        <w:rPr>
          <w:rFonts w:hint="eastAsia" w:ascii="宋体" w:hAnsi="宋体"/>
          <w:sz w:val="28"/>
          <w:szCs w:val="28"/>
        </w:rPr>
        <w:t>（十六）组织人在本增资文件中或其他材料中所作出的关于本项目的说明仅作为一般性介绍供意向投资方参考，不表明组织人做出担保，本次增资活动所提供的文件资料若因印刷、拷贝或摄影造成资料与实物或标的实际情况有误差的，以实物或标的情况现状及有效证件为准。如遇特殊情况，组织人有权对本增资文件进行修正，如有修正，将在增资活动开始前以书面形式或在增资活动上口头公开告知全体参会意向投资方。</w:t>
      </w:r>
    </w:p>
    <w:p>
      <w:pPr>
        <w:numPr>
          <w:ilvl w:val="0"/>
          <w:numId w:val="1"/>
        </w:numPr>
        <w:spacing w:line="500" w:lineRule="atLeast"/>
        <w:ind w:hanging="80"/>
        <w:rPr>
          <w:rFonts w:ascii="宋体"/>
          <w:b/>
          <w:sz w:val="28"/>
          <w:szCs w:val="28"/>
        </w:rPr>
      </w:pPr>
      <w:r>
        <w:rPr>
          <w:rFonts w:hint="eastAsia" w:ascii="宋体" w:hAnsi="宋体"/>
          <w:b/>
          <w:sz w:val="28"/>
          <w:szCs w:val="28"/>
        </w:rPr>
        <w:t>本项目相关情况说明</w:t>
      </w:r>
    </w:p>
    <w:p>
      <w:pPr>
        <w:spacing w:line="500" w:lineRule="atLeast"/>
        <w:ind w:firstLine="560" w:firstLineChars="200"/>
        <w:rPr>
          <w:rFonts w:ascii="宋体" w:hAnsi="宋体"/>
          <w:sz w:val="28"/>
          <w:szCs w:val="28"/>
        </w:rPr>
      </w:pPr>
      <w:r>
        <w:rPr>
          <w:rFonts w:hint="eastAsia" w:ascii="宋体" w:hAnsi="宋体"/>
          <w:sz w:val="28"/>
          <w:szCs w:val="28"/>
        </w:rPr>
        <w:t>（一）资产评估基准日到增资工商变更完成日期间的损益处理方式：由新老股东按持股比例共享。</w:t>
      </w:r>
    </w:p>
    <w:p>
      <w:pPr>
        <w:spacing w:line="500" w:lineRule="atLeast"/>
        <w:ind w:firstLine="560" w:firstLineChars="200"/>
        <w:rPr>
          <w:rFonts w:ascii="宋体"/>
          <w:sz w:val="28"/>
          <w:szCs w:val="28"/>
        </w:rPr>
      </w:pPr>
      <w:r>
        <w:rPr>
          <w:rFonts w:hint="eastAsia" w:ascii="宋体" w:hAnsi="宋体"/>
          <w:sz w:val="28"/>
          <w:szCs w:val="28"/>
        </w:rPr>
        <w:t>（二）其他有关海正动保具体情况详见审计、评估机构出具的相应《审计报告》、《评估报告》和律师事务所出具的《法律意见书》。</w:t>
      </w:r>
    </w:p>
    <w:p>
      <w:pPr>
        <w:spacing w:line="500" w:lineRule="atLeast"/>
        <w:ind w:firstLine="560" w:firstLineChars="200"/>
        <w:rPr>
          <w:rFonts w:ascii="宋体" w:hAnsi="宋体"/>
          <w:sz w:val="28"/>
          <w:szCs w:val="28"/>
        </w:rPr>
      </w:pPr>
      <w:r>
        <w:rPr>
          <w:rFonts w:hint="eastAsia" w:ascii="宋体" w:hAnsi="宋体"/>
          <w:sz w:val="28"/>
          <w:szCs w:val="28"/>
        </w:rPr>
        <w:t>（三）增资文件的解释权归申请方和组织人。</w:t>
      </w:r>
    </w:p>
    <w:p>
      <w:pPr>
        <w:spacing w:line="500" w:lineRule="atLeast"/>
        <w:ind w:firstLine="3780" w:firstLineChars="1350"/>
        <w:jc w:val="center"/>
        <w:rPr>
          <w:rFonts w:ascii="宋体"/>
          <w:sz w:val="28"/>
          <w:szCs w:val="28"/>
        </w:rPr>
      </w:pPr>
      <w:r>
        <w:rPr>
          <w:rFonts w:hint="eastAsia" w:ascii="宋体" w:hAnsi="宋体"/>
          <w:sz w:val="28"/>
          <w:szCs w:val="28"/>
        </w:rPr>
        <w:t>台州市产权交易所有限公司</w:t>
      </w:r>
    </w:p>
    <w:p>
      <w:pPr>
        <w:spacing w:line="500" w:lineRule="atLeast"/>
        <w:ind w:firstLine="3780" w:firstLineChars="1350"/>
        <w:jc w:val="center"/>
        <w:rPr>
          <w:rFonts w:ascii="宋体" w:hAnsi="宋体"/>
          <w:b/>
          <w:sz w:val="28"/>
          <w:szCs w:val="28"/>
        </w:rPr>
      </w:pPr>
      <w:r>
        <w:rPr>
          <w:rFonts w:hint="eastAsia" w:ascii="宋体" w:hAnsi="宋体"/>
          <w:sz w:val="28"/>
          <w:szCs w:val="28"/>
        </w:rPr>
        <w:t>二〇二一年六月十一日</w:t>
      </w:r>
      <w:r>
        <w:rPr>
          <w:rFonts w:ascii="宋体" w:hAnsi="宋体"/>
          <w:b/>
          <w:sz w:val="28"/>
          <w:szCs w:val="28"/>
        </w:rPr>
        <w:br w:type="page"/>
      </w:r>
    </w:p>
    <w:p>
      <w:pPr>
        <w:pStyle w:val="2"/>
        <w:jc w:val="center"/>
        <w:rPr>
          <w:szCs w:val="32"/>
        </w:rPr>
      </w:pPr>
      <w:bookmarkStart w:id="2" w:name="_Toc48252218"/>
      <w:r>
        <w:rPr>
          <w:rFonts w:hint="eastAsia"/>
          <w:szCs w:val="32"/>
        </w:rPr>
        <w:t>增资扩股投资申请书</w:t>
      </w:r>
      <w:bookmarkEnd w:id="2"/>
    </w:p>
    <w:p>
      <w:pPr>
        <w:jc w:val="center"/>
        <w:rPr>
          <w:rFonts w:eastAsia="仿宋_GB2312"/>
          <w:sz w:val="30"/>
        </w:rPr>
      </w:pPr>
    </w:p>
    <w:p>
      <w:pPr>
        <w:jc w:val="center"/>
        <w:rPr>
          <w:rFonts w:eastAsia="仿宋_GB2312"/>
          <w:sz w:val="30"/>
        </w:rPr>
      </w:pPr>
    </w:p>
    <w:p>
      <w:pPr>
        <w:ind w:left="899" w:leftChars="428" w:firstLine="1"/>
        <w:rPr>
          <w:rFonts w:ascii="宋体"/>
          <w:sz w:val="32"/>
          <w:szCs w:val="32"/>
        </w:rPr>
      </w:pPr>
      <w:r>
        <w:rPr>
          <w:rFonts w:hint="eastAsia" w:ascii="宋体" w:hAnsi="宋体"/>
          <w:sz w:val="32"/>
          <w:szCs w:val="32"/>
        </w:rPr>
        <w:t>项目名称：</w:t>
      </w:r>
    </w:p>
    <w:p>
      <w:pPr>
        <w:ind w:left="899" w:leftChars="428" w:firstLine="1"/>
        <w:rPr>
          <w:rFonts w:ascii="宋体"/>
          <w:sz w:val="32"/>
          <w:szCs w:val="32"/>
        </w:rPr>
      </w:pPr>
      <w:r>
        <w:rPr>
          <w:rFonts w:hint="eastAsia" w:ascii="宋体" w:hAnsi="宋体"/>
          <w:sz w:val="32"/>
          <w:szCs w:val="32"/>
        </w:rPr>
        <w:t>项目编号：</w:t>
      </w:r>
    </w:p>
    <w:p>
      <w:pPr>
        <w:rPr>
          <w:rFonts w:ascii="宋体"/>
          <w:sz w:val="32"/>
          <w:szCs w:val="32"/>
        </w:rPr>
      </w:pPr>
    </w:p>
    <w:p>
      <w:pPr>
        <w:rPr>
          <w:rFonts w:ascii="宋体"/>
          <w:sz w:val="32"/>
          <w:szCs w:val="32"/>
        </w:rPr>
      </w:pPr>
    </w:p>
    <w:p>
      <w:pPr>
        <w:ind w:firstLine="800" w:firstLineChars="250"/>
        <w:rPr>
          <w:rFonts w:ascii="宋体"/>
          <w:sz w:val="32"/>
          <w:szCs w:val="32"/>
        </w:rPr>
      </w:pPr>
      <w:r>
        <w:rPr>
          <w:rFonts w:hint="eastAsia" w:ascii="宋体" w:hAnsi="宋体"/>
          <w:sz w:val="32"/>
          <w:szCs w:val="32"/>
        </w:rPr>
        <w:t>申请人：（意向投资方盖章或签字）</w:t>
      </w:r>
    </w:p>
    <w:p>
      <w:pPr>
        <w:rPr>
          <w:rFonts w:ascii="宋体"/>
          <w:sz w:val="32"/>
          <w:szCs w:val="32"/>
        </w:rPr>
      </w:pPr>
    </w:p>
    <w:p>
      <w:pPr>
        <w:rPr>
          <w:rFonts w:ascii="宋体"/>
          <w:sz w:val="32"/>
          <w:szCs w:val="32"/>
        </w:rPr>
      </w:pPr>
    </w:p>
    <w:p>
      <w:pPr>
        <w:ind w:firstLine="960" w:firstLineChars="300"/>
        <w:rPr>
          <w:rFonts w:ascii="宋体"/>
          <w:sz w:val="32"/>
          <w:szCs w:val="32"/>
        </w:rPr>
      </w:pPr>
      <w:r>
        <w:rPr>
          <w:rFonts w:hint="eastAsia" w:ascii="宋体" w:hAnsi="宋体"/>
          <w:sz w:val="32"/>
          <w:szCs w:val="32"/>
        </w:rPr>
        <w:t>法定代表人或授权代表（签字）：</w:t>
      </w:r>
    </w:p>
    <w:p>
      <w:pPr>
        <w:rPr>
          <w:rFonts w:ascii="宋体"/>
          <w:sz w:val="32"/>
          <w:szCs w:val="32"/>
        </w:rPr>
      </w:pPr>
    </w:p>
    <w:p>
      <w:pPr>
        <w:rPr>
          <w:rFonts w:ascii="宋体"/>
          <w:sz w:val="32"/>
          <w:szCs w:val="32"/>
        </w:rPr>
      </w:pPr>
    </w:p>
    <w:p>
      <w:pPr>
        <w:rPr>
          <w:rFonts w:ascii="宋体"/>
          <w:sz w:val="32"/>
          <w:szCs w:val="32"/>
        </w:rPr>
      </w:pPr>
    </w:p>
    <w:p>
      <w:pPr>
        <w:rPr>
          <w:rFonts w:ascii="宋体"/>
          <w:sz w:val="32"/>
          <w:szCs w:val="32"/>
        </w:rPr>
      </w:pPr>
    </w:p>
    <w:p>
      <w:pPr>
        <w:rPr>
          <w:rFonts w:ascii="宋体"/>
          <w:sz w:val="32"/>
          <w:szCs w:val="32"/>
        </w:rPr>
      </w:pPr>
    </w:p>
    <w:p>
      <w:pPr>
        <w:rPr>
          <w:rFonts w:ascii="宋体"/>
          <w:sz w:val="32"/>
          <w:szCs w:val="32"/>
        </w:rPr>
      </w:pPr>
    </w:p>
    <w:p>
      <w:pPr>
        <w:rPr>
          <w:rFonts w:ascii="宋体"/>
          <w:sz w:val="32"/>
          <w:szCs w:val="32"/>
        </w:rPr>
      </w:pPr>
    </w:p>
    <w:p>
      <w:pPr>
        <w:ind w:right="600" w:firstLine="2700"/>
        <w:rPr>
          <w:rFonts w:ascii="宋体"/>
          <w:sz w:val="32"/>
          <w:szCs w:val="32"/>
        </w:rPr>
      </w:pPr>
      <w:r>
        <w:rPr>
          <w:rFonts w:hint="eastAsia" w:ascii="宋体" w:hAnsi="宋体"/>
          <w:sz w:val="32"/>
          <w:szCs w:val="32"/>
        </w:rPr>
        <w:t xml:space="preserve">申请日期： </w:t>
      </w:r>
      <w:r>
        <w:rPr>
          <w:rFonts w:hint="eastAsia" w:ascii="宋体" w:hAnsi="宋体"/>
          <w:sz w:val="32"/>
          <w:szCs w:val="32"/>
          <w:lang w:val="en-US" w:eastAsia="zh-CN"/>
        </w:rPr>
        <w:t xml:space="preserve">  </w:t>
      </w:r>
      <w:r>
        <w:rPr>
          <w:rFonts w:hint="eastAsia" w:ascii="宋体" w:hAnsi="宋体"/>
          <w:sz w:val="32"/>
          <w:szCs w:val="32"/>
        </w:rPr>
        <w:t xml:space="preserve"> 年  月  日</w:t>
      </w:r>
    </w:p>
    <w:p>
      <w:pPr>
        <w:adjustRightInd w:val="0"/>
        <w:snapToGrid w:val="0"/>
        <w:spacing w:after="120" w:line="360" w:lineRule="auto"/>
        <w:jc w:val="center"/>
        <w:rPr>
          <w:rFonts w:ascii="宋体" w:hAnsi="宋体"/>
          <w:b/>
          <w:sz w:val="32"/>
          <w:szCs w:val="32"/>
        </w:rPr>
      </w:pPr>
    </w:p>
    <w:p>
      <w:pPr>
        <w:adjustRightInd w:val="0"/>
        <w:snapToGrid w:val="0"/>
        <w:spacing w:after="120" w:line="360" w:lineRule="auto"/>
        <w:jc w:val="center"/>
        <w:rPr>
          <w:rFonts w:ascii="宋体"/>
          <w:b/>
          <w:sz w:val="32"/>
          <w:szCs w:val="32"/>
        </w:rPr>
      </w:pPr>
      <w:r>
        <w:rPr>
          <w:rFonts w:ascii="宋体" w:hAnsi="宋体"/>
          <w:b/>
          <w:sz w:val="32"/>
          <w:szCs w:val="32"/>
        </w:rPr>
        <w:br w:type="page"/>
      </w:r>
      <w:r>
        <w:rPr>
          <w:rFonts w:hint="eastAsia" w:ascii="宋体" w:hAnsi="宋体"/>
          <w:b/>
          <w:sz w:val="32"/>
          <w:szCs w:val="32"/>
        </w:rPr>
        <w:t>投资申请与承诺</w:t>
      </w:r>
    </w:p>
    <w:p>
      <w:pPr>
        <w:adjustRightInd w:val="0"/>
        <w:snapToGrid w:val="0"/>
        <w:spacing w:after="120" w:line="500" w:lineRule="exact"/>
        <w:rPr>
          <w:rFonts w:ascii="宋体"/>
          <w:b/>
          <w:sz w:val="28"/>
          <w:szCs w:val="28"/>
        </w:rPr>
      </w:pPr>
      <w:r>
        <w:rPr>
          <w:rFonts w:hint="eastAsia" w:ascii="宋体" w:hAnsi="宋体"/>
          <w:b/>
          <w:sz w:val="28"/>
          <w:szCs w:val="28"/>
        </w:rPr>
        <w:t>台州市产权交易所有限公司：</w:t>
      </w:r>
    </w:p>
    <w:p>
      <w:pPr>
        <w:adjustRightInd w:val="0"/>
        <w:snapToGrid w:val="0"/>
        <w:spacing w:line="360" w:lineRule="auto"/>
        <w:ind w:firstLine="548" w:firstLineChars="196"/>
        <w:rPr>
          <w:rFonts w:ascii="宋体"/>
          <w:b/>
          <w:sz w:val="28"/>
          <w:szCs w:val="28"/>
        </w:rPr>
      </w:pPr>
      <w:r>
        <w:rPr>
          <w:rFonts w:hint="eastAsia" w:ascii="宋体" w:hAnsi="宋体"/>
          <w:sz w:val="28"/>
          <w:szCs w:val="28"/>
        </w:rPr>
        <w:t>一、本意向投资方向贵所提出申请，意向投资浙江海正动物保健品有限公司新增18,000,000股项目，请予审核。本意向投资方依照公开、公平、公正、诚实信用的原则，作出如下承诺：</w:t>
      </w:r>
    </w:p>
    <w:p>
      <w:pPr>
        <w:adjustRightInd w:val="0"/>
        <w:snapToGrid w:val="0"/>
        <w:spacing w:line="360" w:lineRule="auto"/>
        <w:ind w:firstLine="548" w:firstLineChars="196"/>
        <w:jc w:val="left"/>
        <w:rPr>
          <w:rFonts w:ascii="宋体"/>
          <w:sz w:val="28"/>
          <w:szCs w:val="28"/>
        </w:rPr>
      </w:pPr>
      <w:r>
        <w:rPr>
          <w:rFonts w:ascii="宋体" w:hAnsi="宋体"/>
          <w:sz w:val="28"/>
          <w:szCs w:val="28"/>
        </w:rPr>
        <w:t>1</w:t>
      </w:r>
      <w:r>
        <w:rPr>
          <w:rFonts w:hint="eastAsia" w:ascii="宋体" w:hAnsi="宋体"/>
          <w:sz w:val="28"/>
          <w:szCs w:val="28"/>
          <w:lang w:val="en-US" w:eastAsia="zh-CN"/>
        </w:rPr>
        <w:t>.</w:t>
      </w:r>
      <w:r>
        <w:rPr>
          <w:rFonts w:hint="eastAsia" w:ascii="宋体" w:hAnsi="宋体"/>
          <w:sz w:val="28"/>
          <w:szCs w:val="28"/>
        </w:rPr>
        <w:t>本次投资是我方真实意愿表示，相关行为已经过有效的内部决策并得到相应的批准，所提交材料及投资申请中内容不存在虚假记载、误导性陈述或重大遗漏，我方对其真实性、完整性、合法性、有效性承担相应的法律责任。</w:t>
      </w:r>
    </w:p>
    <w:p>
      <w:pPr>
        <w:adjustRightInd w:val="0"/>
        <w:snapToGrid w:val="0"/>
        <w:spacing w:line="360" w:lineRule="auto"/>
        <w:ind w:firstLine="548" w:firstLineChars="196"/>
        <w:jc w:val="left"/>
        <w:rPr>
          <w:rFonts w:ascii="宋体" w:hAnsi="宋体"/>
          <w:sz w:val="28"/>
          <w:szCs w:val="28"/>
        </w:rPr>
      </w:pPr>
      <w:r>
        <w:rPr>
          <w:rFonts w:ascii="宋体" w:hAnsi="宋体"/>
          <w:sz w:val="28"/>
          <w:szCs w:val="28"/>
        </w:rPr>
        <w:t>2</w:t>
      </w:r>
      <w:r>
        <w:rPr>
          <w:rFonts w:hint="eastAsia" w:ascii="宋体" w:hAnsi="宋体"/>
          <w:sz w:val="28"/>
          <w:szCs w:val="28"/>
          <w:lang w:val="en-US" w:eastAsia="zh-CN"/>
        </w:rPr>
        <w:t>.</w:t>
      </w:r>
      <w:r>
        <w:rPr>
          <w:rFonts w:hint="eastAsia" w:ascii="宋体" w:hAnsi="宋体"/>
          <w:sz w:val="28"/>
          <w:szCs w:val="28"/>
        </w:rPr>
        <w:t>我方系合法有效存续的企业或其他组织，能独立承担民事责任，具有良好的财务状况、支付能力和商业信用，且资金来源合法，符合有关法律法规及本项目对投资方应当具备条件的规定。</w:t>
      </w:r>
    </w:p>
    <w:p>
      <w:pPr>
        <w:adjustRightInd w:val="0"/>
        <w:snapToGrid w:val="0"/>
        <w:spacing w:line="360" w:lineRule="auto"/>
        <w:ind w:firstLine="450"/>
        <w:rPr>
          <w:rFonts w:ascii="宋体"/>
          <w:sz w:val="28"/>
          <w:szCs w:val="28"/>
        </w:rPr>
      </w:pPr>
      <w:r>
        <w:rPr>
          <w:rFonts w:ascii="宋体" w:hAnsi="宋体"/>
          <w:sz w:val="28"/>
          <w:szCs w:val="28"/>
        </w:rPr>
        <w:t>3</w:t>
      </w:r>
      <w:r>
        <w:rPr>
          <w:rFonts w:hint="eastAsia" w:ascii="宋体" w:hAnsi="宋体"/>
          <w:sz w:val="28"/>
          <w:szCs w:val="28"/>
          <w:lang w:val="en-US" w:eastAsia="zh-CN"/>
        </w:rPr>
        <w:t>.</w:t>
      </w:r>
      <w:r>
        <w:rPr>
          <w:rFonts w:hint="eastAsia" w:ascii="宋体" w:hAnsi="宋体"/>
          <w:sz w:val="28"/>
          <w:szCs w:val="28"/>
        </w:rPr>
        <w:t>我方已</w:t>
      </w:r>
      <w:r>
        <w:rPr>
          <w:rFonts w:hint="eastAsia" w:ascii="宋体" w:hAnsi="宋体"/>
          <w:bCs/>
          <w:sz w:val="28"/>
          <w:szCs w:val="28"/>
        </w:rPr>
        <w:t>充分了解并接受《增资文件》的全部内容和要求，已认真考虑了融资方</w:t>
      </w:r>
      <w:r>
        <w:rPr>
          <w:rFonts w:hint="eastAsia" w:ascii="宋体" w:hAnsi="宋体"/>
          <w:sz w:val="28"/>
          <w:szCs w:val="28"/>
        </w:rPr>
        <w:t>经营、行业、市场、政策以及其他不可预计的</w:t>
      </w:r>
      <w:r>
        <w:rPr>
          <w:rFonts w:hint="eastAsia" w:ascii="宋体" w:hAnsi="宋体"/>
          <w:bCs/>
          <w:sz w:val="28"/>
          <w:szCs w:val="28"/>
        </w:rPr>
        <w:t>各项风险因素，</w:t>
      </w:r>
      <w:r>
        <w:rPr>
          <w:rFonts w:hint="eastAsia" w:ascii="宋体" w:hAnsi="宋体"/>
          <w:sz w:val="28"/>
          <w:szCs w:val="28"/>
        </w:rPr>
        <w:t>自主判断企业的投资价值，自主做出投资决策，自行承担投资风险。</w:t>
      </w:r>
    </w:p>
    <w:p>
      <w:pPr>
        <w:adjustRightInd w:val="0"/>
        <w:snapToGrid w:val="0"/>
        <w:spacing w:line="360" w:lineRule="auto"/>
        <w:ind w:firstLine="450"/>
        <w:rPr>
          <w:rFonts w:ascii="宋体" w:hAnsi="宋体"/>
          <w:bCs/>
          <w:sz w:val="28"/>
          <w:szCs w:val="28"/>
        </w:rPr>
      </w:pPr>
      <w:r>
        <w:rPr>
          <w:rFonts w:ascii="宋体" w:hAnsi="宋体"/>
          <w:bCs/>
          <w:sz w:val="28"/>
          <w:szCs w:val="28"/>
        </w:rPr>
        <w:t>4</w:t>
      </w:r>
      <w:r>
        <w:rPr>
          <w:rFonts w:hint="eastAsia" w:ascii="宋体" w:hAnsi="宋体"/>
          <w:bCs/>
          <w:sz w:val="28"/>
          <w:szCs w:val="28"/>
          <w:lang w:val="en-US" w:eastAsia="zh-CN"/>
        </w:rPr>
        <w:t>.</w:t>
      </w:r>
      <w:r>
        <w:rPr>
          <w:rFonts w:hint="eastAsia" w:ascii="宋体" w:hAnsi="宋体"/>
          <w:bCs/>
          <w:sz w:val="28"/>
          <w:szCs w:val="28"/>
        </w:rPr>
        <w:t>我方非《</w:t>
      </w:r>
      <w:bookmarkStart w:id="3" w:name="OLE_LINK2"/>
      <w:bookmarkStart w:id="4" w:name="OLE_LINK3"/>
      <w:bookmarkStart w:id="5" w:name="OLE_LINK1"/>
      <w:r>
        <w:rPr>
          <w:rFonts w:hint="eastAsia" w:ascii="宋体" w:hAnsi="宋体"/>
          <w:bCs/>
          <w:sz w:val="28"/>
          <w:szCs w:val="28"/>
        </w:rPr>
        <w:t>企业国有产权向管理层转让暂行规</w:t>
      </w:r>
      <w:bookmarkEnd w:id="3"/>
      <w:bookmarkEnd w:id="4"/>
      <w:bookmarkEnd w:id="5"/>
      <w:r>
        <w:rPr>
          <w:rFonts w:hint="eastAsia" w:ascii="宋体" w:hAnsi="宋体"/>
          <w:bCs/>
          <w:sz w:val="28"/>
          <w:szCs w:val="28"/>
        </w:rPr>
        <w:t>定》中所称的管理层投资方，也未接受管理层的委托投资。（非管理层适用）。</w:t>
      </w:r>
    </w:p>
    <w:p>
      <w:pPr>
        <w:adjustRightInd w:val="0"/>
        <w:snapToGrid w:val="0"/>
        <w:spacing w:line="360" w:lineRule="auto"/>
        <w:ind w:firstLine="450"/>
        <w:rPr>
          <w:rFonts w:ascii="宋体" w:hAnsi="宋体"/>
          <w:bCs/>
          <w:sz w:val="28"/>
          <w:szCs w:val="28"/>
        </w:rPr>
      </w:pPr>
      <w:r>
        <w:rPr>
          <w:rFonts w:hint="eastAsia" w:ascii="宋体" w:hAnsi="宋体"/>
          <w:bCs/>
          <w:sz w:val="28"/>
          <w:szCs w:val="28"/>
        </w:rPr>
        <w:t>我方系《企业国有产权向管理层转让暂行规定》中所称的管理层投资方，符合相关规定要求，未构成禁止投资的情形。（管理层适用）。</w:t>
      </w:r>
    </w:p>
    <w:p>
      <w:pPr>
        <w:adjustRightInd w:val="0"/>
        <w:snapToGrid w:val="0"/>
        <w:spacing w:line="360" w:lineRule="auto"/>
        <w:ind w:firstLine="450"/>
        <w:rPr>
          <w:rFonts w:ascii="宋体"/>
          <w:bCs/>
          <w:sz w:val="28"/>
          <w:szCs w:val="28"/>
        </w:rPr>
      </w:pPr>
      <w:r>
        <w:rPr>
          <w:rFonts w:ascii="宋体" w:hAnsi="宋体" w:cs="宋体"/>
          <w:kern w:val="0"/>
          <w:sz w:val="28"/>
          <w:szCs w:val="28"/>
        </w:rPr>
        <w:t>5</w:t>
      </w:r>
      <w:r>
        <w:rPr>
          <w:rFonts w:hint="eastAsia" w:ascii="宋体" w:hAnsi="宋体" w:cs="宋体"/>
          <w:kern w:val="0"/>
          <w:sz w:val="28"/>
          <w:szCs w:val="28"/>
          <w:lang w:val="en-US" w:eastAsia="zh-CN"/>
        </w:rPr>
        <w:t>.</w:t>
      </w:r>
      <w:r>
        <w:rPr>
          <w:rFonts w:hint="eastAsia" w:ascii="宋体" w:hAnsi="宋体"/>
          <w:bCs/>
          <w:sz w:val="28"/>
          <w:szCs w:val="28"/>
        </w:rPr>
        <w:t>我方承诺按《增资文件》的要求交纳保证金，逾期未交纳的，视为放弃投资意向。</w:t>
      </w:r>
    </w:p>
    <w:p>
      <w:pPr>
        <w:adjustRightInd w:val="0"/>
        <w:snapToGrid w:val="0"/>
        <w:spacing w:line="360" w:lineRule="auto"/>
        <w:ind w:firstLine="450"/>
        <w:rPr>
          <w:rFonts w:ascii="宋体" w:hAnsi="宋体" w:cs="宋体"/>
          <w:kern w:val="0"/>
          <w:sz w:val="28"/>
          <w:szCs w:val="28"/>
        </w:rPr>
      </w:pPr>
      <w:r>
        <w:rPr>
          <w:rFonts w:ascii="宋体" w:hAnsi="宋体" w:cs="宋体"/>
          <w:kern w:val="0"/>
          <w:sz w:val="28"/>
          <w:szCs w:val="28"/>
        </w:rPr>
        <w:t>6</w:t>
      </w:r>
      <w:r>
        <w:rPr>
          <w:rFonts w:hint="eastAsia" w:ascii="宋体" w:hAnsi="宋体" w:cs="宋体"/>
          <w:kern w:val="0"/>
          <w:sz w:val="28"/>
          <w:szCs w:val="28"/>
          <w:lang w:val="en-US" w:eastAsia="zh-CN"/>
        </w:rPr>
        <w:t>.</w:t>
      </w:r>
      <w:r>
        <w:rPr>
          <w:rFonts w:hint="eastAsia" w:ascii="宋体" w:hAnsi="宋体" w:cs="宋体"/>
          <w:kern w:val="0"/>
          <w:sz w:val="28"/>
          <w:szCs w:val="28"/>
        </w:rPr>
        <w:t>若成为最终投资方，我方承诺向产权交易机构支付成交额的0.2%交易服务费。</w:t>
      </w:r>
    </w:p>
    <w:p>
      <w:pPr>
        <w:spacing w:line="360" w:lineRule="auto"/>
        <w:ind w:firstLine="560" w:firstLineChars="200"/>
        <w:rPr>
          <w:rFonts w:ascii="宋体" w:hAnsi="宋体"/>
          <w:sz w:val="28"/>
          <w:szCs w:val="28"/>
        </w:rPr>
      </w:pPr>
      <w:r>
        <w:rPr>
          <w:rFonts w:ascii="宋体" w:hAnsi="宋体"/>
          <w:sz w:val="28"/>
          <w:szCs w:val="28"/>
        </w:rPr>
        <w:t>7</w:t>
      </w:r>
      <w:r>
        <w:rPr>
          <w:rFonts w:hint="eastAsia" w:ascii="宋体" w:hAnsi="宋体"/>
          <w:sz w:val="28"/>
          <w:szCs w:val="28"/>
          <w:lang w:val="en-US" w:eastAsia="zh-CN"/>
        </w:rPr>
        <w:t>.</w:t>
      </w:r>
      <w:r>
        <w:rPr>
          <w:rFonts w:hint="eastAsia" w:ascii="宋体" w:hAnsi="宋体"/>
          <w:sz w:val="28"/>
          <w:szCs w:val="28"/>
        </w:rPr>
        <w:t>我方承诺在增资扩股过程中，遵守法律法规规定和《国有企业增资扩股操作规则（试行）》及产权交易机构的相关规定，按照有关程序及要求等履行我方义务。</w:t>
      </w:r>
    </w:p>
    <w:p>
      <w:pPr>
        <w:spacing w:line="360" w:lineRule="auto"/>
        <w:ind w:firstLine="560" w:firstLineChars="200"/>
        <w:rPr>
          <w:rFonts w:ascii="宋体" w:hAnsi="宋体"/>
          <w:sz w:val="28"/>
          <w:szCs w:val="28"/>
        </w:rPr>
      </w:pPr>
      <w:r>
        <w:rPr>
          <w:rFonts w:hint="eastAsia" w:ascii="宋体" w:hAnsi="宋体"/>
          <w:sz w:val="28"/>
          <w:szCs w:val="28"/>
        </w:rPr>
        <w:t>我方保证遵守以上承诺，如违反上述承诺或有违规行为，给增资扩股活动相关方造成损失的，我方愿意承担法律责任及经济赔偿责任。</w:t>
      </w:r>
    </w:p>
    <w:p>
      <w:pPr>
        <w:pStyle w:val="10"/>
        <w:spacing w:after="0" w:line="520" w:lineRule="exact"/>
        <w:ind w:left="0" w:leftChars="0" w:firstLine="560" w:firstLineChars="200"/>
        <w:rPr>
          <w:rFonts w:ascii="宋体" w:hAnsi="宋体"/>
          <w:sz w:val="28"/>
          <w:szCs w:val="28"/>
        </w:rPr>
      </w:pPr>
      <w:r>
        <w:rPr>
          <w:rFonts w:hint="eastAsia" w:ascii="宋体" w:hAnsi="宋体"/>
          <w:sz w:val="28"/>
          <w:szCs w:val="28"/>
        </w:rPr>
        <w:t>二、一旦我方有幸成为最终投资方，我方保证：</w:t>
      </w:r>
    </w:p>
    <w:p>
      <w:pPr>
        <w:pStyle w:val="10"/>
        <w:spacing w:after="0" w:line="520" w:lineRule="exact"/>
        <w:ind w:left="0" w:leftChars="0" w:firstLine="560" w:firstLineChars="200"/>
        <w:rPr>
          <w:rFonts w:ascii="宋体" w:hAnsi="宋体"/>
          <w:sz w:val="28"/>
          <w:szCs w:val="28"/>
        </w:rPr>
      </w:pPr>
      <w:r>
        <w:rPr>
          <w:rFonts w:hint="eastAsia" w:ascii="宋体" w:hAnsi="宋体"/>
          <w:sz w:val="28"/>
          <w:szCs w:val="28"/>
        </w:rPr>
        <w:t>1</w:t>
      </w:r>
      <w:r>
        <w:rPr>
          <w:rFonts w:hint="eastAsia" w:ascii="宋体" w:hAnsi="宋体"/>
          <w:sz w:val="28"/>
          <w:szCs w:val="28"/>
          <w:lang w:val="en-US" w:eastAsia="zh-CN"/>
        </w:rPr>
        <w:t>.竞价成功后二个工作日</w:t>
      </w:r>
      <w:r>
        <w:rPr>
          <w:rFonts w:hint="eastAsia" w:ascii="宋体" w:hAnsi="宋体"/>
          <w:sz w:val="28"/>
          <w:szCs w:val="28"/>
        </w:rPr>
        <w:t>内签订《增资确认书》，并</w:t>
      </w:r>
      <w:r>
        <w:rPr>
          <w:rFonts w:ascii="宋体" w:hAnsi="宋体"/>
          <w:sz w:val="28"/>
          <w:szCs w:val="28"/>
        </w:rPr>
        <w:t>于《增资确认书》</w:t>
      </w:r>
      <w:r>
        <w:rPr>
          <w:rFonts w:hint="eastAsia" w:ascii="宋体" w:hAnsi="宋体"/>
          <w:sz w:val="28"/>
          <w:szCs w:val="28"/>
        </w:rPr>
        <w:t>签署后</w:t>
      </w:r>
      <w:r>
        <w:rPr>
          <w:rFonts w:hint="eastAsia" w:ascii="宋体" w:hAnsi="宋体"/>
          <w:sz w:val="28"/>
          <w:szCs w:val="28"/>
          <w:lang w:val="en-US" w:eastAsia="zh-CN"/>
        </w:rPr>
        <w:t>二个工作日</w:t>
      </w:r>
      <w:r>
        <w:rPr>
          <w:rFonts w:hint="eastAsia" w:ascii="宋体" w:hAnsi="宋体"/>
          <w:sz w:val="28"/>
          <w:szCs w:val="28"/>
        </w:rPr>
        <w:t>签署《增资扩股协议》，协议签署</w:t>
      </w:r>
      <w:r>
        <w:rPr>
          <w:rFonts w:ascii="宋体" w:hAnsi="宋体"/>
          <w:sz w:val="28"/>
          <w:szCs w:val="28"/>
        </w:rPr>
        <w:t>后</w:t>
      </w:r>
      <w:r>
        <w:rPr>
          <w:rFonts w:hint="eastAsia" w:ascii="宋体" w:hAnsi="宋体"/>
          <w:sz w:val="28"/>
          <w:szCs w:val="28"/>
          <w:lang w:eastAsia="zh-CN"/>
        </w:rPr>
        <w:t>五个工作日</w:t>
      </w:r>
      <w:r>
        <w:rPr>
          <w:rFonts w:hint="eastAsia" w:ascii="宋体" w:hAnsi="宋体"/>
          <w:sz w:val="28"/>
          <w:szCs w:val="28"/>
        </w:rPr>
        <w:t>内一次性支付全部剩余增资款，所支付的资金来源合法。</w:t>
      </w:r>
    </w:p>
    <w:p>
      <w:pPr>
        <w:pStyle w:val="10"/>
        <w:spacing w:after="0" w:line="520" w:lineRule="exact"/>
        <w:ind w:left="0" w:leftChars="0" w:firstLine="560" w:firstLineChars="200"/>
        <w:rPr>
          <w:rFonts w:ascii="宋体" w:hAnsi="宋体"/>
          <w:sz w:val="28"/>
          <w:szCs w:val="28"/>
        </w:rPr>
      </w:pPr>
      <w:r>
        <w:rPr>
          <w:rFonts w:hint="eastAsia" w:ascii="宋体" w:hAnsi="宋体"/>
          <w:sz w:val="28"/>
          <w:szCs w:val="28"/>
        </w:rPr>
        <w:t>2</w:t>
      </w:r>
      <w:r>
        <w:rPr>
          <w:rFonts w:hint="eastAsia" w:ascii="宋体" w:hAnsi="宋体"/>
          <w:sz w:val="28"/>
          <w:szCs w:val="28"/>
          <w:lang w:val="en-US" w:eastAsia="zh-CN"/>
        </w:rPr>
        <w:t>.</w:t>
      </w:r>
      <w:r>
        <w:rPr>
          <w:rFonts w:hint="eastAsia" w:ascii="宋体" w:hAnsi="宋体"/>
          <w:sz w:val="28"/>
          <w:szCs w:val="28"/>
        </w:rPr>
        <w:t>自愿接受该项目公告所有内容和增资认购的全部要求和条件。</w:t>
      </w:r>
    </w:p>
    <w:p>
      <w:pPr>
        <w:spacing w:line="360" w:lineRule="auto"/>
        <w:ind w:firstLine="560" w:firstLineChars="200"/>
        <w:rPr>
          <w:rFonts w:ascii="宋体" w:hAnsi="宋体"/>
          <w:sz w:val="28"/>
          <w:szCs w:val="28"/>
        </w:rPr>
      </w:pPr>
    </w:p>
    <w:p>
      <w:pPr>
        <w:spacing w:line="360" w:lineRule="auto"/>
        <w:ind w:firstLine="560" w:firstLineChars="200"/>
        <w:rPr>
          <w:rFonts w:ascii="宋体" w:hAnsi="宋体"/>
          <w:sz w:val="28"/>
          <w:szCs w:val="28"/>
        </w:rPr>
      </w:pPr>
    </w:p>
    <w:p>
      <w:pPr>
        <w:spacing w:line="360" w:lineRule="auto"/>
        <w:ind w:firstLine="5600" w:firstLineChars="2000"/>
        <w:rPr>
          <w:rFonts w:ascii="宋体" w:hAnsi="宋体"/>
          <w:sz w:val="28"/>
          <w:szCs w:val="28"/>
        </w:rPr>
      </w:pPr>
      <w:r>
        <w:rPr>
          <w:rFonts w:hint="eastAsia" w:ascii="宋体" w:hAnsi="宋体"/>
          <w:sz w:val="28"/>
          <w:szCs w:val="28"/>
        </w:rPr>
        <w:t>意向投资方（盖章）</w:t>
      </w:r>
    </w:p>
    <w:p>
      <w:pPr>
        <w:spacing w:line="360" w:lineRule="auto"/>
        <w:ind w:firstLine="5740" w:firstLineChars="2050"/>
        <w:rPr>
          <w:rFonts w:ascii="宋体" w:hAnsi="宋体"/>
          <w:sz w:val="28"/>
          <w:szCs w:val="28"/>
        </w:rPr>
      </w:pPr>
    </w:p>
    <w:p>
      <w:pPr>
        <w:adjustRightInd w:val="0"/>
        <w:snapToGrid w:val="0"/>
        <w:spacing w:line="360" w:lineRule="auto"/>
        <w:ind w:right="630"/>
        <w:jc w:val="center"/>
        <w:rPr>
          <w:rFonts w:ascii="宋体" w:hAnsi="宋体"/>
          <w:b/>
          <w:sz w:val="28"/>
          <w:szCs w:val="28"/>
        </w:rPr>
      </w:pPr>
      <w:r>
        <w:rPr>
          <w:rFonts w:hint="eastAsia" w:ascii="宋体" w:hAnsi="宋体"/>
          <w:sz w:val="28"/>
          <w:szCs w:val="28"/>
        </w:rPr>
        <w:t xml:space="preserve">                                 法定代表人或授权代表（签字）</w:t>
      </w:r>
    </w:p>
    <w:p>
      <w:pPr>
        <w:adjustRightInd w:val="0"/>
        <w:snapToGrid w:val="0"/>
        <w:spacing w:line="360" w:lineRule="auto"/>
        <w:ind w:right="630"/>
        <w:jc w:val="center"/>
        <w:rPr>
          <w:rFonts w:ascii="宋体" w:hAnsi="宋体"/>
          <w:b/>
          <w:sz w:val="28"/>
          <w:szCs w:val="28"/>
        </w:rPr>
      </w:pPr>
    </w:p>
    <w:p>
      <w:pPr>
        <w:adjustRightInd w:val="0"/>
        <w:snapToGrid w:val="0"/>
        <w:spacing w:line="360" w:lineRule="auto"/>
        <w:ind w:right="630"/>
        <w:jc w:val="center"/>
        <w:rPr>
          <w:rFonts w:ascii="宋体" w:hAnsi="宋体"/>
          <w:b/>
          <w:sz w:val="32"/>
          <w:szCs w:val="32"/>
        </w:rPr>
      </w:pPr>
    </w:p>
    <w:p>
      <w:pPr>
        <w:adjustRightInd w:val="0"/>
        <w:snapToGrid w:val="0"/>
        <w:spacing w:line="360" w:lineRule="auto"/>
        <w:ind w:right="630"/>
        <w:jc w:val="center"/>
        <w:rPr>
          <w:rFonts w:ascii="宋体" w:hAnsi="宋体"/>
          <w:b/>
          <w:sz w:val="32"/>
          <w:szCs w:val="32"/>
        </w:rPr>
      </w:pPr>
    </w:p>
    <w:p>
      <w:pPr>
        <w:adjustRightInd w:val="0"/>
        <w:snapToGrid w:val="0"/>
        <w:spacing w:line="360" w:lineRule="auto"/>
        <w:ind w:right="630"/>
        <w:jc w:val="center"/>
        <w:rPr>
          <w:rFonts w:ascii="宋体" w:hAnsi="宋体"/>
          <w:b/>
          <w:sz w:val="32"/>
          <w:szCs w:val="32"/>
        </w:rPr>
      </w:pPr>
    </w:p>
    <w:p>
      <w:pPr>
        <w:adjustRightInd w:val="0"/>
        <w:snapToGrid w:val="0"/>
        <w:spacing w:line="360" w:lineRule="auto"/>
        <w:ind w:right="630"/>
        <w:jc w:val="center"/>
        <w:rPr>
          <w:rFonts w:ascii="宋体" w:hAnsi="宋体"/>
          <w:b/>
          <w:sz w:val="32"/>
          <w:szCs w:val="32"/>
        </w:rPr>
      </w:pPr>
    </w:p>
    <w:p>
      <w:pPr>
        <w:adjustRightInd w:val="0"/>
        <w:snapToGrid w:val="0"/>
        <w:spacing w:line="360" w:lineRule="auto"/>
        <w:ind w:right="630"/>
        <w:jc w:val="center"/>
        <w:rPr>
          <w:rFonts w:ascii="宋体" w:hAnsi="宋体"/>
          <w:b/>
          <w:sz w:val="32"/>
          <w:szCs w:val="32"/>
        </w:rPr>
      </w:pPr>
    </w:p>
    <w:p>
      <w:pPr>
        <w:adjustRightInd w:val="0"/>
        <w:snapToGrid w:val="0"/>
        <w:spacing w:line="360" w:lineRule="auto"/>
        <w:ind w:right="630"/>
        <w:jc w:val="center"/>
        <w:rPr>
          <w:rFonts w:ascii="宋体" w:hAnsi="宋体"/>
          <w:b/>
          <w:sz w:val="32"/>
          <w:szCs w:val="32"/>
        </w:rPr>
      </w:pPr>
    </w:p>
    <w:p>
      <w:pPr>
        <w:adjustRightInd w:val="0"/>
        <w:snapToGrid w:val="0"/>
        <w:spacing w:line="360" w:lineRule="auto"/>
        <w:ind w:right="630"/>
        <w:jc w:val="center"/>
        <w:rPr>
          <w:rFonts w:ascii="宋体" w:hAnsi="宋体"/>
          <w:b/>
          <w:sz w:val="32"/>
          <w:szCs w:val="32"/>
        </w:rPr>
      </w:pPr>
    </w:p>
    <w:p>
      <w:pPr>
        <w:adjustRightInd w:val="0"/>
        <w:snapToGrid w:val="0"/>
        <w:spacing w:line="360" w:lineRule="auto"/>
        <w:ind w:right="630"/>
        <w:jc w:val="center"/>
        <w:rPr>
          <w:rFonts w:ascii="宋体"/>
          <w:b/>
          <w:sz w:val="32"/>
          <w:szCs w:val="32"/>
        </w:rPr>
      </w:pPr>
      <w:r>
        <w:rPr>
          <w:rFonts w:hint="eastAsia" w:ascii="宋体" w:hAnsi="宋体"/>
          <w:b/>
          <w:sz w:val="32"/>
          <w:szCs w:val="32"/>
        </w:rPr>
        <w:t>意向投资方基本情况</w:t>
      </w:r>
    </w:p>
    <w:p>
      <w:pPr>
        <w:jc w:val="right"/>
        <w:textAlignment w:val="baseline"/>
        <w:rPr>
          <w:rFonts w:ascii="宋体"/>
          <w:sz w:val="24"/>
        </w:rPr>
      </w:pPr>
    </w:p>
    <w:tbl>
      <w:tblPr>
        <w:tblStyle w:val="18"/>
        <w:tblW w:w="8676"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1843"/>
        <w:gridCol w:w="2268"/>
        <w:gridCol w:w="1559"/>
        <w:gridCol w:w="17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tcBorders>
              <w:top w:val="single" w:color="auto" w:sz="12" w:space="0"/>
            </w:tcBorders>
            <w:vAlign w:val="center"/>
          </w:tcPr>
          <w:p>
            <w:pPr>
              <w:jc w:val="center"/>
              <w:rPr>
                <w:rFonts w:ascii="宋体"/>
                <w:b/>
                <w:bCs/>
                <w:sz w:val="24"/>
              </w:rPr>
            </w:pPr>
            <w:r>
              <w:rPr>
                <w:rFonts w:hint="eastAsia" w:ascii="宋体" w:hAnsi="宋体"/>
                <w:b/>
                <w:bCs/>
                <w:sz w:val="24"/>
              </w:rPr>
              <w:t>名称</w:t>
            </w:r>
          </w:p>
        </w:tc>
        <w:tc>
          <w:tcPr>
            <w:tcW w:w="7400" w:type="dxa"/>
            <w:gridSpan w:val="4"/>
            <w:tcBorders>
              <w:top w:val="single" w:color="auto" w:sz="12" w:space="0"/>
            </w:tcBorders>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2" w:hRule="atLeast"/>
        </w:trPr>
        <w:tc>
          <w:tcPr>
            <w:tcW w:w="1276" w:type="dxa"/>
            <w:vMerge w:val="restart"/>
            <w:vAlign w:val="center"/>
          </w:tcPr>
          <w:p>
            <w:pPr>
              <w:jc w:val="center"/>
              <w:rPr>
                <w:rFonts w:ascii="宋体"/>
                <w:b/>
                <w:bCs/>
                <w:sz w:val="24"/>
              </w:rPr>
            </w:pPr>
            <w:r>
              <w:rPr>
                <w:rFonts w:hint="eastAsia" w:ascii="宋体" w:hAnsi="宋体"/>
                <w:b/>
                <w:bCs/>
                <w:sz w:val="24"/>
              </w:rPr>
              <w:t>基本</w:t>
            </w:r>
          </w:p>
          <w:p>
            <w:pPr>
              <w:jc w:val="center"/>
              <w:rPr>
                <w:rFonts w:ascii="宋体"/>
                <w:b/>
                <w:bCs/>
                <w:sz w:val="24"/>
              </w:rPr>
            </w:pPr>
            <w:r>
              <w:rPr>
                <w:rFonts w:hint="eastAsia" w:ascii="宋体" w:hAnsi="宋体"/>
                <w:b/>
                <w:bCs/>
                <w:sz w:val="24"/>
              </w:rPr>
              <w:t>情况</w:t>
            </w:r>
          </w:p>
        </w:tc>
        <w:tc>
          <w:tcPr>
            <w:tcW w:w="7400" w:type="dxa"/>
            <w:gridSpan w:val="4"/>
            <w:vAlign w:val="center"/>
          </w:tcPr>
          <w:p>
            <w:pPr>
              <w:ind w:firstLine="2940" w:firstLineChars="1400"/>
              <w:rPr>
                <w:rFonts w:ascii="宋体"/>
                <w:szCs w:val="21"/>
              </w:rPr>
            </w:pPr>
            <w:r>
              <w:rPr>
                <w:rFonts w:hint="eastAsia" w:ascii="宋体" w:hAnsi="宋体"/>
                <w:szCs w:val="21"/>
              </w:rPr>
              <w:t>法人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rPr>
            </w:pPr>
          </w:p>
        </w:tc>
        <w:tc>
          <w:tcPr>
            <w:tcW w:w="1843" w:type="dxa"/>
            <w:vAlign w:val="center"/>
          </w:tcPr>
          <w:p>
            <w:pPr>
              <w:jc w:val="center"/>
              <w:rPr>
                <w:rFonts w:ascii="宋体"/>
                <w:szCs w:val="21"/>
              </w:rPr>
            </w:pPr>
            <w:r>
              <w:rPr>
                <w:rFonts w:hint="eastAsia" w:ascii="宋体" w:hAnsi="宋体"/>
                <w:szCs w:val="21"/>
              </w:rPr>
              <w:t>住所</w:t>
            </w:r>
          </w:p>
        </w:tc>
        <w:tc>
          <w:tcPr>
            <w:tcW w:w="5557" w:type="dxa"/>
            <w:gridSpan w:val="3"/>
            <w:vAlign w:val="center"/>
          </w:tcPr>
          <w:p>
            <w:pP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rPr>
            </w:pPr>
          </w:p>
        </w:tc>
        <w:tc>
          <w:tcPr>
            <w:tcW w:w="1843" w:type="dxa"/>
            <w:vAlign w:val="center"/>
          </w:tcPr>
          <w:p>
            <w:pPr>
              <w:jc w:val="center"/>
              <w:rPr>
                <w:rFonts w:ascii="宋体"/>
                <w:szCs w:val="21"/>
              </w:rPr>
            </w:pPr>
            <w:r>
              <w:rPr>
                <w:rFonts w:hint="eastAsia" w:ascii="宋体" w:hAnsi="宋体"/>
                <w:szCs w:val="21"/>
              </w:rPr>
              <w:t>注册资本</w:t>
            </w:r>
          </w:p>
        </w:tc>
        <w:tc>
          <w:tcPr>
            <w:tcW w:w="2268" w:type="dxa"/>
            <w:vAlign w:val="center"/>
          </w:tcPr>
          <w:p>
            <w:pPr>
              <w:rPr>
                <w:rFonts w:ascii="宋体"/>
                <w:szCs w:val="21"/>
              </w:rPr>
            </w:pPr>
          </w:p>
        </w:tc>
        <w:tc>
          <w:tcPr>
            <w:tcW w:w="1559" w:type="dxa"/>
            <w:vAlign w:val="center"/>
          </w:tcPr>
          <w:p>
            <w:pPr>
              <w:rPr>
                <w:rFonts w:ascii="宋体"/>
                <w:szCs w:val="21"/>
              </w:rPr>
            </w:pPr>
            <w:r>
              <w:rPr>
                <w:rFonts w:hint="eastAsia" w:ascii="宋体" w:hAnsi="宋体"/>
                <w:szCs w:val="21"/>
              </w:rPr>
              <w:t>法定代表人</w:t>
            </w:r>
          </w:p>
          <w:p>
            <w:pPr>
              <w:rPr>
                <w:rFonts w:ascii="宋体"/>
                <w:szCs w:val="21"/>
              </w:rPr>
            </w:pPr>
            <w:r>
              <w:rPr>
                <w:rFonts w:hint="eastAsia" w:ascii="宋体" w:hAnsi="宋体"/>
                <w:szCs w:val="21"/>
              </w:rPr>
              <w:t>（负责人）</w:t>
            </w:r>
          </w:p>
        </w:tc>
        <w:tc>
          <w:tcPr>
            <w:tcW w:w="1730" w:type="dxa"/>
            <w:vAlign w:val="center"/>
          </w:tcPr>
          <w:p>
            <w:pP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rPr>
            </w:pPr>
          </w:p>
        </w:tc>
        <w:tc>
          <w:tcPr>
            <w:tcW w:w="1843" w:type="dxa"/>
            <w:vAlign w:val="center"/>
          </w:tcPr>
          <w:p>
            <w:pPr>
              <w:jc w:val="center"/>
              <w:rPr>
                <w:rFonts w:ascii="宋体"/>
                <w:szCs w:val="21"/>
              </w:rPr>
            </w:pPr>
            <w:r>
              <w:rPr>
                <w:rFonts w:hint="eastAsia" w:ascii="宋体" w:hAnsi="宋体"/>
                <w:szCs w:val="21"/>
              </w:rPr>
              <w:t>类型</w:t>
            </w:r>
          </w:p>
        </w:tc>
        <w:tc>
          <w:tcPr>
            <w:tcW w:w="5557" w:type="dxa"/>
            <w:gridSpan w:val="3"/>
            <w:vAlign w:val="center"/>
          </w:tcPr>
          <w:p>
            <w:pP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23" w:hRule="atLeast"/>
        </w:trPr>
        <w:tc>
          <w:tcPr>
            <w:tcW w:w="1276" w:type="dxa"/>
            <w:vMerge w:val="continue"/>
            <w:vAlign w:val="center"/>
          </w:tcPr>
          <w:p>
            <w:pPr>
              <w:rPr>
                <w:rFonts w:ascii="宋体"/>
                <w:b/>
                <w:sz w:val="24"/>
              </w:rPr>
            </w:pPr>
          </w:p>
        </w:tc>
        <w:tc>
          <w:tcPr>
            <w:tcW w:w="1843" w:type="dxa"/>
            <w:vAlign w:val="center"/>
          </w:tcPr>
          <w:p>
            <w:pPr>
              <w:jc w:val="center"/>
              <w:rPr>
                <w:rFonts w:ascii="宋体"/>
                <w:szCs w:val="21"/>
              </w:rPr>
            </w:pPr>
            <w:r>
              <w:rPr>
                <w:rFonts w:hint="eastAsia" w:ascii="宋体" w:hAnsi="宋体"/>
                <w:szCs w:val="21"/>
              </w:rPr>
              <w:t>经营范围</w:t>
            </w:r>
          </w:p>
        </w:tc>
        <w:tc>
          <w:tcPr>
            <w:tcW w:w="5557" w:type="dxa"/>
            <w:gridSpan w:val="3"/>
            <w:vAlign w:val="center"/>
          </w:tcPr>
          <w:p>
            <w:pP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4" w:hRule="atLeast"/>
        </w:trPr>
        <w:tc>
          <w:tcPr>
            <w:tcW w:w="1276" w:type="dxa"/>
            <w:vMerge w:val="continue"/>
            <w:vAlign w:val="center"/>
          </w:tcPr>
          <w:p>
            <w:pPr>
              <w:rPr>
                <w:rFonts w:ascii="宋体"/>
                <w:b/>
                <w:sz w:val="24"/>
              </w:rPr>
            </w:pPr>
          </w:p>
        </w:tc>
        <w:tc>
          <w:tcPr>
            <w:tcW w:w="7400" w:type="dxa"/>
            <w:gridSpan w:val="4"/>
            <w:vAlign w:val="center"/>
          </w:tcPr>
          <w:p>
            <w:pPr>
              <w:jc w:val="center"/>
              <w:rPr>
                <w:rFonts w:ascii="宋体"/>
                <w:szCs w:val="21"/>
              </w:rPr>
            </w:pPr>
            <w:r>
              <w:rPr>
                <w:rFonts w:hint="eastAsia" w:ascii="宋体" w:hAnsi="宋体"/>
                <w:szCs w:val="21"/>
              </w:rPr>
              <w:t>自然人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rPr>
            </w:pPr>
          </w:p>
        </w:tc>
        <w:tc>
          <w:tcPr>
            <w:tcW w:w="1843" w:type="dxa"/>
            <w:vAlign w:val="center"/>
          </w:tcPr>
          <w:p>
            <w:pPr>
              <w:jc w:val="center"/>
              <w:rPr>
                <w:rFonts w:ascii="宋体"/>
                <w:szCs w:val="21"/>
              </w:rPr>
            </w:pPr>
            <w:r>
              <w:rPr>
                <w:rFonts w:hint="eastAsia" w:ascii="宋体" w:hAnsi="宋体"/>
                <w:szCs w:val="21"/>
              </w:rPr>
              <w:t>证件类型</w:t>
            </w:r>
          </w:p>
        </w:tc>
        <w:tc>
          <w:tcPr>
            <w:tcW w:w="2268" w:type="dxa"/>
            <w:vAlign w:val="center"/>
          </w:tcPr>
          <w:p>
            <w:pPr>
              <w:rPr>
                <w:rFonts w:ascii="宋体"/>
                <w:szCs w:val="21"/>
              </w:rPr>
            </w:pPr>
          </w:p>
        </w:tc>
        <w:tc>
          <w:tcPr>
            <w:tcW w:w="1559" w:type="dxa"/>
            <w:vAlign w:val="center"/>
          </w:tcPr>
          <w:p>
            <w:pPr>
              <w:jc w:val="center"/>
              <w:rPr>
                <w:rFonts w:ascii="宋体"/>
                <w:szCs w:val="21"/>
              </w:rPr>
            </w:pPr>
            <w:r>
              <w:rPr>
                <w:rFonts w:hint="eastAsia" w:ascii="宋体" w:hAnsi="宋体"/>
                <w:szCs w:val="21"/>
              </w:rPr>
              <w:t>证件号码</w:t>
            </w:r>
          </w:p>
        </w:tc>
        <w:tc>
          <w:tcPr>
            <w:tcW w:w="1730" w:type="dxa"/>
            <w:vAlign w:val="center"/>
          </w:tcPr>
          <w:p>
            <w:pP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Align w:val="center"/>
          </w:tcPr>
          <w:p>
            <w:pPr>
              <w:rPr>
                <w:rFonts w:ascii="宋体"/>
                <w:b/>
                <w:sz w:val="24"/>
              </w:rPr>
            </w:pPr>
            <w:r>
              <w:rPr>
                <w:rFonts w:hint="eastAsia" w:ascii="宋体" w:hAnsi="宋体"/>
                <w:b/>
                <w:sz w:val="24"/>
              </w:rPr>
              <w:t>是否属于管理层</w:t>
            </w:r>
          </w:p>
        </w:tc>
        <w:tc>
          <w:tcPr>
            <w:tcW w:w="7400" w:type="dxa"/>
            <w:gridSpan w:val="4"/>
            <w:vAlign w:val="center"/>
          </w:tcPr>
          <w:p>
            <w:pPr>
              <w:ind w:firstLine="105" w:firstLineChars="50"/>
              <w:rPr>
                <w:rFonts w:ascii="宋体"/>
                <w:szCs w:val="21"/>
              </w:rPr>
            </w:pPr>
            <w:r>
              <w:rPr>
                <w:rFonts w:hint="eastAsia" w:ascii="宋体" w:hAnsi="宋体"/>
                <w:szCs w:val="21"/>
              </w:rPr>
              <w:t>□是□否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restart"/>
            <w:vAlign w:val="center"/>
          </w:tcPr>
          <w:p>
            <w:pPr>
              <w:jc w:val="center"/>
              <w:rPr>
                <w:rFonts w:ascii="宋体"/>
                <w:b/>
                <w:sz w:val="24"/>
              </w:rPr>
            </w:pPr>
            <w:r>
              <w:rPr>
                <w:rFonts w:hint="eastAsia" w:ascii="宋体" w:hAnsi="宋体"/>
                <w:b/>
                <w:sz w:val="24"/>
              </w:rPr>
              <w:t>联系方式</w:t>
            </w:r>
          </w:p>
        </w:tc>
        <w:tc>
          <w:tcPr>
            <w:tcW w:w="1843" w:type="dxa"/>
            <w:vAlign w:val="center"/>
          </w:tcPr>
          <w:p>
            <w:pPr>
              <w:jc w:val="center"/>
              <w:rPr>
                <w:rFonts w:ascii="宋体"/>
                <w:szCs w:val="21"/>
              </w:rPr>
            </w:pPr>
            <w:r>
              <w:rPr>
                <w:rFonts w:hint="eastAsia" w:ascii="宋体" w:hAnsi="宋体"/>
                <w:szCs w:val="21"/>
              </w:rPr>
              <w:t>联系人</w:t>
            </w:r>
          </w:p>
        </w:tc>
        <w:tc>
          <w:tcPr>
            <w:tcW w:w="2268" w:type="dxa"/>
            <w:vAlign w:val="center"/>
          </w:tcPr>
          <w:p>
            <w:pPr>
              <w:jc w:val="center"/>
              <w:rPr>
                <w:rFonts w:ascii="宋体"/>
                <w:szCs w:val="21"/>
              </w:rPr>
            </w:pPr>
          </w:p>
        </w:tc>
        <w:tc>
          <w:tcPr>
            <w:tcW w:w="1559" w:type="dxa"/>
            <w:vAlign w:val="center"/>
          </w:tcPr>
          <w:p>
            <w:pPr>
              <w:jc w:val="center"/>
              <w:rPr>
                <w:rFonts w:ascii="宋体"/>
                <w:szCs w:val="21"/>
              </w:rPr>
            </w:pPr>
            <w:r>
              <w:rPr>
                <w:rFonts w:hint="eastAsia" w:ascii="宋体" w:hAnsi="宋体"/>
                <w:szCs w:val="21"/>
              </w:rPr>
              <w:t>联系电话</w:t>
            </w:r>
          </w:p>
        </w:tc>
        <w:tc>
          <w:tcPr>
            <w:tcW w:w="1730" w:type="dxa"/>
            <w:vAlign w:val="center"/>
          </w:tcPr>
          <w:p>
            <w:pPr>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rPr>
            </w:pPr>
          </w:p>
        </w:tc>
        <w:tc>
          <w:tcPr>
            <w:tcW w:w="1843" w:type="dxa"/>
            <w:vAlign w:val="center"/>
          </w:tcPr>
          <w:p>
            <w:pPr>
              <w:jc w:val="center"/>
              <w:rPr>
                <w:rFonts w:ascii="宋体"/>
                <w:szCs w:val="21"/>
              </w:rPr>
            </w:pPr>
            <w:r>
              <w:rPr>
                <w:rFonts w:hint="eastAsia" w:ascii="宋体" w:hAnsi="宋体"/>
                <w:szCs w:val="21"/>
              </w:rPr>
              <w:t>传真</w:t>
            </w:r>
          </w:p>
        </w:tc>
        <w:tc>
          <w:tcPr>
            <w:tcW w:w="2268" w:type="dxa"/>
            <w:vAlign w:val="center"/>
          </w:tcPr>
          <w:p>
            <w:pPr>
              <w:jc w:val="center"/>
              <w:rPr>
                <w:rFonts w:ascii="宋体"/>
                <w:b/>
                <w:bCs/>
                <w:szCs w:val="21"/>
              </w:rPr>
            </w:pPr>
          </w:p>
        </w:tc>
        <w:tc>
          <w:tcPr>
            <w:tcW w:w="1559" w:type="dxa"/>
            <w:vAlign w:val="center"/>
          </w:tcPr>
          <w:p>
            <w:pPr>
              <w:jc w:val="center"/>
              <w:rPr>
                <w:rFonts w:ascii="宋体"/>
                <w:szCs w:val="21"/>
              </w:rPr>
            </w:pPr>
            <w:r>
              <w:rPr>
                <w:rFonts w:hint="eastAsia" w:ascii="宋体" w:hAnsi="宋体"/>
                <w:szCs w:val="21"/>
              </w:rPr>
              <w:t>电子邮件</w:t>
            </w:r>
          </w:p>
        </w:tc>
        <w:tc>
          <w:tcPr>
            <w:tcW w:w="1730" w:type="dxa"/>
            <w:vAlign w:val="center"/>
          </w:tcPr>
          <w:p>
            <w:pPr>
              <w:jc w:val="center"/>
              <w:rPr>
                <w:rFonts w:ascii="宋体"/>
                <w:b/>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Merge w:val="continue"/>
            <w:vAlign w:val="center"/>
          </w:tcPr>
          <w:p>
            <w:pPr>
              <w:rPr>
                <w:rFonts w:ascii="宋体"/>
                <w:b/>
                <w:sz w:val="24"/>
              </w:rPr>
            </w:pPr>
          </w:p>
        </w:tc>
        <w:tc>
          <w:tcPr>
            <w:tcW w:w="1843" w:type="dxa"/>
            <w:vAlign w:val="center"/>
          </w:tcPr>
          <w:p>
            <w:pPr>
              <w:jc w:val="center"/>
              <w:rPr>
                <w:rFonts w:ascii="宋体"/>
                <w:szCs w:val="21"/>
              </w:rPr>
            </w:pPr>
            <w:r>
              <w:rPr>
                <w:rFonts w:hint="eastAsia" w:ascii="宋体" w:hAnsi="宋体"/>
                <w:szCs w:val="21"/>
              </w:rPr>
              <w:t>通讯地址</w:t>
            </w:r>
          </w:p>
        </w:tc>
        <w:tc>
          <w:tcPr>
            <w:tcW w:w="2268" w:type="dxa"/>
            <w:vAlign w:val="center"/>
          </w:tcPr>
          <w:p>
            <w:pPr>
              <w:jc w:val="center"/>
              <w:rPr>
                <w:rFonts w:ascii="宋体"/>
                <w:b/>
                <w:bCs/>
                <w:szCs w:val="21"/>
              </w:rPr>
            </w:pPr>
          </w:p>
        </w:tc>
        <w:tc>
          <w:tcPr>
            <w:tcW w:w="1559" w:type="dxa"/>
            <w:vAlign w:val="center"/>
          </w:tcPr>
          <w:p>
            <w:pPr>
              <w:jc w:val="center"/>
              <w:rPr>
                <w:rFonts w:ascii="宋体"/>
                <w:szCs w:val="21"/>
              </w:rPr>
            </w:pPr>
            <w:r>
              <w:rPr>
                <w:rFonts w:hint="eastAsia" w:ascii="宋体" w:hAnsi="宋体"/>
                <w:szCs w:val="21"/>
              </w:rPr>
              <w:t>邮编</w:t>
            </w:r>
          </w:p>
        </w:tc>
        <w:tc>
          <w:tcPr>
            <w:tcW w:w="1730" w:type="dxa"/>
            <w:vAlign w:val="center"/>
          </w:tcPr>
          <w:p>
            <w:pPr>
              <w:jc w:val="center"/>
              <w:rPr>
                <w:rFonts w:ascii="宋体"/>
                <w:b/>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trPr>
        <w:tc>
          <w:tcPr>
            <w:tcW w:w="1276" w:type="dxa"/>
            <w:vAlign w:val="center"/>
          </w:tcPr>
          <w:p>
            <w:pPr>
              <w:jc w:val="center"/>
              <w:rPr>
                <w:rFonts w:ascii="宋体"/>
                <w:b/>
                <w:bCs/>
                <w:sz w:val="24"/>
              </w:rPr>
            </w:pPr>
            <w:r>
              <w:rPr>
                <w:rFonts w:hint="eastAsia" w:ascii="宋体" w:hAnsi="宋体"/>
                <w:b/>
                <w:bCs/>
                <w:sz w:val="24"/>
              </w:rPr>
              <w:t>投资意向</w:t>
            </w:r>
          </w:p>
        </w:tc>
        <w:tc>
          <w:tcPr>
            <w:tcW w:w="1843" w:type="dxa"/>
            <w:vAlign w:val="center"/>
          </w:tcPr>
          <w:p>
            <w:pPr>
              <w:jc w:val="center"/>
              <w:rPr>
                <w:rFonts w:ascii="宋体"/>
                <w:szCs w:val="21"/>
              </w:rPr>
            </w:pPr>
            <w:r>
              <w:rPr>
                <w:rFonts w:hint="eastAsia" w:ascii="宋体" w:hAnsi="宋体"/>
                <w:szCs w:val="21"/>
              </w:rPr>
              <w:t>投资比例</w:t>
            </w:r>
          </w:p>
        </w:tc>
        <w:tc>
          <w:tcPr>
            <w:tcW w:w="2268" w:type="dxa"/>
            <w:vAlign w:val="center"/>
          </w:tcPr>
          <w:p>
            <w:pPr>
              <w:jc w:val="center"/>
              <w:rPr>
                <w:rFonts w:ascii="宋体"/>
                <w:szCs w:val="21"/>
              </w:rPr>
            </w:pPr>
          </w:p>
        </w:tc>
        <w:tc>
          <w:tcPr>
            <w:tcW w:w="1559" w:type="dxa"/>
            <w:vAlign w:val="center"/>
          </w:tcPr>
          <w:p>
            <w:pPr>
              <w:jc w:val="center"/>
              <w:rPr>
                <w:rFonts w:ascii="宋体"/>
                <w:szCs w:val="21"/>
              </w:rPr>
            </w:pPr>
            <w:r>
              <w:rPr>
                <w:rFonts w:hint="eastAsia" w:ascii="宋体" w:hAnsi="宋体"/>
                <w:szCs w:val="21"/>
              </w:rPr>
              <w:t>是否接受挂牌价格</w:t>
            </w:r>
          </w:p>
        </w:tc>
        <w:tc>
          <w:tcPr>
            <w:tcW w:w="1730" w:type="dxa"/>
            <w:vAlign w:val="center"/>
          </w:tcPr>
          <w:p>
            <w:pPr>
              <w:ind w:firstLine="210" w:firstLineChars="100"/>
              <w:rPr>
                <w:rFonts w:ascii="宋体"/>
                <w:szCs w:val="21"/>
              </w:rPr>
            </w:pPr>
            <w:r>
              <w:rPr>
                <w:rFonts w:hint="eastAsia" w:ascii="宋体" w:hAnsi="宋体"/>
                <w:szCs w:val="21"/>
              </w:rPr>
              <w:t>□是□否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10" w:hRule="atLeast"/>
        </w:trPr>
        <w:tc>
          <w:tcPr>
            <w:tcW w:w="1276" w:type="dxa"/>
            <w:tcBorders>
              <w:bottom w:val="single" w:color="auto" w:sz="12" w:space="0"/>
            </w:tcBorders>
            <w:vAlign w:val="center"/>
          </w:tcPr>
          <w:p>
            <w:pPr>
              <w:pStyle w:val="8"/>
              <w:ind w:firstLine="0" w:firstLineChars="0"/>
              <w:jc w:val="center"/>
              <w:rPr>
                <w:rFonts w:ascii="宋体" w:hAnsi="宋体"/>
              </w:rPr>
            </w:pPr>
            <w:r>
              <w:rPr>
                <w:rFonts w:hint="eastAsia" w:ascii="宋体" w:hAnsi="宋体"/>
              </w:rPr>
              <w:t>投资</w:t>
            </w:r>
          </w:p>
          <w:p>
            <w:pPr>
              <w:pStyle w:val="8"/>
              <w:ind w:firstLine="0" w:firstLineChars="0"/>
              <w:jc w:val="center"/>
              <w:rPr>
                <w:rFonts w:ascii="宋体" w:hAnsi="宋体"/>
              </w:rPr>
            </w:pPr>
            <w:r>
              <w:rPr>
                <w:rFonts w:hint="eastAsia" w:ascii="宋体" w:hAnsi="宋体"/>
              </w:rPr>
              <w:t>意向</w:t>
            </w:r>
          </w:p>
          <w:p>
            <w:pPr>
              <w:pStyle w:val="8"/>
              <w:ind w:firstLine="0" w:firstLineChars="0"/>
              <w:jc w:val="center"/>
              <w:rPr>
                <w:rFonts w:ascii="宋体" w:eastAsia="宋体"/>
              </w:rPr>
            </w:pPr>
            <w:r>
              <w:rPr>
                <w:rFonts w:hint="eastAsia" w:ascii="宋体" w:hAnsi="宋体"/>
              </w:rPr>
              <w:t>描述</w:t>
            </w:r>
          </w:p>
        </w:tc>
        <w:tc>
          <w:tcPr>
            <w:tcW w:w="7400" w:type="dxa"/>
            <w:gridSpan w:val="4"/>
            <w:tcBorders>
              <w:bottom w:val="single" w:color="auto" w:sz="12" w:space="0"/>
            </w:tcBorders>
            <w:vAlign w:val="center"/>
          </w:tcPr>
          <w:p>
            <w:pPr>
              <w:rPr>
                <w:rFonts w:ascii="宋体"/>
                <w:szCs w:val="21"/>
              </w:rPr>
            </w:pPr>
          </w:p>
        </w:tc>
      </w:tr>
    </w:tbl>
    <w:p>
      <w:pPr>
        <w:spacing w:before="78" w:after="78"/>
        <w:rPr>
          <w:rFonts w:ascii="宋体" w:hAnsi="宋体"/>
          <w:b/>
          <w:sz w:val="32"/>
          <w:szCs w:val="32"/>
        </w:rPr>
      </w:pPr>
    </w:p>
    <w:p>
      <w:pPr>
        <w:spacing w:before="78" w:after="78"/>
        <w:rPr>
          <w:rFonts w:ascii="宋体"/>
          <w:b/>
          <w:sz w:val="32"/>
          <w:szCs w:val="32"/>
        </w:rPr>
      </w:pPr>
      <w:r>
        <w:rPr>
          <w:rFonts w:ascii="宋体" w:hAnsi="宋体"/>
          <w:b/>
          <w:sz w:val="32"/>
          <w:szCs w:val="32"/>
        </w:rPr>
        <w:br w:type="page"/>
      </w:r>
      <w:r>
        <w:rPr>
          <w:rFonts w:hint="eastAsia" w:ascii="宋体" w:hAnsi="宋体"/>
          <w:b/>
          <w:sz w:val="32"/>
          <w:szCs w:val="32"/>
        </w:rPr>
        <w:t>备查材料</w:t>
      </w:r>
    </w:p>
    <w:tbl>
      <w:tblPr>
        <w:tblStyle w:val="18"/>
        <w:tblW w:w="9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2"/>
        <w:gridCol w:w="4617"/>
        <w:gridCol w:w="2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tcBorders>
              <w:top w:val="single" w:color="auto" w:sz="12" w:space="0"/>
              <w:left w:val="single" w:color="auto" w:sz="12" w:space="0"/>
            </w:tcBorders>
            <w:vAlign w:val="center"/>
          </w:tcPr>
          <w:p>
            <w:pPr>
              <w:widowControl/>
              <w:adjustRightInd w:val="0"/>
              <w:snapToGrid w:val="0"/>
              <w:jc w:val="center"/>
              <w:rPr>
                <w:rFonts w:ascii="宋体" w:cs="宋体"/>
                <w:b/>
                <w:bCs/>
                <w:kern w:val="0"/>
                <w:sz w:val="24"/>
              </w:rPr>
            </w:pPr>
            <w:r>
              <w:rPr>
                <w:rFonts w:hint="eastAsia" w:ascii="宋体" w:hAnsi="宋体" w:cs="宋体"/>
                <w:b/>
                <w:bCs/>
                <w:kern w:val="0"/>
                <w:sz w:val="24"/>
              </w:rPr>
              <w:t>附件类型</w:t>
            </w:r>
          </w:p>
        </w:tc>
        <w:tc>
          <w:tcPr>
            <w:tcW w:w="4617" w:type="dxa"/>
            <w:tcBorders>
              <w:top w:val="single" w:color="auto" w:sz="12" w:space="0"/>
            </w:tcBorders>
            <w:vAlign w:val="center"/>
          </w:tcPr>
          <w:p>
            <w:pPr>
              <w:widowControl/>
              <w:adjustRightInd w:val="0"/>
              <w:snapToGrid w:val="0"/>
              <w:jc w:val="center"/>
              <w:rPr>
                <w:rFonts w:ascii="宋体" w:cs="宋体"/>
                <w:b/>
                <w:bCs/>
                <w:kern w:val="0"/>
                <w:sz w:val="24"/>
              </w:rPr>
            </w:pPr>
            <w:r>
              <w:rPr>
                <w:rFonts w:hint="eastAsia" w:ascii="宋体" w:hAnsi="宋体" w:cs="宋体"/>
                <w:b/>
                <w:bCs/>
                <w:kern w:val="0"/>
                <w:sz w:val="24"/>
              </w:rPr>
              <w:t>资料名称</w:t>
            </w:r>
          </w:p>
        </w:tc>
        <w:tc>
          <w:tcPr>
            <w:tcW w:w="2544" w:type="dxa"/>
            <w:tcBorders>
              <w:top w:val="single" w:color="auto" w:sz="12" w:space="0"/>
              <w:right w:val="single" w:color="auto" w:sz="12" w:space="0"/>
            </w:tcBorders>
            <w:vAlign w:val="center"/>
          </w:tcPr>
          <w:p>
            <w:pPr>
              <w:widowControl/>
              <w:adjustRightInd w:val="0"/>
              <w:snapToGrid w:val="0"/>
              <w:jc w:val="center"/>
              <w:rPr>
                <w:rFonts w:ascii="宋体" w:cs="宋体"/>
                <w:b/>
                <w:bCs/>
                <w:kern w:val="0"/>
                <w:sz w:val="24"/>
              </w:rPr>
            </w:pPr>
            <w:r>
              <w:rPr>
                <w:rFonts w:hint="eastAsia" w:ascii="宋体" w:hAnsi="宋体" w:cs="宋体"/>
                <w:b/>
                <w:bCs/>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tcBorders>
              <w:left w:val="single" w:color="auto" w:sz="12" w:space="0"/>
            </w:tcBorders>
            <w:vAlign w:val="center"/>
          </w:tcPr>
          <w:p>
            <w:pPr>
              <w:widowControl/>
              <w:adjustRightInd w:val="0"/>
              <w:snapToGrid w:val="0"/>
              <w:jc w:val="center"/>
              <w:rPr>
                <w:rFonts w:ascii="宋体" w:cs="宋体"/>
                <w:b/>
                <w:bCs/>
                <w:kern w:val="0"/>
                <w:sz w:val="24"/>
              </w:rPr>
            </w:pPr>
            <w:r>
              <w:rPr>
                <w:rFonts w:hint="eastAsia" w:ascii="宋体" w:hAnsi="宋体" w:cs="宋体"/>
                <w:b/>
                <w:kern w:val="0"/>
                <w:sz w:val="24"/>
              </w:rPr>
              <w:t>申请类资料</w:t>
            </w:r>
          </w:p>
        </w:tc>
        <w:tc>
          <w:tcPr>
            <w:tcW w:w="4617" w:type="dxa"/>
            <w:vAlign w:val="center"/>
          </w:tcPr>
          <w:p>
            <w:pPr>
              <w:widowControl/>
              <w:adjustRightInd w:val="0"/>
              <w:snapToGrid w:val="0"/>
              <w:jc w:val="left"/>
              <w:rPr>
                <w:rFonts w:ascii="宋体"/>
                <w:kern w:val="0"/>
              </w:rPr>
            </w:pPr>
            <w:r>
              <w:rPr>
                <w:rFonts w:hint="eastAsia" w:ascii="宋体" w:hAnsi="宋体"/>
                <w:kern w:val="0"/>
              </w:rPr>
              <w:t>《增资扩股投资申请书》</w:t>
            </w:r>
          </w:p>
        </w:tc>
        <w:tc>
          <w:tcPr>
            <w:tcW w:w="2544" w:type="dxa"/>
            <w:tcBorders>
              <w:right w:val="single" w:color="auto" w:sz="12" w:space="0"/>
            </w:tcBorders>
            <w:vAlign w:val="center"/>
          </w:tcPr>
          <w:p>
            <w:pPr>
              <w:widowControl/>
              <w:adjustRightInd w:val="0"/>
              <w:snapToGrid w:val="0"/>
              <w:jc w:val="center"/>
              <w:rPr>
                <w:rFonts w:ascii="宋体" w:cs="宋体"/>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restart"/>
            <w:tcBorders>
              <w:left w:val="single" w:color="auto" w:sz="12" w:space="0"/>
            </w:tcBorders>
            <w:vAlign w:val="center"/>
          </w:tcPr>
          <w:p>
            <w:pPr>
              <w:widowControl/>
              <w:adjustRightInd w:val="0"/>
              <w:snapToGrid w:val="0"/>
              <w:jc w:val="center"/>
              <w:rPr>
                <w:rFonts w:ascii="宋体" w:cs="宋体"/>
                <w:b/>
                <w:kern w:val="0"/>
                <w:sz w:val="24"/>
              </w:rPr>
            </w:pPr>
            <w:r>
              <w:rPr>
                <w:rFonts w:hint="eastAsia" w:ascii="宋体" w:hAnsi="宋体" w:cs="宋体"/>
                <w:b/>
                <w:kern w:val="0"/>
                <w:sz w:val="24"/>
              </w:rPr>
              <w:t>主体资格类资料</w:t>
            </w:r>
          </w:p>
        </w:tc>
        <w:tc>
          <w:tcPr>
            <w:tcW w:w="4617" w:type="dxa"/>
            <w:vAlign w:val="center"/>
          </w:tcPr>
          <w:p>
            <w:pPr>
              <w:widowControl/>
              <w:adjustRightInd w:val="0"/>
              <w:snapToGrid w:val="0"/>
              <w:jc w:val="left"/>
              <w:rPr>
                <w:rFonts w:ascii="宋体"/>
                <w:kern w:val="0"/>
              </w:rPr>
            </w:pPr>
            <w:r>
              <w:rPr>
                <w:rFonts w:hint="eastAsia" w:ascii="宋体" w:hAnsi="宋体"/>
                <w:kern w:val="0"/>
              </w:rPr>
              <w:t>营业执照或</w:t>
            </w:r>
            <w:r>
              <w:rPr>
                <w:rFonts w:hint="eastAsia" w:ascii="宋体" w:hAnsi="宋体"/>
                <w:sz w:val="24"/>
              </w:rPr>
              <w:t>相关注册证明文件</w:t>
            </w: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rPr>
            </w:pPr>
          </w:p>
        </w:tc>
        <w:tc>
          <w:tcPr>
            <w:tcW w:w="4617" w:type="dxa"/>
            <w:vAlign w:val="center"/>
          </w:tcPr>
          <w:p>
            <w:pPr>
              <w:widowControl/>
              <w:adjustRightInd w:val="0"/>
              <w:snapToGrid w:val="0"/>
              <w:jc w:val="left"/>
              <w:rPr>
                <w:rFonts w:ascii="宋体"/>
                <w:kern w:val="0"/>
              </w:rPr>
            </w:pPr>
            <w:r>
              <w:rPr>
                <w:rFonts w:hint="eastAsia" w:ascii="宋体" w:hAnsi="宋体"/>
                <w:kern w:val="0"/>
              </w:rPr>
              <w:t>身份证明</w:t>
            </w: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restart"/>
            <w:tcBorders>
              <w:left w:val="single" w:color="auto" w:sz="12" w:space="0"/>
            </w:tcBorders>
            <w:vAlign w:val="center"/>
          </w:tcPr>
          <w:p>
            <w:pPr>
              <w:widowControl/>
              <w:adjustRightInd w:val="0"/>
              <w:snapToGrid w:val="0"/>
              <w:jc w:val="center"/>
              <w:rPr>
                <w:rFonts w:ascii="宋体" w:cs="宋体"/>
                <w:b/>
                <w:kern w:val="0"/>
                <w:sz w:val="24"/>
              </w:rPr>
            </w:pPr>
            <w:r>
              <w:rPr>
                <w:rFonts w:hint="eastAsia" w:ascii="宋体" w:hAnsi="宋体" w:cs="宋体"/>
                <w:b/>
                <w:kern w:val="0"/>
                <w:sz w:val="24"/>
              </w:rPr>
              <w:t>决议及批准类资料</w:t>
            </w:r>
          </w:p>
        </w:tc>
        <w:tc>
          <w:tcPr>
            <w:tcW w:w="4617" w:type="dxa"/>
            <w:vAlign w:val="center"/>
          </w:tcPr>
          <w:p>
            <w:pPr>
              <w:widowControl/>
              <w:adjustRightInd w:val="0"/>
              <w:snapToGrid w:val="0"/>
              <w:jc w:val="left"/>
              <w:rPr>
                <w:rFonts w:ascii="宋体"/>
                <w:kern w:val="0"/>
              </w:rPr>
            </w:pPr>
            <w:r>
              <w:rPr>
                <w:rFonts w:hint="eastAsia" w:ascii="宋体" w:hAnsi="宋体"/>
                <w:kern w:val="0"/>
              </w:rPr>
              <w:t>公司章程或相关证明材料</w:t>
            </w: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hAnsi="宋体" w:cs="宋体"/>
                <w:b/>
                <w:kern w:val="0"/>
                <w:sz w:val="24"/>
              </w:rPr>
            </w:pPr>
          </w:p>
        </w:tc>
        <w:tc>
          <w:tcPr>
            <w:tcW w:w="4617" w:type="dxa"/>
            <w:vAlign w:val="center"/>
          </w:tcPr>
          <w:p>
            <w:pPr>
              <w:widowControl/>
              <w:adjustRightInd w:val="0"/>
              <w:snapToGrid w:val="0"/>
              <w:jc w:val="left"/>
              <w:rPr>
                <w:rFonts w:ascii="宋体" w:hAnsi="宋体"/>
                <w:kern w:val="0"/>
              </w:rPr>
            </w:pPr>
            <w:r>
              <w:rPr>
                <w:rFonts w:hint="eastAsia" w:ascii="宋体" w:hAnsi="宋体"/>
                <w:kern w:val="0"/>
              </w:rPr>
              <w:t>工商管理部门或其他部门企业登记证明</w:t>
            </w: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rPr>
            </w:pPr>
          </w:p>
        </w:tc>
        <w:tc>
          <w:tcPr>
            <w:tcW w:w="4617" w:type="dxa"/>
            <w:vAlign w:val="center"/>
          </w:tcPr>
          <w:p>
            <w:pPr>
              <w:widowControl/>
              <w:adjustRightInd w:val="0"/>
              <w:snapToGrid w:val="0"/>
              <w:jc w:val="left"/>
              <w:rPr>
                <w:rFonts w:ascii="宋体"/>
                <w:kern w:val="0"/>
              </w:rPr>
            </w:pPr>
            <w:r>
              <w:rPr>
                <w:rFonts w:hint="eastAsia" w:ascii="宋体" w:hAnsi="宋体"/>
                <w:kern w:val="0"/>
              </w:rPr>
              <w:t>股东大会决议</w:t>
            </w: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rPr>
            </w:pPr>
          </w:p>
        </w:tc>
        <w:tc>
          <w:tcPr>
            <w:tcW w:w="4617" w:type="dxa"/>
            <w:vAlign w:val="center"/>
          </w:tcPr>
          <w:p>
            <w:pPr>
              <w:widowControl/>
              <w:adjustRightInd w:val="0"/>
              <w:snapToGrid w:val="0"/>
              <w:jc w:val="left"/>
              <w:rPr>
                <w:rFonts w:ascii="宋体"/>
                <w:kern w:val="0"/>
              </w:rPr>
            </w:pPr>
            <w:r>
              <w:rPr>
                <w:rFonts w:hint="eastAsia" w:ascii="宋体" w:hAnsi="宋体"/>
                <w:kern w:val="0"/>
              </w:rPr>
              <w:t>董事会决议</w:t>
            </w: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rPr>
            </w:pPr>
          </w:p>
        </w:tc>
        <w:tc>
          <w:tcPr>
            <w:tcW w:w="4617" w:type="dxa"/>
            <w:vAlign w:val="center"/>
          </w:tcPr>
          <w:p>
            <w:pPr>
              <w:widowControl/>
              <w:adjustRightInd w:val="0"/>
              <w:snapToGrid w:val="0"/>
              <w:jc w:val="left"/>
              <w:rPr>
                <w:rFonts w:ascii="宋体"/>
                <w:kern w:val="0"/>
              </w:rPr>
            </w:pPr>
            <w:r>
              <w:rPr>
                <w:rFonts w:hint="eastAsia" w:ascii="宋体" w:hAnsi="宋体"/>
                <w:kern w:val="0"/>
              </w:rPr>
              <w:t>总经理办公会决议</w:t>
            </w: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rPr>
            </w:pPr>
          </w:p>
        </w:tc>
        <w:tc>
          <w:tcPr>
            <w:tcW w:w="4617" w:type="dxa"/>
            <w:vAlign w:val="center"/>
          </w:tcPr>
          <w:p>
            <w:pPr>
              <w:widowControl/>
              <w:adjustRightInd w:val="0"/>
              <w:snapToGrid w:val="0"/>
              <w:jc w:val="left"/>
              <w:rPr>
                <w:rFonts w:ascii="宋体"/>
                <w:kern w:val="0"/>
              </w:rPr>
            </w:pPr>
            <w:r>
              <w:rPr>
                <w:rFonts w:hint="eastAsia" w:ascii="宋体" w:hAnsi="宋体"/>
                <w:kern w:val="0"/>
              </w:rPr>
              <w:t>主管部门批复</w:t>
            </w: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restart"/>
            <w:tcBorders>
              <w:left w:val="single" w:color="auto" w:sz="12" w:space="0"/>
            </w:tcBorders>
            <w:vAlign w:val="center"/>
          </w:tcPr>
          <w:p>
            <w:pPr>
              <w:widowControl/>
              <w:adjustRightInd w:val="0"/>
              <w:snapToGrid w:val="0"/>
              <w:jc w:val="center"/>
              <w:rPr>
                <w:rFonts w:ascii="宋体" w:cs="宋体"/>
                <w:b/>
                <w:kern w:val="0"/>
                <w:sz w:val="24"/>
              </w:rPr>
            </w:pPr>
            <w:r>
              <w:rPr>
                <w:rFonts w:hint="eastAsia" w:ascii="宋体" w:hAnsi="宋体" w:cs="宋体"/>
                <w:b/>
                <w:kern w:val="0"/>
                <w:sz w:val="24"/>
              </w:rPr>
              <w:t>符合增资扩股条件的其他资料</w:t>
            </w:r>
          </w:p>
        </w:tc>
        <w:tc>
          <w:tcPr>
            <w:tcW w:w="4617" w:type="dxa"/>
            <w:vAlign w:val="center"/>
          </w:tcPr>
          <w:p>
            <w:pPr>
              <w:widowControl/>
              <w:adjustRightInd w:val="0"/>
              <w:snapToGrid w:val="0"/>
              <w:jc w:val="left"/>
              <w:rPr>
                <w:rFonts w:ascii="宋体" w:cs="宋体"/>
                <w:kern w:val="0"/>
                <w:szCs w:val="21"/>
              </w:rPr>
            </w:pP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rPr>
            </w:pPr>
          </w:p>
        </w:tc>
        <w:tc>
          <w:tcPr>
            <w:tcW w:w="4617" w:type="dxa"/>
            <w:vAlign w:val="center"/>
          </w:tcPr>
          <w:p>
            <w:pPr>
              <w:widowControl/>
              <w:adjustRightInd w:val="0"/>
              <w:snapToGrid w:val="0"/>
              <w:jc w:val="left"/>
              <w:rPr>
                <w:rFonts w:ascii="宋体" w:cs="宋体"/>
                <w:kern w:val="0"/>
                <w:szCs w:val="21"/>
              </w:rPr>
            </w:pP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rPr>
            </w:pPr>
          </w:p>
        </w:tc>
        <w:tc>
          <w:tcPr>
            <w:tcW w:w="4617" w:type="dxa"/>
            <w:vAlign w:val="center"/>
          </w:tcPr>
          <w:p>
            <w:pPr>
              <w:widowControl/>
              <w:adjustRightInd w:val="0"/>
              <w:snapToGrid w:val="0"/>
              <w:jc w:val="left"/>
              <w:rPr>
                <w:rFonts w:ascii="宋体" w:cs="宋体"/>
                <w:kern w:val="0"/>
                <w:szCs w:val="21"/>
              </w:rPr>
            </w:pP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rPr>
            </w:pPr>
          </w:p>
        </w:tc>
        <w:tc>
          <w:tcPr>
            <w:tcW w:w="4617" w:type="dxa"/>
            <w:vAlign w:val="center"/>
          </w:tcPr>
          <w:p>
            <w:pPr>
              <w:widowControl/>
              <w:adjustRightInd w:val="0"/>
              <w:snapToGrid w:val="0"/>
              <w:jc w:val="left"/>
              <w:rPr>
                <w:rFonts w:ascii="宋体" w:cs="宋体"/>
                <w:kern w:val="0"/>
                <w:szCs w:val="21"/>
              </w:rPr>
            </w:pP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222" w:type="dxa"/>
            <w:vMerge w:val="continue"/>
            <w:tcBorders>
              <w:left w:val="single" w:color="auto" w:sz="12" w:space="0"/>
            </w:tcBorders>
            <w:vAlign w:val="center"/>
          </w:tcPr>
          <w:p>
            <w:pPr>
              <w:widowControl/>
              <w:adjustRightInd w:val="0"/>
              <w:snapToGrid w:val="0"/>
              <w:jc w:val="center"/>
              <w:rPr>
                <w:rFonts w:ascii="宋体" w:cs="宋体"/>
                <w:b/>
                <w:kern w:val="0"/>
                <w:sz w:val="24"/>
              </w:rPr>
            </w:pPr>
          </w:p>
        </w:tc>
        <w:tc>
          <w:tcPr>
            <w:tcW w:w="4617" w:type="dxa"/>
            <w:vAlign w:val="center"/>
          </w:tcPr>
          <w:p>
            <w:pPr>
              <w:widowControl/>
              <w:adjustRightInd w:val="0"/>
              <w:snapToGrid w:val="0"/>
              <w:jc w:val="left"/>
              <w:rPr>
                <w:rFonts w:ascii="宋体" w:cs="宋体"/>
                <w:kern w:val="0"/>
                <w:szCs w:val="21"/>
              </w:rPr>
            </w:pPr>
          </w:p>
        </w:tc>
        <w:tc>
          <w:tcPr>
            <w:tcW w:w="2544" w:type="dxa"/>
            <w:tcBorders>
              <w:right w:val="single" w:color="auto" w:sz="12" w:space="0"/>
            </w:tcBorders>
            <w:vAlign w:val="center"/>
          </w:tcPr>
          <w:p>
            <w:pPr>
              <w:widowControl/>
              <w:adjustRightInd w:val="0"/>
              <w:snapToGrid w:val="0"/>
              <w:jc w:val="center"/>
              <w:rPr>
                <w:rFonts w:asci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8" w:hRule="exact"/>
          <w:jc w:val="center"/>
        </w:trPr>
        <w:tc>
          <w:tcPr>
            <w:tcW w:w="2222" w:type="dxa"/>
            <w:tcBorders>
              <w:left w:val="single" w:color="auto" w:sz="12" w:space="0"/>
              <w:bottom w:val="single" w:color="auto" w:sz="12" w:space="0"/>
            </w:tcBorders>
            <w:vAlign w:val="center"/>
          </w:tcPr>
          <w:p>
            <w:pPr>
              <w:adjustRightInd w:val="0"/>
              <w:snapToGrid w:val="0"/>
              <w:spacing w:line="360" w:lineRule="auto"/>
              <w:jc w:val="center"/>
              <w:rPr>
                <w:rFonts w:ascii="宋体"/>
                <w:b/>
                <w:sz w:val="24"/>
              </w:rPr>
            </w:pPr>
            <w:r>
              <w:rPr>
                <w:rFonts w:hint="eastAsia" w:ascii="宋体" w:hAnsi="宋体"/>
                <w:b/>
                <w:sz w:val="24"/>
              </w:rPr>
              <w:t>核实意见</w:t>
            </w:r>
          </w:p>
        </w:tc>
        <w:tc>
          <w:tcPr>
            <w:tcW w:w="7161" w:type="dxa"/>
            <w:gridSpan w:val="2"/>
            <w:tcBorders>
              <w:bottom w:val="single" w:color="auto" w:sz="12" w:space="0"/>
              <w:right w:val="single" w:color="auto" w:sz="12" w:space="0"/>
            </w:tcBorders>
            <w:vAlign w:val="center"/>
          </w:tcPr>
          <w:p>
            <w:pPr>
              <w:ind w:firstLine="420" w:firstLineChars="200"/>
              <w:jc w:val="left"/>
              <w:rPr>
                <w:szCs w:val="21"/>
              </w:rPr>
            </w:pPr>
            <w:r>
              <w:rPr>
                <w:rFonts w:hint="eastAsia"/>
                <w:szCs w:val="21"/>
              </w:rPr>
              <w:t>我方所提交的报名资料和有关证明（含有关附件）均为真实、合法、有效文件，否则我方所交保证金由融资方和组织人没收。</w:t>
            </w:r>
          </w:p>
          <w:p>
            <w:pPr>
              <w:jc w:val="left"/>
              <w:rPr>
                <w:szCs w:val="21"/>
              </w:rPr>
            </w:pPr>
          </w:p>
          <w:p>
            <w:pPr>
              <w:jc w:val="left"/>
              <w:rPr>
                <w:szCs w:val="21"/>
              </w:rPr>
            </w:pPr>
          </w:p>
          <w:p>
            <w:pPr>
              <w:spacing w:line="360" w:lineRule="auto"/>
              <w:jc w:val="center"/>
              <w:rPr>
                <w:szCs w:val="21"/>
              </w:rPr>
            </w:pPr>
            <w:r>
              <w:rPr>
                <w:rFonts w:hint="eastAsia"/>
                <w:szCs w:val="21"/>
              </w:rPr>
              <w:t>意向投资方（盖章）：</w:t>
            </w:r>
          </w:p>
          <w:p>
            <w:pPr>
              <w:spacing w:line="360" w:lineRule="auto"/>
              <w:jc w:val="center"/>
              <w:rPr>
                <w:szCs w:val="21"/>
              </w:rPr>
            </w:pPr>
          </w:p>
          <w:p>
            <w:pPr>
              <w:spacing w:line="360" w:lineRule="auto"/>
              <w:jc w:val="center"/>
              <w:rPr>
                <w:szCs w:val="21"/>
              </w:rPr>
            </w:pPr>
          </w:p>
          <w:p>
            <w:pPr>
              <w:spacing w:line="480" w:lineRule="auto"/>
              <w:ind w:right="420"/>
              <w:jc w:val="center"/>
              <w:rPr>
                <w:szCs w:val="21"/>
              </w:rPr>
            </w:pPr>
            <w:r>
              <w:rPr>
                <w:rFonts w:hint="eastAsia"/>
                <w:szCs w:val="21"/>
              </w:rPr>
              <w:t>（签字）：</w:t>
            </w:r>
            <w:r>
              <w:rPr>
                <w:rFonts w:hint="eastAsia"/>
                <w:szCs w:val="21"/>
                <w:u w:val="single"/>
              </w:rPr>
              <w:t xml:space="preserve">                               </w:t>
            </w:r>
          </w:p>
          <w:p>
            <w:pPr>
              <w:adjustRightInd w:val="0"/>
              <w:snapToGrid w:val="0"/>
              <w:spacing w:line="480" w:lineRule="auto"/>
              <w:jc w:val="right"/>
              <w:rPr>
                <w:rFonts w:ascii="宋体"/>
                <w:szCs w:val="21"/>
              </w:rPr>
            </w:pPr>
            <w:r>
              <w:rPr>
                <w:rFonts w:hint="eastAsia"/>
                <w:szCs w:val="21"/>
              </w:rPr>
              <w:t>日期：</w:t>
            </w:r>
            <w:r>
              <w:rPr>
                <w:szCs w:val="21"/>
              </w:rPr>
              <w:t>______</w:t>
            </w:r>
            <w:r>
              <w:rPr>
                <w:rFonts w:hint="eastAsia"/>
                <w:szCs w:val="21"/>
              </w:rPr>
              <w:t>年</w:t>
            </w:r>
            <w:r>
              <w:rPr>
                <w:szCs w:val="21"/>
              </w:rPr>
              <w:t>____</w:t>
            </w:r>
            <w:r>
              <w:rPr>
                <w:rFonts w:hint="eastAsia"/>
                <w:szCs w:val="21"/>
              </w:rPr>
              <w:t>月</w:t>
            </w:r>
            <w:r>
              <w:rPr>
                <w:szCs w:val="21"/>
              </w:rPr>
              <w:t>____</w:t>
            </w:r>
            <w:r>
              <w:rPr>
                <w:rFonts w:hint="eastAsia"/>
                <w:szCs w:val="21"/>
              </w:rPr>
              <w:t>日</w:t>
            </w:r>
          </w:p>
          <w:p>
            <w:pPr>
              <w:rPr>
                <w:rFonts w:ascii="宋体"/>
                <w:szCs w:val="21"/>
              </w:rPr>
            </w:pPr>
          </w:p>
        </w:tc>
      </w:tr>
    </w:tbl>
    <w:p>
      <w:pPr>
        <w:pStyle w:val="2"/>
        <w:spacing w:before="120" w:after="120" w:line="360" w:lineRule="auto"/>
        <w:jc w:val="center"/>
        <w:rPr>
          <w:sz w:val="32"/>
          <w:szCs w:val="32"/>
        </w:rPr>
      </w:pPr>
      <w:r>
        <w:rPr>
          <w:sz w:val="32"/>
          <w:szCs w:val="32"/>
        </w:rPr>
        <w:br w:type="page"/>
      </w:r>
      <w:bookmarkStart w:id="6" w:name="_Toc48252219"/>
      <w:r>
        <w:rPr>
          <w:rFonts w:hint="eastAsia"/>
          <w:sz w:val="32"/>
          <w:szCs w:val="32"/>
        </w:rPr>
        <w:t>认购风险告知书</w:t>
      </w:r>
      <w:bookmarkEnd w:id="6"/>
    </w:p>
    <w:p>
      <w:pPr>
        <w:spacing w:line="360" w:lineRule="auto"/>
        <w:rPr>
          <w:rFonts w:ascii="宋体"/>
          <w:sz w:val="28"/>
          <w:szCs w:val="28"/>
        </w:rPr>
      </w:pPr>
      <w:r>
        <w:rPr>
          <w:rFonts w:hint="eastAsia" w:ascii="宋体" w:hAnsi="宋体"/>
          <w:sz w:val="28"/>
          <w:szCs w:val="28"/>
        </w:rPr>
        <w:t>尊敬的投资方：</w:t>
      </w:r>
    </w:p>
    <w:p>
      <w:pPr>
        <w:spacing w:line="360" w:lineRule="auto"/>
        <w:ind w:firstLine="700" w:firstLineChars="250"/>
        <w:rPr>
          <w:rFonts w:ascii="宋体"/>
          <w:sz w:val="28"/>
          <w:szCs w:val="28"/>
        </w:rPr>
      </w:pPr>
      <w:r>
        <w:rPr>
          <w:rFonts w:hint="eastAsia" w:ascii="宋体" w:hAnsi="宋体"/>
          <w:sz w:val="28"/>
          <w:szCs w:val="28"/>
        </w:rPr>
        <w:t>台州市产权交易所有限公司作为产权市场的交易平台将恪尽职守，履行诚实、信用、谨慎、有效组织的义务。在您通过台州市产权交易所有限公司参与</w:t>
      </w:r>
      <w:bookmarkStart w:id="7" w:name="_Hlk527723805"/>
      <w:r>
        <w:rPr>
          <w:rFonts w:hint="eastAsia" w:ascii="宋体" w:hAnsi="宋体"/>
          <w:sz w:val="28"/>
          <w:szCs w:val="28"/>
        </w:rPr>
        <w:t>浙江海正动物保健品有限公司新增</w:t>
      </w:r>
      <w:bookmarkEnd w:id="7"/>
      <w:r>
        <w:rPr>
          <w:rFonts w:hint="eastAsia" w:ascii="宋体" w:hAnsi="宋体"/>
          <w:sz w:val="28"/>
          <w:szCs w:val="28"/>
        </w:rPr>
        <w:t>18,000,000股项目的投资时，应充分意识到可能面临的各种投资风险。为此，台州市产权交易所有限公司郑重告知如下：</w:t>
      </w:r>
    </w:p>
    <w:p>
      <w:pPr>
        <w:spacing w:line="360" w:lineRule="auto"/>
        <w:ind w:firstLine="560" w:firstLineChars="200"/>
        <w:rPr>
          <w:rFonts w:ascii="宋体"/>
          <w:sz w:val="28"/>
          <w:szCs w:val="28"/>
        </w:rPr>
      </w:pPr>
      <w:r>
        <w:rPr>
          <w:rFonts w:hint="eastAsia" w:ascii="宋体" w:hAnsi="宋体"/>
          <w:sz w:val="28"/>
          <w:szCs w:val="28"/>
        </w:rPr>
        <w:t>一、本项目海正动保未承诺保本和最低收益，具有一定的投资风险，适合风险识别、评估、承受能力较强的合格投资者。</w:t>
      </w:r>
    </w:p>
    <w:p>
      <w:pPr>
        <w:spacing w:line="360" w:lineRule="auto"/>
        <w:ind w:firstLine="560" w:firstLineChars="200"/>
        <w:rPr>
          <w:rFonts w:ascii="宋体"/>
          <w:sz w:val="28"/>
          <w:szCs w:val="28"/>
        </w:rPr>
      </w:pPr>
      <w:r>
        <w:rPr>
          <w:rFonts w:hint="eastAsia" w:ascii="宋体" w:hAnsi="宋体"/>
          <w:sz w:val="28"/>
          <w:szCs w:val="28"/>
        </w:rPr>
        <w:t>二、投资方提供的所有证件和资料均应真实、全面、有效、合法，并保证其认购资金来源合法。</w:t>
      </w:r>
    </w:p>
    <w:p>
      <w:pPr>
        <w:spacing w:line="360" w:lineRule="auto"/>
        <w:ind w:firstLine="560" w:firstLineChars="200"/>
        <w:rPr>
          <w:rFonts w:ascii="宋体" w:hAnsi="宋体"/>
          <w:sz w:val="28"/>
          <w:szCs w:val="28"/>
        </w:rPr>
      </w:pPr>
      <w:r>
        <w:rPr>
          <w:rFonts w:hint="eastAsia" w:ascii="宋体" w:hAnsi="宋体"/>
          <w:sz w:val="28"/>
          <w:szCs w:val="28"/>
        </w:rPr>
        <w:t>三、投资方因参与本项目所产生的风险，由投资方自行承担。</w:t>
      </w:r>
    </w:p>
    <w:p>
      <w:pPr>
        <w:spacing w:line="360" w:lineRule="auto"/>
        <w:ind w:firstLine="560" w:firstLineChars="200"/>
        <w:rPr>
          <w:rFonts w:ascii="宋体"/>
          <w:sz w:val="28"/>
          <w:szCs w:val="28"/>
        </w:rPr>
      </w:pPr>
      <w:r>
        <w:rPr>
          <w:rFonts w:hint="eastAsia" w:ascii="宋体" w:hAnsi="宋体"/>
          <w:sz w:val="28"/>
          <w:szCs w:val="28"/>
        </w:rPr>
        <w:t>四、请您务必在规定时间内足额缴付保证金到台交所指定账户，如异地网银支付的请关注人民银行大额转账的时间要求，提前汇款。否则，会影响您的认购资格。</w:t>
      </w:r>
    </w:p>
    <w:p>
      <w:pPr>
        <w:spacing w:line="360" w:lineRule="auto"/>
        <w:ind w:firstLine="560" w:firstLineChars="200"/>
        <w:rPr>
          <w:rFonts w:ascii="宋体" w:hAnsi="宋体"/>
          <w:sz w:val="28"/>
          <w:szCs w:val="28"/>
        </w:rPr>
      </w:pPr>
      <w:r>
        <w:rPr>
          <w:rFonts w:hint="eastAsia" w:ascii="宋体" w:hAnsi="宋体"/>
          <w:sz w:val="28"/>
          <w:szCs w:val="28"/>
        </w:rPr>
        <w:t>五、在本项目中，您网络报价竞得后，不得以事先未进行咨询等任何理由反悔，责任由投资方自负，组织人有权不予返还增资保证金。</w:t>
      </w:r>
    </w:p>
    <w:p>
      <w:pPr>
        <w:spacing w:line="360" w:lineRule="auto"/>
        <w:ind w:firstLine="560" w:firstLineChars="200"/>
        <w:rPr>
          <w:rFonts w:ascii="宋体"/>
          <w:sz w:val="28"/>
          <w:szCs w:val="28"/>
        </w:rPr>
      </w:pPr>
      <w:r>
        <w:rPr>
          <w:rFonts w:hint="eastAsia" w:ascii="宋体" w:hAnsi="宋体"/>
          <w:sz w:val="28"/>
          <w:szCs w:val="28"/>
        </w:rPr>
        <w:t>六、如您违反其他交易规则，也可能会导致交易无效，对此产生的法律后果请您充分知悉。</w:t>
      </w:r>
    </w:p>
    <w:p>
      <w:pPr>
        <w:spacing w:line="360" w:lineRule="auto"/>
        <w:ind w:firstLine="560" w:firstLineChars="200"/>
        <w:jc w:val="left"/>
        <w:rPr>
          <w:rFonts w:ascii="宋体" w:hAnsi="宋体"/>
          <w:sz w:val="28"/>
          <w:szCs w:val="28"/>
        </w:rPr>
      </w:pPr>
      <w:r>
        <w:rPr>
          <w:rFonts w:hint="eastAsia" w:ascii="宋体" w:hAnsi="宋体"/>
          <w:sz w:val="28"/>
          <w:szCs w:val="28"/>
        </w:rPr>
        <w:t>七、您在参加增资活动前，应当仔细阅读本告知书及其他交易文件，谨慎作出是否签署交易文件的决策。投资方签署相关文件并缴付保证金后，即表明您已认真阅读并理解本告知书及所有的交易文件，并愿意依法承担相应的投资风险和法律责任。</w:t>
      </w:r>
    </w:p>
    <w:p>
      <w:pPr>
        <w:spacing w:line="360" w:lineRule="auto"/>
        <w:ind w:firstLine="560" w:firstLineChars="200"/>
        <w:jc w:val="left"/>
        <w:rPr>
          <w:rFonts w:ascii="宋体" w:hAnsi="宋体"/>
          <w:sz w:val="28"/>
          <w:szCs w:val="28"/>
        </w:rPr>
      </w:pPr>
    </w:p>
    <w:p>
      <w:pPr>
        <w:spacing w:line="360" w:lineRule="auto"/>
        <w:ind w:firstLine="5600" w:firstLineChars="2000"/>
        <w:jc w:val="both"/>
        <w:rPr>
          <w:rFonts w:ascii="宋体"/>
          <w:sz w:val="28"/>
          <w:szCs w:val="28"/>
        </w:rPr>
      </w:pPr>
      <w:r>
        <w:rPr>
          <w:rFonts w:hint="eastAsia" w:ascii="宋体" w:hAnsi="宋体"/>
          <w:sz w:val="28"/>
          <w:szCs w:val="28"/>
        </w:rPr>
        <w:t>台州市产权交易所有限公司</w:t>
      </w:r>
    </w:p>
    <w:p>
      <w:pPr>
        <w:spacing w:line="360" w:lineRule="auto"/>
        <w:ind w:firstLine="6300" w:firstLineChars="2250"/>
        <w:jc w:val="center"/>
        <w:rPr>
          <w:rFonts w:ascii="方正姚体" w:hAnsi="宋体" w:eastAsia="方正姚体"/>
          <w:b/>
          <w:kern w:val="0"/>
          <w:sz w:val="40"/>
        </w:rPr>
      </w:pPr>
      <w:r>
        <w:rPr>
          <w:rFonts w:hint="eastAsia" w:ascii="宋体" w:hAnsi="宋体"/>
          <w:sz w:val="28"/>
          <w:szCs w:val="28"/>
        </w:rPr>
        <w:t>二〇二一年六月十一日</w:t>
      </w:r>
      <w:r>
        <w:rPr>
          <w:rFonts w:ascii="宋体" w:hAnsi="宋体"/>
          <w:b/>
          <w:sz w:val="44"/>
          <w:szCs w:val="72"/>
        </w:rPr>
        <w:br w:type="page"/>
      </w:r>
    </w:p>
    <w:p>
      <w:pPr>
        <w:pStyle w:val="2"/>
        <w:jc w:val="center"/>
        <w:rPr>
          <w:snapToGrid w:val="0"/>
          <w:kern w:val="0"/>
        </w:rPr>
      </w:pPr>
      <w:bookmarkStart w:id="8" w:name="_Toc48252220"/>
      <w:r>
        <w:rPr>
          <w:rFonts w:hint="eastAsia"/>
          <w:sz w:val="32"/>
          <w:szCs w:val="32"/>
        </w:rPr>
        <w:t>意向投资方资格确认通知书</w:t>
      </w:r>
      <w:bookmarkEnd w:id="8"/>
    </w:p>
    <w:p>
      <w:pPr>
        <w:spacing w:line="360" w:lineRule="auto"/>
        <w:ind w:firstLine="300"/>
        <w:rPr>
          <w:rFonts w:ascii="宋体" w:hAnsi="宋体"/>
          <w:snapToGrid w:val="0"/>
          <w:kern w:val="0"/>
          <w:sz w:val="24"/>
          <w:u w:val="single"/>
        </w:rPr>
      </w:pPr>
      <w:r>
        <w:rPr>
          <w:rFonts w:ascii="仿宋_GB2312" w:hAnsi="Tahoma"/>
          <w:kern w:val="0"/>
          <w:sz w:val="30"/>
          <w:u w:val="single"/>
        </w:rPr>
        <w:t xml:space="preserve">                 </w:t>
      </w:r>
      <w:r>
        <w:rPr>
          <w:rFonts w:hint="eastAsia" w:ascii="仿宋_GB2312" w:hAnsi="Tahoma"/>
          <w:kern w:val="0"/>
          <w:sz w:val="30"/>
          <w:u w:val="single"/>
        </w:rPr>
        <w:t xml:space="preserve"> </w:t>
      </w:r>
      <w:r>
        <w:rPr>
          <w:rFonts w:ascii="仿宋_GB2312" w:hAnsi="Tahoma"/>
          <w:kern w:val="0"/>
          <w:sz w:val="30"/>
          <w:u w:val="single"/>
        </w:rPr>
        <w:t xml:space="preserve">    </w:t>
      </w:r>
      <w:r>
        <w:rPr>
          <w:rFonts w:hint="eastAsia" w:ascii="宋体" w:hAnsi="宋体"/>
          <w:snapToGrid w:val="0"/>
          <w:kern w:val="0"/>
          <w:sz w:val="24"/>
          <w:u w:val="single"/>
        </w:rPr>
        <w:t>：</w:t>
      </w:r>
    </w:p>
    <w:p>
      <w:pPr>
        <w:spacing w:line="360" w:lineRule="auto"/>
        <w:ind w:firstLine="300"/>
        <w:rPr>
          <w:rFonts w:ascii="宋体" w:hAnsi="宋体"/>
          <w:snapToGrid w:val="0"/>
          <w:kern w:val="0"/>
          <w:sz w:val="24"/>
          <w:u w:val="single"/>
        </w:rPr>
      </w:pPr>
    </w:p>
    <w:p>
      <w:pPr>
        <w:snapToGrid w:val="0"/>
        <w:spacing w:line="360" w:lineRule="auto"/>
        <w:ind w:firstLine="560" w:firstLineChars="200"/>
        <w:jc w:val="left"/>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贵方拟投资浙江海正动物保健品有限公司增资扩股项目，根据贵方所缴的保证金</w:t>
      </w:r>
      <w:r>
        <w:rPr>
          <w:rFonts w:hint="eastAsia" w:asciiTheme="minorEastAsia" w:hAnsiTheme="minorEastAsia" w:eastAsiaTheme="minorEastAsia" w:cstheme="minorEastAsia"/>
          <w:kern w:val="0"/>
          <w:sz w:val="28"/>
          <w:szCs w:val="28"/>
          <w:u w:val="single"/>
        </w:rPr>
        <w:t>人民币13,500,000.00元</w:t>
      </w:r>
      <w:r>
        <w:rPr>
          <w:rFonts w:hint="eastAsia" w:asciiTheme="minorEastAsia" w:hAnsiTheme="minorEastAsia" w:eastAsiaTheme="minorEastAsia" w:cstheme="minorEastAsia"/>
          <w:kern w:val="0"/>
          <w:sz w:val="28"/>
          <w:szCs w:val="28"/>
        </w:rPr>
        <w:t>，符合本次增资</w:t>
      </w:r>
      <w:r>
        <w:rPr>
          <w:rFonts w:hint="eastAsia" w:asciiTheme="minorEastAsia" w:hAnsiTheme="minorEastAsia" w:eastAsiaTheme="minorEastAsia" w:cstheme="minorEastAsia"/>
          <w:kern w:val="0"/>
          <w:sz w:val="28"/>
          <w:szCs w:val="28"/>
          <w:u w:val="single"/>
        </w:rPr>
        <w:t>18,000,000</w:t>
      </w:r>
      <w:r>
        <w:rPr>
          <w:rFonts w:hint="eastAsia" w:asciiTheme="minorEastAsia" w:hAnsiTheme="minorEastAsia" w:eastAsiaTheme="minorEastAsia" w:cstheme="minorEastAsia"/>
          <w:kern w:val="0"/>
          <w:sz w:val="28"/>
          <w:szCs w:val="28"/>
        </w:rPr>
        <w:t>股资格条件，已经融资方审核，通知如下：</w:t>
      </w:r>
    </w:p>
    <w:p>
      <w:pPr>
        <w:spacing w:line="500" w:lineRule="atLeast"/>
        <w:ind w:firstLine="560" w:firstLineChars="200"/>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贵方请</w:t>
      </w:r>
      <w:r>
        <w:rPr>
          <w:rFonts w:hint="eastAsia" w:asciiTheme="minorEastAsia" w:hAnsiTheme="minorEastAsia" w:eastAsiaTheme="minorEastAsia" w:cstheme="minorEastAsia"/>
          <w:kern w:val="0"/>
          <w:sz w:val="28"/>
          <w:szCs w:val="28"/>
          <w:u w:val="single"/>
        </w:rPr>
        <w:t>于2021年8月10日(星期二)上午9：30时</w:t>
      </w:r>
      <w:r>
        <w:rPr>
          <w:rFonts w:hint="eastAsia" w:asciiTheme="minorEastAsia" w:hAnsiTheme="minorEastAsia" w:eastAsiaTheme="minorEastAsia" w:cstheme="minorEastAsia"/>
          <w:kern w:val="0"/>
          <w:sz w:val="28"/>
          <w:szCs w:val="28"/>
        </w:rPr>
        <w:t>，在</w:t>
      </w:r>
      <w:r>
        <w:rPr>
          <w:rFonts w:hint="eastAsia" w:asciiTheme="minorEastAsia" w:hAnsiTheme="minorEastAsia" w:eastAsiaTheme="minorEastAsia" w:cstheme="minorEastAsia"/>
          <w:sz w:val="28"/>
          <w:szCs w:val="28"/>
        </w:rPr>
        <w:t>https://tzztb.zjtz.gov.cn/tzcms/网站上</w:t>
      </w:r>
      <w:r>
        <w:rPr>
          <w:rFonts w:hint="eastAsia" w:asciiTheme="minorEastAsia" w:hAnsiTheme="minorEastAsia" w:eastAsiaTheme="minorEastAsia" w:cstheme="minorEastAsia"/>
          <w:kern w:val="0"/>
          <w:sz w:val="28"/>
          <w:szCs w:val="28"/>
        </w:rPr>
        <w:t>举行的浙江海正动物保健品有限公司新增18,000,000股项目活动。</w:t>
      </w:r>
    </w:p>
    <w:p>
      <w:pPr>
        <w:snapToGrid w:val="0"/>
        <w:spacing w:line="360" w:lineRule="auto"/>
        <w:ind w:firstLine="560" w:firstLineChars="200"/>
        <w:rPr>
          <w:rFonts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特此通知。</w:t>
      </w:r>
    </w:p>
    <w:p>
      <w:pPr>
        <w:snapToGrid w:val="0"/>
        <w:spacing w:line="360" w:lineRule="auto"/>
        <w:rPr>
          <w:rFonts w:asciiTheme="minorEastAsia" w:hAnsiTheme="minorEastAsia" w:eastAsiaTheme="minorEastAsia" w:cstheme="minorEastAsia"/>
          <w:snapToGrid w:val="0"/>
          <w:kern w:val="0"/>
          <w:sz w:val="28"/>
          <w:szCs w:val="28"/>
        </w:rPr>
      </w:pPr>
    </w:p>
    <w:p>
      <w:pPr>
        <w:snapToGrid w:val="0"/>
        <w:spacing w:line="360" w:lineRule="auto"/>
        <w:ind w:firstLine="435"/>
        <w:jc w:val="center"/>
        <w:rPr>
          <w:rFonts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                       产权交易机构（盖章）</w:t>
      </w:r>
    </w:p>
    <w:p>
      <w:pPr>
        <w:snapToGrid w:val="0"/>
        <w:spacing w:line="360" w:lineRule="auto"/>
        <w:ind w:firstLine="6034" w:firstLineChars="2155"/>
        <w:rPr>
          <w:rFonts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kern w:val="0"/>
          <w:sz w:val="28"/>
          <w:szCs w:val="28"/>
        </w:rPr>
        <w:t xml:space="preserve">年   月  </w:t>
      </w:r>
      <w:r>
        <w:rPr>
          <w:rFonts w:hint="eastAsia" w:asciiTheme="minorEastAsia" w:hAnsiTheme="minorEastAsia" w:eastAsiaTheme="minorEastAsia" w:cstheme="minorEastAsia"/>
          <w:snapToGrid w:val="0"/>
          <w:kern w:val="0"/>
          <w:sz w:val="28"/>
          <w:szCs w:val="28"/>
        </w:rPr>
        <w:t xml:space="preserve"> </w:t>
      </w:r>
      <w:r>
        <w:rPr>
          <w:rFonts w:hint="eastAsia" w:asciiTheme="minorEastAsia" w:hAnsiTheme="minorEastAsia" w:eastAsiaTheme="minorEastAsia" w:cstheme="minorEastAsia"/>
          <w:kern w:val="0"/>
          <w:sz w:val="28"/>
          <w:szCs w:val="28"/>
        </w:rPr>
        <w:t>日</w:t>
      </w:r>
    </w:p>
    <w:p>
      <w:pPr>
        <w:spacing w:line="500" w:lineRule="atLeast"/>
        <w:ind w:firstLine="1084" w:firstLineChars="450"/>
        <w:jc w:val="center"/>
        <w:rPr>
          <w:rFonts w:ascii="宋体"/>
          <w:b/>
          <w:sz w:val="24"/>
          <w:szCs w:val="24"/>
        </w:rPr>
      </w:pPr>
    </w:p>
    <w:p>
      <w:pPr>
        <w:spacing w:line="500" w:lineRule="atLeast"/>
        <w:rPr>
          <w:rFonts w:ascii="宋体"/>
          <w:b/>
          <w:sz w:val="24"/>
          <w:szCs w:val="24"/>
        </w:rPr>
      </w:pPr>
    </w:p>
    <w:p>
      <w:pPr>
        <w:spacing w:line="520" w:lineRule="exact"/>
        <w:ind w:right="960"/>
        <w:jc w:val="right"/>
        <w:rPr>
          <w:rFonts w:ascii="宋体"/>
          <w:b/>
          <w:spacing w:val="12"/>
          <w:sz w:val="36"/>
          <w:szCs w:val="36"/>
        </w:rPr>
      </w:pPr>
      <w:r>
        <w:rPr>
          <w:rFonts w:ascii="宋体" w:hAnsi="宋体" w:cs="Tahoma"/>
          <w:kern w:val="0"/>
          <w:sz w:val="24"/>
          <w:szCs w:val="24"/>
        </w:rPr>
        <w:br w:type="page"/>
      </w:r>
    </w:p>
    <w:p>
      <w:pPr>
        <w:widowControl/>
        <w:spacing w:line="360" w:lineRule="auto"/>
        <w:jc w:val="center"/>
        <w:rPr>
          <w:rFonts w:ascii="华文中宋" w:hAnsi="华文中宋"/>
          <w:sz w:val="28"/>
          <w:shd w:val="clear" w:color="auto" w:fill="FFFFFF"/>
        </w:rPr>
      </w:pPr>
      <w:bookmarkStart w:id="9" w:name="_Toc48252222"/>
      <w:r>
        <w:rPr>
          <w:rStyle w:val="25"/>
          <w:rFonts w:hint="eastAsia"/>
        </w:rPr>
        <w:t>网络竞价规则</w:t>
      </w:r>
      <w:bookmarkEnd w:id="9"/>
    </w:p>
    <w:p>
      <w:pPr>
        <w:keepNext w:val="0"/>
        <w:keepLines w:val="0"/>
        <w:pageBreakBefore w:val="0"/>
        <w:tabs>
          <w:tab w:val="left" w:pos="720"/>
          <w:tab w:val="left" w:pos="1260"/>
          <w:tab w:val="left" w:pos="2160"/>
          <w:tab w:val="left" w:pos="2880"/>
          <w:tab w:val="left" w:pos="3600"/>
          <w:tab w:val="left" w:pos="4320"/>
          <w:tab w:val="left" w:pos="5040"/>
          <w:tab w:val="left" w:pos="5760"/>
          <w:tab w:val="left" w:pos="6660"/>
          <w:tab w:val="left" w:pos="8280"/>
        </w:tabs>
        <w:kinsoku/>
        <w:overflowPunct/>
        <w:topLinePunct w:val="0"/>
        <w:autoSpaceDE w:val="0"/>
        <w:autoSpaceDN w:val="0"/>
        <w:bidi w:val="0"/>
        <w:adjustRightInd w:val="0"/>
        <w:snapToGrid/>
        <w:spacing w:line="360" w:lineRule="auto"/>
        <w:ind w:right="23" w:firstLine="560"/>
        <w:textAlignment w:val="auto"/>
        <w:rPr>
          <w:rFonts w:ascii="宋体" w:hAnsi="宋体"/>
          <w:kern w:val="0"/>
          <w:sz w:val="28"/>
          <w:szCs w:val="28"/>
        </w:rPr>
      </w:pPr>
      <w:r>
        <w:rPr>
          <w:rFonts w:hint="eastAsia" w:ascii="宋体" w:hAnsi="宋体"/>
          <w:kern w:val="0"/>
          <w:sz w:val="28"/>
          <w:szCs w:val="28"/>
        </w:rPr>
        <w:t>台州市产权交易所有限公司</w:t>
      </w:r>
      <w:r>
        <w:rPr>
          <w:rFonts w:hint="eastAsia" w:ascii="宋体" w:hAnsi="宋体" w:cs="宋体"/>
          <w:kern w:val="0"/>
          <w:sz w:val="28"/>
          <w:szCs w:val="28"/>
        </w:rPr>
        <w:t>（以下简称“产交所”）对浙江海正动物保健品有限公司增资扩股</w:t>
      </w:r>
      <w:r>
        <w:rPr>
          <w:rFonts w:hint="eastAsia" w:ascii="宋体" w:hAnsi="宋体"/>
          <w:sz w:val="28"/>
          <w:szCs w:val="28"/>
        </w:rPr>
        <w:t>对外公开出让</w:t>
      </w:r>
      <w:r>
        <w:rPr>
          <w:rFonts w:hint="eastAsia" w:ascii="宋体" w:hAnsi="宋体"/>
          <w:kern w:val="0"/>
          <w:sz w:val="28"/>
          <w:szCs w:val="28"/>
        </w:rPr>
        <w:t>，特制定本次</w:t>
      </w:r>
      <w:r>
        <w:rPr>
          <w:rFonts w:hint="eastAsia" w:ascii="宋体" w:hAnsi="宋体" w:cs="宋体"/>
          <w:kern w:val="0"/>
          <w:sz w:val="28"/>
          <w:szCs w:val="28"/>
        </w:rPr>
        <w:t>多次性网络竞价</w:t>
      </w:r>
      <w:r>
        <w:rPr>
          <w:rFonts w:hint="eastAsia" w:ascii="宋体" w:hAnsi="宋体"/>
          <w:kern w:val="0"/>
          <w:sz w:val="28"/>
          <w:szCs w:val="28"/>
        </w:rPr>
        <w:t>规则：</w:t>
      </w:r>
    </w:p>
    <w:p>
      <w:pPr>
        <w:keepNext w:val="0"/>
        <w:keepLines w:val="0"/>
        <w:pageBreakBefore w:val="0"/>
        <w:kinsoku/>
        <w:overflowPunct/>
        <w:topLinePunct w:val="0"/>
        <w:bidi w:val="0"/>
        <w:snapToGrid/>
        <w:spacing w:line="360" w:lineRule="auto"/>
        <w:ind w:firstLine="560"/>
        <w:textAlignment w:val="auto"/>
        <w:rPr>
          <w:rFonts w:ascii="宋体" w:hAnsi="宋体" w:cs="宋体"/>
          <w:sz w:val="28"/>
          <w:szCs w:val="28"/>
        </w:rPr>
      </w:pPr>
      <w:r>
        <w:rPr>
          <w:rFonts w:hint="eastAsia" w:ascii="宋体" w:hAnsi="宋体" w:cs="宋体"/>
          <w:sz w:val="28"/>
          <w:szCs w:val="28"/>
        </w:rPr>
        <w:t>一、竞价人报名及资格确认成功后，即表示已认真阅读并同意本竞价文件中提出的相关内容，报价一经确认提交即不可撤回，竞价人须谨慎报价。</w:t>
      </w:r>
    </w:p>
    <w:p>
      <w:pPr>
        <w:keepNext w:val="0"/>
        <w:keepLines w:val="0"/>
        <w:pageBreakBefore w:val="0"/>
        <w:kinsoku/>
        <w:overflowPunct/>
        <w:topLinePunct w:val="0"/>
        <w:bidi w:val="0"/>
        <w:snapToGrid/>
        <w:spacing w:line="360" w:lineRule="auto"/>
        <w:ind w:firstLine="548" w:firstLineChars="196"/>
        <w:textAlignment w:val="auto"/>
        <w:rPr>
          <w:rFonts w:ascii="宋体" w:hAnsi="宋体" w:cs="宋体"/>
          <w:sz w:val="28"/>
          <w:szCs w:val="28"/>
        </w:rPr>
      </w:pPr>
      <w:r>
        <w:rPr>
          <w:rFonts w:hint="eastAsia" w:ascii="宋体" w:hAnsi="宋体" w:cs="宋体"/>
          <w:sz w:val="28"/>
          <w:szCs w:val="28"/>
        </w:rPr>
        <w:t>二、本次报价不得低于起始价每股价格不低于2.5元人民币，总投资额不低于45,000,000.00元人民币。</w:t>
      </w:r>
    </w:p>
    <w:p>
      <w:pPr>
        <w:keepNext w:val="0"/>
        <w:keepLines w:val="0"/>
        <w:pageBreakBefore w:val="0"/>
        <w:widowControl/>
        <w:shd w:val="clear" w:color="auto" w:fill="FFFFFF"/>
        <w:kinsoku/>
        <w:overflowPunct/>
        <w:topLinePunct w:val="0"/>
        <w:bidi w:val="0"/>
        <w:snapToGrid/>
        <w:spacing w:line="360" w:lineRule="auto"/>
        <w:ind w:firstLine="562"/>
        <w:jc w:val="left"/>
        <w:textAlignment w:val="auto"/>
        <w:rPr>
          <w:rFonts w:ascii="宋体" w:hAnsi="宋体" w:cs="宋体"/>
          <w:i/>
          <w:sz w:val="28"/>
          <w:szCs w:val="28"/>
        </w:rPr>
      </w:pPr>
      <w:r>
        <w:rPr>
          <w:rFonts w:hint="eastAsia" w:ascii="宋体" w:hAnsi="宋体" w:cs="宋体"/>
          <w:sz w:val="28"/>
          <w:szCs w:val="28"/>
        </w:rPr>
        <w:t>三、本次报价以报价最高者为成交方。</w:t>
      </w:r>
    </w:p>
    <w:p>
      <w:pPr>
        <w:keepNext w:val="0"/>
        <w:keepLines w:val="0"/>
        <w:pageBreakBefore w:val="0"/>
        <w:widowControl/>
        <w:shd w:val="clear" w:color="auto" w:fill="FFFFFF"/>
        <w:kinsoku/>
        <w:overflowPunct/>
        <w:topLinePunct w:val="0"/>
        <w:bidi w:val="0"/>
        <w:snapToGrid/>
        <w:spacing w:line="360" w:lineRule="auto"/>
        <w:ind w:firstLine="562"/>
        <w:jc w:val="left"/>
        <w:textAlignment w:val="auto"/>
        <w:rPr>
          <w:rFonts w:ascii="宋体" w:hAnsi="宋体" w:cs="宋体"/>
          <w:sz w:val="28"/>
          <w:szCs w:val="28"/>
        </w:rPr>
      </w:pPr>
      <w:r>
        <w:rPr>
          <w:rFonts w:hint="eastAsia" w:ascii="宋体" w:hAnsi="宋体" w:cs="宋体"/>
          <w:sz w:val="28"/>
          <w:szCs w:val="28"/>
        </w:rPr>
        <w:t>四、网络多次性竞价程序：</w:t>
      </w:r>
    </w:p>
    <w:p>
      <w:pPr>
        <w:keepNext w:val="0"/>
        <w:keepLines w:val="0"/>
        <w:pageBreakBefore w:val="0"/>
        <w:kinsoku/>
        <w:overflowPunct/>
        <w:topLinePunct w:val="0"/>
        <w:bidi w:val="0"/>
        <w:snapToGrid/>
        <w:spacing w:line="360" w:lineRule="auto"/>
        <w:ind w:firstLine="560"/>
        <w:textAlignment w:val="auto"/>
        <w:rPr>
          <w:rFonts w:ascii="宋体" w:hAnsi="宋体" w:cs="宋体"/>
          <w:kern w:val="0"/>
          <w:sz w:val="28"/>
          <w:szCs w:val="28"/>
        </w:rPr>
      </w:pPr>
      <w:r>
        <w:rPr>
          <w:rFonts w:hint="eastAsia" w:ascii="宋体" w:hAnsi="宋体" w:cs="宋体"/>
          <w:sz w:val="28"/>
          <w:szCs w:val="28"/>
        </w:rPr>
        <w:t>1、</w:t>
      </w:r>
      <w:r>
        <w:rPr>
          <w:rFonts w:hint="eastAsia" w:ascii="宋体" w:hAnsi="宋体"/>
          <w:sz w:val="28"/>
          <w:szCs w:val="28"/>
        </w:rPr>
        <w:t>意向</w:t>
      </w:r>
      <w:r>
        <w:rPr>
          <w:rFonts w:hint="eastAsia" w:ascii="宋体" w:hAnsi="宋体" w:cs="宋体"/>
          <w:sz w:val="28"/>
          <w:szCs w:val="28"/>
        </w:rPr>
        <w:t>竞价人</w:t>
      </w:r>
      <w:r>
        <w:rPr>
          <w:rFonts w:hint="eastAsia" w:ascii="宋体" w:hAnsi="宋体"/>
          <w:sz w:val="28"/>
          <w:szCs w:val="28"/>
        </w:rPr>
        <w:t>在台州市公共资源交易</w:t>
      </w:r>
      <w:r>
        <w:rPr>
          <w:rFonts w:hint="eastAsia" w:ascii="宋体" w:hAnsi="宋体" w:cs="宋体"/>
          <w:sz w:val="28"/>
          <w:szCs w:val="28"/>
        </w:rPr>
        <w:t>网</w:t>
      </w:r>
      <w:r>
        <w:rPr>
          <w:rFonts w:hint="eastAsia" w:ascii="宋体" w:hAnsi="宋体" w:cs="宋体"/>
          <w:kern w:val="0"/>
          <w:sz w:val="28"/>
          <w:szCs w:val="28"/>
        </w:rPr>
        <w:t>（</w:t>
      </w:r>
      <w:r>
        <w:rPr>
          <w:rFonts w:hint="eastAsia" w:ascii="宋体" w:hAnsi="宋体"/>
          <w:sz w:val="28"/>
          <w:szCs w:val="28"/>
        </w:rPr>
        <w:t>https://tzztb.zjtz.gov.cn/tzcms/</w:t>
      </w:r>
      <w:r>
        <w:rPr>
          <w:rFonts w:hint="eastAsia" w:ascii="宋体" w:hAnsi="宋体" w:cs="宋体"/>
          <w:kern w:val="0"/>
          <w:sz w:val="28"/>
          <w:szCs w:val="28"/>
        </w:rPr>
        <w:t>）</w:t>
      </w:r>
      <w:r>
        <w:rPr>
          <w:rFonts w:hint="eastAsia" w:ascii="宋体" w:hAnsi="宋体" w:cs="宋体"/>
          <w:sz w:val="28"/>
          <w:szCs w:val="28"/>
        </w:rPr>
        <w:t>上对本项目进行网络报名。如实登记手机号并牢记密码。</w:t>
      </w:r>
    </w:p>
    <w:p>
      <w:pPr>
        <w:keepNext w:val="0"/>
        <w:keepLines w:val="0"/>
        <w:pageBreakBefore w:val="0"/>
        <w:kinsoku/>
        <w:wordWrap w:val="0"/>
        <w:overflowPunct/>
        <w:topLinePunct w:val="0"/>
        <w:bidi w:val="0"/>
        <w:snapToGrid/>
        <w:spacing w:line="360" w:lineRule="auto"/>
        <w:ind w:firstLine="560"/>
        <w:textAlignment w:val="auto"/>
        <w:rPr>
          <w:rFonts w:ascii="宋体" w:hAnsi="宋体"/>
          <w:kern w:val="0"/>
          <w:sz w:val="28"/>
          <w:szCs w:val="28"/>
        </w:rPr>
      </w:pPr>
      <w:r>
        <w:rPr>
          <w:rFonts w:hint="eastAsia" w:ascii="宋体" w:hAnsi="宋体" w:cs="宋体"/>
          <w:sz w:val="28"/>
          <w:szCs w:val="28"/>
        </w:rPr>
        <w:t>2、报名成功并收到短信后在规定时间内（2021年6月11日至8月6日16：00，节假日除外）到</w:t>
      </w:r>
      <w:r>
        <w:rPr>
          <w:rFonts w:hint="eastAsia" w:ascii="宋体" w:hAnsi="宋体" w:cs="宋体"/>
          <w:kern w:val="0"/>
          <w:sz w:val="28"/>
          <w:szCs w:val="28"/>
        </w:rPr>
        <w:t>台州市产权交易所有限公司（</w:t>
      </w:r>
      <w:r>
        <w:rPr>
          <w:rFonts w:hint="eastAsia" w:ascii="宋体" w:hAnsi="宋体"/>
          <w:kern w:val="0"/>
          <w:sz w:val="28"/>
          <w:szCs w:val="28"/>
        </w:rPr>
        <w:t>台州市市府大道777号浙江民泰商业银行五楼511室</w:t>
      </w:r>
      <w:r>
        <w:rPr>
          <w:rFonts w:hint="eastAsia" w:ascii="宋体" w:hAnsi="宋体" w:cs="宋体"/>
          <w:kern w:val="0"/>
          <w:sz w:val="28"/>
          <w:szCs w:val="28"/>
        </w:rPr>
        <w:t>）进行资料审核,并缴付竞买保证金，并将审核意见告知出让方进行征询、确认</w:t>
      </w:r>
      <w:r>
        <w:rPr>
          <w:rFonts w:hint="eastAsia" w:ascii="宋体" w:hAnsi="宋体"/>
          <w:kern w:val="0"/>
          <w:sz w:val="28"/>
          <w:szCs w:val="28"/>
        </w:rPr>
        <w:t>。</w:t>
      </w:r>
    </w:p>
    <w:p>
      <w:pPr>
        <w:keepNext w:val="0"/>
        <w:keepLines w:val="0"/>
        <w:pageBreakBefore w:val="0"/>
        <w:kinsoku/>
        <w:overflowPunct/>
        <w:topLinePunct w:val="0"/>
        <w:bidi w:val="0"/>
        <w:snapToGrid/>
        <w:spacing w:line="360" w:lineRule="auto"/>
        <w:ind w:firstLine="560"/>
        <w:textAlignment w:val="auto"/>
        <w:rPr>
          <w:rFonts w:ascii="宋体" w:hAnsi="宋体" w:cs="宋体"/>
          <w:sz w:val="28"/>
          <w:szCs w:val="28"/>
          <w:u w:val="single"/>
        </w:rPr>
      </w:pPr>
      <w:r>
        <w:rPr>
          <w:rFonts w:hint="eastAsia" w:ascii="宋体" w:hAnsi="宋体" w:cs="宋体"/>
          <w:kern w:val="0"/>
          <w:sz w:val="28"/>
          <w:szCs w:val="28"/>
        </w:rPr>
        <w:t>3、</w:t>
      </w:r>
      <w:r>
        <w:rPr>
          <w:rFonts w:hint="eastAsia" w:ascii="宋体" w:hAnsi="宋体" w:cs="宋体"/>
          <w:kern w:val="0"/>
          <w:sz w:val="28"/>
          <w:szCs w:val="28"/>
          <w:u w:val="single"/>
        </w:rPr>
        <w:t>在竞价时间十分钟前凭报名时的</w:t>
      </w:r>
      <w:r>
        <w:rPr>
          <w:rFonts w:hint="eastAsia" w:ascii="宋体" w:hAnsi="宋体" w:cs="宋体"/>
          <w:sz w:val="28"/>
          <w:szCs w:val="28"/>
          <w:u w:val="single"/>
        </w:rPr>
        <w:t>信用代码证号（或手机号码）、密码以及手机验证码登入本项目网络竞价大厅进行报价准备，并在竞价时间予以报价。</w:t>
      </w:r>
    </w:p>
    <w:p>
      <w:pPr>
        <w:keepNext w:val="0"/>
        <w:keepLines w:val="0"/>
        <w:pageBreakBefore w:val="0"/>
        <w:kinsoku/>
        <w:overflowPunct/>
        <w:topLinePunct w:val="0"/>
        <w:bidi w:val="0"/>
        <w:snapToGrid/>
        <w:spacing w:line="360" w:lineRule="auto"/>
        <w:ind w:firstLine="548" w:firstLineChars="196"/>
        <w:textAlignment w:val="auto"/>
        <w:rPr>
          <w:rFonts w:ascii="宋体" w:hAnsi="宋体" w:cs="宋体"/>
          <w:sz w:val="28"/>
          <w:szCs w:val="28"/>
          <w:shd w:val="clear" w:color="auto" w:fill="FFFFFF"/>
        </w:rPr>
      </w:pPr>
      <w:r>
        <w:rPr>
          <w:rFonts w:hint="eastAsia" w:ascii="宋体" w:hAnsi="宋体" w:cs="宋体"/>
          <w:sz w:val="28"/>
          <w:szCs w:val="28"/>
          <w:shd w:val="clear" w:color="auto" w:fill="FFFFFF"/>
        </w:rPr>
        <w:t>多次网络报价的报价时段分为自由报价时段和延时报价时段。自由报价时段是网络竞价系统中预设的一段时间周期，此时段内，竞价人可以发送报价，也可不发送报价，自由报价时段结束后，系统进入延时报价时段。 延时报价时段是在自由报价时段之外提供的不定时间的补充交易时段，设一定时长的延时周期。在一个延时周期内，如无竞价人继续报价，则竞价活动结束；如有竞价人报价，则重新进入一个延时周期，直到无人报价为止。“自由报价时长”和“延时报价时长”以本项目竞价厅为准。</w:t>
      </w:r>
    </w:p>
    <w:p>
      <w:pPr>
        <w:keepNext w:val="0"/>
        <w:keepLines w:val="0"/>
        <w:pageBreakBefore w:val="0"/>
        <w:kinsoku/>
        <w:overflowPunct/>
        <w:topLinePunct w:val="0"/>
        <w:bidi w:val="0"/>
        <w:snapToGrid/>
        <w:spacing w:line="360" w:lineRule="auto"/>
        <w:ind w:firstLine="562"/>
        <w:jc w:val="left"/>
        <w:textAlignment w:val="auto"/>
        <w:rPr>
          <w:rFonts w:ascii="宋体" w:hAnsi="宋体" w:cs="宋体"/>
          <w:sz w:val="28"/>
          <w:szCs w:val="28"/>
          <w:shd w:val="clear" w:color="auto" w:fill="FFFFFF"/>
        </w:rPr>
      </w:pPr>
      <w:r>
        <w:rPr>
          <w:rFonts w:hint="eastAsia" w:ascii="宋体" w:hAnsi="宋体" w:cs="宋体"/>
          <w:sz w:val="28"/>
          <w:szCs w:val="28"/>
          <w:shd w:val="clear" w:color="auto" w:fill="FFFFFF"/>
        </w:rPr>
        <w:t>竞价人在规定的报价时段内通过网络竞价系统报价，报价指令未确认前可撤回或更改，经确认后不得撤销。在规定的报价时段内，所有竞价人均未报价的，网络竞价活动终止。</w:t>
      </w:r>
    </w:p>
    <w:p>
      <w:pPr>
        <w:keepNext w:val="0"/>
        <w:keepLines w:val="0"/>
        <w:pageBreakBefore w:val="0"/>
        <w:kinsoku/>
        <w:overflowPunct/>
        <w:topLinePunct w:val="0"/>
        <w:bidi w:val="0"/>
        <w:snapToGrid/>
        <w:spacing w:line="360" w:lineRule="auto"/>
        <w:ind w:firstLine="562"/>
        <w:jc w:val="left"/>
        <w:textAlignment w:val="auto"/>
        <w:rPr>
          <w:rFonts w:ascii="宋体" w:hAnsi="宋体" w:cs="宋体"/>
          <w:sz w:val="28"/>
          <w:szCs w:val="28"/>
          <w:shd w:val="clear" w:color="auto" w:fill="FFFFFF"/>
        </w:rPr>
      </w:pPr>
      <w:r>
        <w:rPr>
          <w:rFonts w:hint="eastAsia" w:ascii="宋体" w:hAnsi="宋体" w:cs="宋体"/>
          <w:sz w:val="28"/>
          <w:szCs w:val="28"/>
          <w:shd w:val="clear" w:color="auto" w:fill="FFFFFF"/>
        </w:rPr>
        <w:t>本次网络竞价的首次报价是以</w:t>
      </w:r>
      <w:r>
        <w:rPr>
          <w:rFonts w:hint="eastAsia" w:ascii="宋体" w:hAnsi="宋体"/>
          <w:sz w:val="28"/>
          <w:szCs w:val="28"/>
        </w:rPr>
        <w:t>每股价格不低于</w:t>
      </w:r>
      <w:r>
        <w:rPr>
          <w:rFonts w:hint="eastAsia" w:ascii="宋体" w:hAnsi="宋体"/>
          <w:kern w:val="0"/>
          <w:sz w:val="28"/>
          <w:szCs w:val="28"/>
        </w:rPr>
        <w:t>2.5</w:t>
      </w:r>
      <w:r>
        <w:rPr>
          <w:rFonts w:hint="eastAsia" w:ascii="宋体" w:hAnsi="宋体"/>
          <w:sz w:val="28"/>
          <w:szCs w:val="28"/>
        </w:rPr>
        <w:t>元人民币，总投资额不低于</w:t>
      </w:r>
      <w:r>
        <w:rPr>
          <w:rFonts w:ascii="宋体" w:hAnsi="宋体"/>
          <w:kern w:val="0"/>
          <w:sz w:val="28"/>
          <w:szCs w:val="28"/>
        </w:rPr>
        <w:t>45</w:t>
      </w:r>
      <w:r>
        <w:rPr>
          <w:rFonts w:hint="eastAsia" w:ascii="宋体" w:hAnsi="宋体"/>
          <w:kern w:val="0"/>
          <w:sz w:val="28"/>
          <w:szCs w:val="28"/>
        </w:rPr>
        <w:t>,000,000.00元</w:t>
      </w:r>
      <w:r>
        <w:rPr>
          <w:rFonts w:hint="eastAsia" w:ascii="宋体" w:hAnsi="宋体"/>
          <w:sz w:val="28"/>
          <w:szCs w:val="28"/>
        </w:rPr>
        <w:t>人民币</w:t>
      </w:r>
      <w:r>
        <w:rPr>
          <w:rFonts w:hint="eastAsia" w:ascii="宋体" w:hAnsi="宋体" w:cs="宋体"/>
          <w:sz w:val="28"/>
          <w:szCs w:val="28"/>
          <w:shd w:val="clear" w:color="auto" w:fill="FFFFFF"/>
        </w:rPr>
        <w:t>（挂牌价）为基础，再次报价应根据公告高于前次报价，成为当前最新报价，原报价即丧失其约束力，每次加价必须等于交易中心事先确定的加价幅度或加价幅度的整数倍。报价结束时的最高报价为成交价，其报价者即为成交方。</w:t>
      </w:r>
    </w:p>
    <w:p>
      <w:pPr>
        <w:keepNext w:val="0"/>
        <w:keepLines w:val="0"/>
        <w:pageBreakBefore w:val="0"/>
        <w:kinsoku/>
        <w:overflowPunct/>
        <w:topLinePunct w:val="0"/>
        <w:bidi w:val="0"/>
        <w:snapToGrid/>
        <w:spacing w:line="360" w:lineRule="auto"/>
        <w:ind w:firstLine="560"/>
        <w:textAlignment w:val="auto"/>
        <w:rPr>
          <w:rFonts w:ascii="宋体" w:hAnsi="宋体" w:cs="宋体"/>
          <w:sz w:val="28"/>
          <w:szCs w:val="28"/>
        </w:rPr>
      </w:pPr>
      <w:r>
        <w:rPr>
          <w:rFonts w:hint="eastAsia" w:ascii="宋体" w:hAnsi="宋体" w:cs="宋体"/>
          <w:sz w:val="28"/>
          <w:szCs w:val="28"/>
        </w:rPr>
        <w:t>4、竞价大厅公布成交结果。</w:t>
      </w:r>
    </w:p>
    <w:p>
      <w:pPr>
        <w:keepNext w:val="0"/>
        <w:keepLines w:val="0"/>
        <w:pageBreakBefore w:val="0"/>
        <w:kinsoku/>
        <w:overflowPunct/>
        <w:topLinePunct w:val="0"/>
        <w:bidi w:val="0"/>
        <w:snapToGrid/>
        <w:spacing w:line="360" w:lineRule="auto"/>
        <w:ind w:firstLine="560"/>
        <w:textAlignment w:val="auto"/>
        <w:rPr>
          <w:rFonts w:ascii="宋体" w:hAnsi="宋体" w:cs="宋体"/>
          <w:sz w:val="28"/>
          <w:szCs w:val="28"/>
        </w:rPr>
      </w:pPr>
      <w:r>
        <w:rPr>
          <w:rFonts w:hint="eastAsia" w:ascii="宋体" w:hAnsi="宋体" w:cs="宋体"/>
          <w:sz w:val="28"/>
          <w:szCs w:val="28"/>
        </w:rPr>
        <w:t>5、成交方携带身份证明到</w:t>
      </w:r>
      <w:r>
        <w:rPr>
          <w:rFonts w:hint="eastAsia" w:ascii="宋体" w:hAnsi="宋体" w:cs="宋体"/>
          <w:kern w:val="0"/>
          <w:sz w:val="28"/>
          <w:szCs w:val="28"/>
        </w:rPr>
        <w:t>台州市产权交易所有限公司（台州市民泰银行五楼511室）领取成交通知书</w:t>
      </w:r>
      <w:r>
        <w:rPr>
          <w:rFonts w:hint="eastAsia" w:ascii="宋体" w:hAnsi="宋体" w:cs="宋体"/>
          <w:sz w:val="28"/>
          <w:szCs w:val="28"/>
        </w:rPr>
        <w:t>。</w:t>
      </w:r>
    </w:p>
    <w:p>
      <w:pPr>
        <w:keepNext w:val="0"/>
        <w:keepLines w:val="0"/>
        <w:pageBreakBefore w:val="0"/>
        <w:kinsoku/>
        <w:overflowPunct/>
        <w:topLinePunct w:val="0"/>
        <w:bidi w:val="0"/>
        <w:snapToGrid/>
        <w:spacing w:line="360" w:lineRule="auto"/>
        <w:ind w:firstLine="562"/>
        <w:textAlignment w:val="auto"/>
        <w:rPr>
          <w:rFonts w:ascii="宋体" w:hAnsi="宋体" w:cs="宋体"/>
          <w:kern w:val="0"/>
          <w:sz w:val="28"/>
          <w:szCs w:val="28"/>
        </w:rPr>
      </w:pPr>
      <w:r>
        <w:rPr>
          <w:rFonts w:hint="eastAsia" w:ascii="宋体" w:hAnsi="宋体" w:cs="宋体"/>
          <w:sz w:val="28"/>
          <w:szCs w:val="28"/>
        </w:rPr>
        <w:t>五、</w:t>
      </w:r>
      <w:r>
        <w:rPr>
          <w:rFonts w:hint="eastAsia" w:ascii="宋体" w:hAnsi="宋体" w:cs="宋体"/>
          <w:kern w:val="0"/>
          <w:sz w:val="28"/>
          <w:szCs w:val="28"/>
        </w:rPr>
        <w:t>网络竞价时间：2021年8月10日（星期二）上午</w:t>
      </w:r>
      <w:r>
        <w:rPr>
          <w:rFonts w:ascii="宋体" w:hAnsi="宋体" w:cs="宋体"/>
          <w:kern w:val="0"/>
          <w:sz w:val="28"/>
          <w:szCs w:val="28"/>
        </w:rPr>
        <w:t>9：30</w:t>
      </w:r>
      <w:r>
        <w:rPr>
          <w:rFonts w:hint="eastAsia" w:ascii="宋体" w:hAnsi="宋体" w:cs="宋体"/>
          <w:kern w:val="0"/>
          <w:sz w:val="28"/>
          <w:szCs w:val="28"/>
        </w:rPr>
        <w:t>。</w:t>
      </w:r>
    </w:p>
    <w:p>
      <w:pPr>
        <w:keepNext w:val="0"/>
        <w:keepLines w:val="0"/>
        <w:pageBreakBefore w:val="0"/>
        <w:kinsoku/>
        <w:overflowPunct/>
        <w:topLinePunct w:val="0"/>
        <w:bidi w:val="0"/>
        <w:snapToGrid/>
        <w:spacing w:line="360" w:lineRule="auto"/>
        <w:ind w:firstLine="562"/>
        <w:textAlignment w:val="auto"/>
        <w:rPr>
          <w:rFonts w:ascii="宋体" w:hAnsi="宋体" w:cs="宋体"/>
          <w:sz w:val="28"/>
          <w:szCs w:val="28"/>
        </w:rPr>
      </w:pPr>
      <w:r>
        <w:rPr>
          <w:rFonts w:hint="eastAsia" w:ascii="宋体" w:hAnsi="宋体" w:cs="宋体"/>
          <w:sz w:val="28"/>
          <w:szCs w:val="28"/>
        </w:rPr>
        <w:t>六、确定成交方后，成交方须在二个工作日内到我所签署《增资确认书》。成交方凭《增资确认书》二个工作日内与委托方签订《增资扩股</w:t>
      </w:r>
      <w:r>
        <w:rPr>
          <w:rFonts w:ascii="宋体" w:hAnsi="宋体" w:cs="宋体"/>
          <w:sz w:val="28"/>
          <w:szCs w:val="28"/>
        </w:rPr>
        <w:t>协议</w:t>
      </w:r>
      <w:r>
        <w:rPr>
          <w:rFonts w:hint="eastAsia" w:ascii="宋体" w:hAnsi="宋体" w:cs="宋体"/>
          <w:sz w:val="28"/>
          <w:szCs w:val="28"/>
        </w:rPr>
        <w:t>》。</w:t>
      </w:r>
    </w:p>
    <w:p>
      <w:pPr>
        <w:keepNext w:val="0"/>
        <w:keepLines w:val="0"/>
        <w:pageBreakBefore w:val="0"/>
        <w:kinsoku/>
        <w:overflowPunct/>
        <w:topLinePunct w:val="0"/>
        <w:bidi w:val="0"/>
        <w:snapToGrid/>
        <w:spacing w:line="360" w:lineRule="auto"/>
        <w:ind w:firstLine="560"/>
        <w:textAlignment w:val="auto"/>
        <w:rPr>
          <w:rFonts w:ascii="宋体" w:hAnsi="宋体" w:cs="宋体"/>
          <w:sz w:val="28"/>
          <w:szCs w:val="28"/>
          <w:u w:val="single"/>
        </w:rPr>
      </w:pPr>
      <w:r>
        <w:rPr>
          <w:rFonts w:hint="eastAsia" w:ascii="宋体" w:hAnsi="宋体" w:cs="宋体"/>
          <w:sz w:val="28"/>
          <w:szCs w:val="28"/>
          <w:u w:val="single"/>
        </w:rPr>
        <w:t>成交方无故拖延或拒签合同的保证金将不予退还并取消成交资格。</w:t>
      </w:r>
    </w:p>
    <w:p>
      <w:pPr>
        <w:keepNext w:val="0"/>
        <w:keepLines w:val="0"/>
        <w:pageBreakBefore w:val="0"/>
        <w:numPr>
          <w:ilvl w:val="0"/>
          <w:numId w:val="4"/>
        </w:numPr>
        <w:kinsoku/>
        <w:overflowPunct/>
        <w:topLinePunct w:val="0"/>
        <w:bidi w:val="0"/>
        <w:snapToGrid/>
        <w:spacing w:line="360" w:lineRule="auto"/>
        <w:ind w:firstLine="560" w:firstLineChars="200"/>
        <w:textAlignment w:val="auto"/>
        <w:rPr>
          <w:rFonts w:ascii="宋体" w:hAnsi="宋体" w:cs="宋体"/>
          <w:kern w:val="0"/>
          <w:sz w:val="28"/>
          <w:szCs w:val="28"/>
        </w:rPr>
      </w:pPr>
      <w:r>
        <w:rPr>
          <w:rFonts w:hint="eastAsia" w:ascii="宋体" w:hAnsi="宋体" w:cs="宋体"/>
          <w:kern w:val="0"/>
          <w:sz w:val="28"/>
          <w:szCs w:val="28"/>
        </w:rPr>
        <w:t>免责声明：</w:t>
      </w:r>
    </w:p>
    <w:p>
      <w:pPr>
        <w:keepNext w:val="0"/>
        <w:keepLines w:val="0"/>
        <w:pageBreakBefore w:val="0"/>
        <w:numPr>
          <w:ilvl w:val="255"/>
          <w:numId w:val="0"/>
        </w:numPr>
        <w:kinsoku/>
        <w:overflowPunct/>
        <w:topLinePunct w:val="0"/>
        <w:bidi w:val="0"/>
        <w:snapToGrid/>
        <w:spacing w:line="360" w:lineRule="auto"/>
        <w:ind w:firstLine="560" w:firstLineChars="200"/>
        <w:textAlignment w:val="auto"/>
        <w:rPr>
          <w:rFonts w:ascii="宋体" w:hAnsi="宋体" w:cs="宋体"/>
          <w:sz w:val="28"/>
          <w:szCs w:val="28"/>
          <w:shd w:val="clear" w:color="auto" w:fill="FFFFFF"/>
        </w:rPr>
      </w:pPr>
      <w:r>
        <w:rPr>
          <w:rFonts w:hint="eastAsia" w:ascii="宋体" w:hAnsi="宋体" w:cs="宋体"/>
          <w:sz w:val="28"/>
          <w:szCs w:val="28"/>
          <w:shd w:val="clear" w:color="auto" w:fill="FFFFFF"/>
        </w:rPr>
        <w:t>1、报价人在参加网络竞价活动之前，应对竞价标的进行了全面了解，接受竞价文件的内容和要求，对其报价行为负责，且网络报价实施后不得以不了解所竞得标的为由予以反悔。</w:t>
      </w:r>
    </w:p>
    <w:p>
      <w:pPr>
        <w:keepNext w:val="0"/>
        <w:keepLines w:val="0"/>
        <w:pageBreakBefore w:val="0"/>
        <w:numPr>
          <w:ilvl w:val="255"/>
          <w:numId w:val="0"/>
        </w:numPr>
        <w:kinsoku/>
        <w:overflowPunct/>
        <w:topLinePunct w:val="0"/>
        <w:bidi w:val="0"/>
        <w:snapToGrid/>
        <w:spacing w:line="360" w:lineRule="auto"/>
        <w:ind w:firstLine="560" w:firstLineChars="200"/>
        <w:textAlignment w:val="auto"/>
        <w:rPr>
          <w:rFonts w:ascii="宋体" w:hAnsi="宋体" w:cs="宋体"/>
          <w:sz w:val="28"/>
          <w:szCs w:val="28"/>
          <w:shd w:val="clear" w:color="auto" w:fill="FFFFFF"/>
        </w:rPr>
      </w:pPr>
      <w:r>
        <w:rPr>
          <w:rFonts w:hint="eastAsia" w:ascii="宋体" w:hAnsi="宋体" w:cs="宋体"/>
          <w:sz w:val="28"/>
          <w:szCs w:val="28"/>
          <w:shd w:val="clear" w:color="auto" w:fill="FFFFFF"/>
        </w:rPr>
        <w:t>2、为确保网络传输的安全，保障报价人的利益，网络报价平台对网络资料的传输采用数据加密处理，但无法保证电子信息绝对安全。</w:t>
      </w:r>
    </w:p>
    <w:p>
      <w:pPr>
        <w:keepNext w:val="0"/>
        <w:keepLines w:val="0"/>
        <w:pageBreakBefore w:val="0"/>
        <w:numPr>
          <w:ilvl w:val="255"/>
          <w:numId w:val="0"/>
        </w:numPr>
        <w:kinsoku/>
        <w:overflowPunct/>
        <w:topLinePunct w:val="0"/>
        <w:bidi w:val="0"/>
        <w:snapToGrid/>
        <w:spacing w:line="360" w:lineRule="auto"/>
        <w:ind w:firstLine="560" w:firstLineChars="200"/>
        <w:textAlignment w:val="auto"/>
        <w:rPr>
          <w:rFonts w:ascii="宋体" w:hAnsi="宋体" w:cs="宋体"/>
          <w:sz w:val="28"/>
          <w:szCs w:val="28"/>
          <w:shd w:val="clear" w:color="auto" w:fill="FFFFFF"/>
        </w:rPr>
      </w:pPr>
      <w:r>
        <w:rPr>
          <w:rFonts w:hint="eastAsia" w:ascii="宋体" w:hAnsi="宋体" w:cs="宋体"/>
          <w:sz w:val="28"/>
          <w:szCs w:val="28"/>
          <w:shd w:val="clear" w:color="auto" w:fill="FFFFFF"/>
        </w:rPr>
        <w:t>3、如因不可抗力造成网络报价活动不能正常进行，台州产权交易所不承担任何责任。</w:t>
      </w:r>
    </w:p>
    <w:p>
      <w:pPr>
        <w:keepNext w:val="0"/>
        <w:keepLines w:val="0"/>
        <w:pageBreakBefore w:val="0"/>
        <w:numPr>
          <w:ilvl w:val="255"/>
          <w:numId w:val="0"/>
        </w:numPr>
        <w:kinsoku/>
        <w:overflowPunct/>
        <w:topLinePunct w:val="0"/>
        <w:bidi w:val="0"/>
        <w:snapToGrid/>
        <w:spacing w:line="360" w:lineRule="auto"/>
        <w:ind w:firstLine="560" w:firstLineChars="200"/>
        <w:textAlignment w:val="auto"/>
        <w:rPr>
          <w:rFonts w:ascii="宋体" w:hAnsi="宋体" w:cs="宋体"/>
          <w:sz w:val="28"/>
          <w:szCs w:val="28"/>
          <w:shd w:val="clear" w:color="auto" w:fill="FFFFFF"/>
        </w:rPr>
      </w:pPr>
      <w:r>
        <w:rPr>
          <w:rFonts w:hint="eastAsia" w:ascii="宋体" w:hAnsi="宋体" w:cs="宋体"/>
          <w:sz w:val="28"/>
          <w:szCs w:val="28"/>
          <w:shd w:val="clear" w:color="auto" w:fill="FFFFFF"/>
        </w:rPr>
        <w:t>4、如因网络报价服务器等设备故障、网络传输线路（电信）故障、黑客攻击等原因造成网络报价不能正常进行，台州产权交易所不承担任何责任。但是，我所将全力排除故障，解决问题，尽快恢复网络报价平台的正常运行。</w:t>
      </w:r>
    </w:p>
    <w:p>
      <w:pPr>
        <w:keepNext w:val="0"/>
        <w:keepLines w:val="0"/>
        <w:pageBreakBefore w:val="0"/>
        <w:numPr>
          <w:ilvl w:val="255"/>
          <w:numId w:val="0"/>
        </w:numPr>
        <w:kinsoku/>
        <w:overflowPunct/>
        <w:topLinePunct w:val="0"/>
        <w:bidi w:val="0"/>
        <w:snapToGrid/>
        <w:spacing w:line="360" w:lineRule="auto"/>
        <w:ind w:firstLine="560" w:firstLineChars="200"/>
        <w:textAlignment w:val="auto"/>
        <w:rPr>
          <w:rFonts w:ascii="宋体" w:hAnsi="宋体" w:cs="宋体"/>
          <w:sz w:val="28"/>
          <w:szCs w:val="28"/>
          <w:shd w:val="clear" w:color="auto" w:fill="FFFFFF"/>
        </w:rPr>
      </w:pPr>
      <w:r>
        <w:rPr>
          <w:rFonts w:hint="eastAsia" w:ascii="宋体" w:hAnsi="宋体" w:cs="宋体"/>
          <w:sz w:val="28"/>
          <w:szCs w:val="28"/>
          <w:shd w:val="clear" w:color="auto" w:fill="FFFFFF"/>
        </w:rPr>
        <w:t>5、如因报价人自身报价电脑设备故障、网络传输线路不畅通等原因，造成报价人不能正常进行网络报价，我所不承担任何责任。</w:t>
      </w:r>
    </w:p>
    <w:p>
      <w:pPr>
        <w:keepNext w:val="0"/>
        <w:keepLines w:val="0"/>
        <w:pageBreakBefore w:val="0"/>
        <w:numPr>
          <w:ilvl w:val="255"/>
          <w:numId w:val="0"/>
        </w:numPr>
        <w:kinsoku/>
        <w:overflowPunct/>
        <w:topLinePunct w:val="0"/>
        <w:bidi w:val="0"/>
        <w:snapToGrid/>
        <w:spacing w:line="360" w:lineRule="auto"/>
        <w:ind w:firstLine="560" w:firstLineChars="200"/>
        <w:textAlignment w:val="auto"/>
        <w:rPr>
          <w:rFonts w:ascii="宋体" w:hAnsi="宋体" w:cs="宋体"/>
          <w:sz w:val="28"/>
          <w:szCs w:val="28"/>
          <w:shd w:val="clear" w:color="auto" w:fill="FFFFFF"/>
        </w:rPr>
      </w:pPr>
      <w:r>
        <w:rPr>
          <w:rFonts w:hint="eastAsia" w:ascii="宋体" w:hAnsi="宋体" w:cs="宋体"/>
          <w:sz w:val="28"/>
          <w:szCs w:val="28"/>
          <w:shd w:val="clear" w:color="auto" w:fill="FFFFFF"/>
        </w:rPr>
        <w:t>6、如因报价人操作不当或操作失误而造成的任何损失，由当事人自己负责。</w:t>
      </w:r>
    </w:p>
    <w:p>
      <w:pPr>
        <w:keepNext w:val="0"/>
        <w:keepLines w:val="0"/>
        <w:pageBreakBefore w:val="0"/>
        <w:numPr>
          <w:ilvl w:val="255"/>
          <w:numId w:val="0"/>
        </w:numPr>
        <w:kinsoku/>
        <w:overflowPunct/>
        <w:topLinePunct w:val="0"/>
        <w:bidi w:val="0"/>
        <w:snapToGrid/>
        <w:spacing w:line="360" w:lineRule="auto"/>
        <w:ind w:firstLine="560" w:firstLineChars="200"/>
        <w:textAlignment w:val="auto"/>
        <w:rPr>
          <w:rFonts w:ascii="宋体" w:hAnsi="宋体" w:cs="宋体"/>
          <w:sz w:val="28"/>
          <w:szCs w:val="28"/>
          <w:shd w:val="clear" w:color="auto" w:fill="FFFFFF"/>
        </w:rPr>
      </w:pPr>
      <w:r>
        <w:rPr>
          <w:rFonts w:hint="eastAsia" w:ascii="宋体" w:hAnsi="宋体" w:cs="宋体"/>
          <w:sz w:val="28"/>
          <w:szCs w:val="28"/>
          <w:shd w:val="clear" w:color="auto" w:fill="FFFFFF"/>
        </w:rPr>
        <w:t>7、如因报价人的报价设备的系统时间与网络报价平台服务器时间不一致而造成的任何后果，由当事人自己负责。</w:t>
      </w:r>
    </w:p>
    <w:p>
      <w:pPr>
        <w:keepNext w:val="0"/>
        <w:keepLines w:val="0"/>
        <w:pageBreakBefore w:val="0"/>
        <w:numPr>
          <w:ilvl w:val="255"/>
          <w:numId w:val="0"/>
        </w:numPr>
        <w:kinsoku/>
        <w:overflowPunct/>
        <w:topLinePunct w:val="0"/>
        <w:bidi w:val="0"/>
        <w:snapToGrid/>
        <w:spacing w:line="360" w:lineRule="auto"/>
        <w:ind w:firstLine="560" w:firstLineChars="200"/>
        <w:textAlignment w:val="auto"/>
        <w:rPr>
          <w:rFonts w:ascii="宋体" w:hAnsi="宋体" w:cs="宋体"/>
          <w:sz w:val="28"/>
          <w:szCs w:val="28"/>
          <w:shd w:val="clear" w:color="auto" w:fill="FFFFFF"/>
        </w:rPr>
      </w:pPr>
      <w:r>
        <w:rPr>
          <w:rFonts w:hint="eastAsia" w:ascii="宋体" w:hAnsi="宋体" w:cs="宋体"/>
          <w:sz w:val="28"/>
          <w:szCs w:val="28"/>
          <w:shd w:val="clear" w:color="auto" w:fill="FFFFFF"/>
        </w:rPr>
        <w:t>8、用户、报价人应对自身的账户安全负责。若用户或报价人的账户被盗用，则由当事人自己负责。</w:t>
      </w:r>
    </w:p>
    <w:p>
      <w:pPr>
        <w:keepNext w:val="0"/>
        <w:keepLines w:val="0"/>
        <w:pageBreakBefore w:val="0"/>
        <w:numPr>
          <w:ilvl w:val="0"/>
          <w:numId w:val="4"/>
        </w:numPr>
        <w:kinsoku/>
        <w:overflowPunct/>
        <w:topLinePunct w:val="0"/>
        <w:bidi w:val="0"/>
        <w:snapToGrid/>
        <w:spacing w:line="360" w:lineRule="auto"/>
        <w:ind w:firstLine="560" w:firstLineChars="200"/>
        <w:textAlignment w:val="auto"/>
        <w:rPr>
          <w:rFonts w:ascii="宋体" w:hAnsi="宋体"/>
          <w:sz w:val="28"/>
          <w:szCs w:val="28"/>
        </w:rPr>
      </w:pPr>
      <w:r>
        <w:rPr>
          <w:rFonts w:hint="eastAsia" w:ascii="宋体" w:hAnsi="宋体"/>
          <w:kern w:val="0"/>
          <w:sz w:val="28"/>
          <w:szCs w:val="28"/>
        </w:rPr>
        <w:t>请</w:t>
      </w:r>
      <w:r>
        <w:rPr>
          <w:rFonts w:hint="eastAsia" w:ascii="宋体" w:hAnsi="宋体" w:cs="宋体"/>
          <w:kern w:val="0"/>
          <w:sz w:val="28"/>
          <w:szCs w:val="28"/>
        </w:rPr>
        <w:t>各竞价人</w:t>
      </w:r>
      <w:r>
        <w:rPr>
          <w:rFonts w:hint="eastAsia" w:ascii="宋体" w:hAnsi="宋体"/>
          <w:kern w:val="0"/>
          <w:sz w:val="28"/>
          <w:szCs w:val="28"/>
        </w:rPr>
        <w:t>仔细阅读</w:t>
      </w:r>
      <w:r>
        <w:rPr>
          <w:rFonts w:hint="eastAsia" w:ascii="宋体" w:hAnsi="宋体" w:cs="宋体"/>
          <w:kern w:val="0"/>
          <w:sz w:val="28"/>
          <w:szCs w:val="28"/>
        </w:rPr>
        <w:t>本竞价</w:t>
      </w:r>
      <w:r>
        <w:rPr>
          <w:rFonts w:hint="eastAsia" w:ascii="宋体" w:hAnsi="宋体"/>
          <w:kern w:val="0"/>
          <w:sz w:val="28"/>
          <w:szCs w:val="28"/>
        </w:rPr>
        <w:t>文件。</w:t>
      </w:r>
    </w:p>
    <w:p>
      <w:pPr>
        <w:keepNext w:val="0"/>
        <w:keepLines w:val="0"/>
        <w:pageBreakBefore w:val="0"/>
        <w:tabs>
          <w:tab w:val="left" w:pos="580"/>
          <w:tab w:val="left" w:pos="720"/>
          <w:tab w:val="left" w:pos="2880"/>
          <w:tab w:val="left" w:pos="3600"/>
          <w:tab w:val="left" w:pos="4320"/>
          <w:tab w:val="left" w:pos="5040"/>
          <w:tab w:val="left" w:pos="5760"/>
          <w:tab w:val="left" w:pos="8280"/>
        </w:tabs>
        <w:kinsoku/>
        <w:overflowPunct/>
        <w:topLinePunct w:val="0"/>
        <w:autoSpaceDE w:val="0"/>
        <w:autoSpaceDN w:val="0"/>
        <w:bidi w:val="0"/>
        <w:adjustRightInd w:val="0"/>
        <w:snapToGrid/>
        <w:spacing w:line="360" w:lineRule="auto"/>
        <w:ind w:right="23" w:firstLine="4620" w:firstLineChars="1650"/>
        <w:jc w:val="right"/>
        <w:textAlignment w:val="auto"/>
        <w:rPr>
          <w:rFonts w:ascii="宋体" w:hAnsi="宋体"/>
          <w:sz w:val="28"/>
          <w:szCs w:val="28"/>
        </w:rPr>
      </w:pPr>
      <w:r>
        <w:rPr>
          <w:rFonts w:hint="eastAsia" w:ascii="宋体" w:hAnsi="宋体"/>
          <w:sz w:val="28"/>
          <w:szCs w:val="28"/>
        </w:rPr>
        <w:t xml:space="preserve"> 台州市产权交易所有限公司</w:t>
      </w:r>
    </w:p>
    <w:p>
      <w:pPr>
        <w:keepNext w:val="0"/>
        <w:keepLines w:val="0"/>
        <w:pageBreakBefore w:val="0"/>
        <w:widowControl/>
        <w:kinsoku/>
        <w:overflowPunct/>
        <w:topLinePunct w:val="0"/>
        <w:bidi w:val="0"/>
        <w:snapToGrid/>
        <w:spacing w:line="360" w:lineRule="auto"/>
        <w:jc w:val="right"/>
        <w:textAlignment w:val="auto"/>
        <w:rPr>
          <w:sz w:val="28"/>
          <w:szCs w:val="28"/>
        </w:rPr>
      </w:pPr>
      <w:r>
        <w:rPr>
          <w:rFonts w:hint="eastAsia" w:ascii="宋体" w:hAnsi="宋体"/>
          <w:sz w:val="28"/>
          <w:szCs w:val="28"/>
        </w:rPr>
        <w:t xml:space="preserve">                            二〇二一年六月十一日</w:t>
      </w:r>
      <w:bookmarkStart w:id="10" w:name="_Toc48252223"/>
    </w:p>
    <w:p>
      <w:pPr>
        <w:pStyle w:val="2"/>
        <w:jc w:val="center"/>
        <w:rPr>
          <w:rFonts w:ascii="宋体"/>
        </w:rPr>
      </w:pPr>
      <w:r>
        <w:rPr>
          <w:rFonts w:hint="eastAsia"/>
          <w:sz w:val="32"/>
          <w:szCs w:val="32"/>
        </w:rPr>
        <w:t>增资确认书</w:t>
      </w:r>
      <w:bookmarkEnd w:id="10"/>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sz w:val="28"/>
          <w:szCs w:val="28"/>
        </w:rPr>
      </w:pPr>
      <w:r>
        <w:rPr>
          <w:rFonts w:hint="eastAsia" w:ascii="宋体" w:hAnsi="宋体"/>
          <w:sz w:val="28"/>
          <w:szCs w:val="28"/>
        </w:rPr>
        <w:t>主持人：台州市产权交易所有限公司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sz w:val="28"/>
          <w:szCs w:val="28"/>
        </w:rPr>
      </w:pPr>
      <w:r>
        <w:rPr>
          <w:rFonts w:hint="eastAsia" w:ascii="宋体" w:hAnsi="宋体"/>
          <w:sz w:val="28"/>
          <w:szCs w:val="28"/>
        </w:rPr>
        <w:t>投资方：                  联系电话：</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宋体" w:hAnsi="宋体"/>
          <w:sz w:val="28"/>
          <w:szCs w:val="28"/>
        </w:rPr>
      </w:pPr>
      <w:r>
        <w:rPr>
          <w:rFonts w:hint="eastAsia" w:ascii="宋体" w:hAnsi="宋体"/>
          <w:sz w:val="28"/>
          <w:szCs w:val="28"/>
        </w:rPr>
        <w:t>投资方于2021年8月10日上午9:30时浙江海正动物保健品有限公司新增18,000,000股(台交所挂[2021]11号)网络竞价活动中，根据相关法律法规规定，双方签订增资确认书如下：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宋体"/>
          <w:sz w:val="28"/>
          <w:szCs w:val="28"/>
        </w:rPr>
      </w:pPr>
      <w:r>
        <w:rPr>
          <w:rFonts w:hint="eastAsia" w:ascii="宋体" w:hAnsi="宋体"/>
          <w:sz w:val="28"/>
          <w:szCs w:val="28"/>
        </w:rPr>
        <w:t>一、</w:t>
      </w:r>
      <w:r>
        <w:rPr>
          <w:rFonts w:hint="eastAsia" w:ascii="宋体" w:hAnsi="宋体"/>
          <w:sz w:val="28"/>
          <w:szCs w:val="28"/>
          <w:u w:val="single"/>
        </w:rPr>
        <w:t xml:space="preserve">投资方投资总额      元，单价    </w:t>
      </w:r>
      <w:r>
        <w:rPr>
          <w:rFonts w:ascii="宋体" w:hAnsi="宋体"/>
          <w:sz w:val="28"/>
          <w:szCs w:val="28"/>
          <w:u w:val="single"/>
        </w:rPr>
        <w:t>元</w:t>
      </w:r>
      <w:r>
        <w:rPr>
          <w:rFonts w:hint="eastAsia" w:ascii="宋体" w:hAnsi="宋体"/>
          <w:sz w:val="28"/>
          <w:szCs w:val="28"/>
          <w:u w:val="single"/>
        </w:rPr>
        <w:t xml:space="preserve">/股，增资后占得浙江海正动物保健品有限公司      </w:t>
      </w:r>
      <w:r>
        <w:rPr>
          <w:rFonts w:ascii="宋体" w:hAnsi="宋体"/>
          <w:sz w:val="28"/>
          <w:szCs w:val="28"/>
          <w:u w:val="single"/>
        </w:rPr>
        <w:t>%</w:t>
      </w:r>
      <w:r>
        <w:rPr>
          <w:rFonts w:hint="eastAsia" w:ascii="宋体" w:hAnsi="宋体"/>
          <w:sz w:val="28"/>
          <w:szCs w:val="28"/>
          <w:u w:val="single"/>
        </w:rPr>
        <w:t>股权</w:t>
      </w:r>
      <w:r>
        <w:rPr>
          <w:rFonts w:hint="eastAsia" w:ascii="宋体" w:hAnsi="宋体"/>
          <w:sz w:val="28"/>
          <w:szCs w:val="28"/>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宋体" w:hAnsi="宋体"/>
          <w:sz w:val="28"/>
          <w:szCs w:val="28"/>
        </w:rPr>
      </w:pPr>
      <w:r>
        <w:rPr>
          <w:rFonts w:hint="eastAsia" w:ascii="宋体" w:hAnsi="宋体"/>
          <w:sz w:val="28"/>
          <w:szCs w:val="28"/>
        </w:rPr>
        <w:t>二、</w:t>
      </w:r>
      <w:r>
        <w:rPr>
          <w:rFonts w:hint="eastAsia" w:ascii="宋体" w:hAnsi="宋体"/>
          <w:sz w:val="28"/>
          <w:szCs w:val="28"/>
          <w:u w:val="single"/>
        </w:rPr>
        <w:t>服务费：大写人民币       ，小写人民币             元</w:t>
      </w:r>
      <w:r>
        <w:rPr>
          <w:rFonts w:hint="eastAsia" w:ascii="宋体" w:hAnsi="宋体"/>
          <w:sz w:val="28"/>
          <w:szCs w:val="28"/>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宋体" w:hAnsi="宋体"/>
          <w:sz w:val="28"/>
          <w:szCs w:val="28"/>
        </w:rPr>
      </w:pPr>
      <w:r>
        <w:rPr>
          <w:rFonts w:hint="eastAsia" w:ascii="宋体" w:hAnsi="宋体"/>
          <w:sz w:val="28"/>
          <w:szCs w:val="28"/>
        </w:rPr>
        <w:t>三、付款方式：</w:t>
      </w:r>
      <w:r>
        <w:rPr>
          <w:rFonts w:hint="eastAsia" w:ascii="宋体" w:hAnsi="宋体"/>
          <w:sz w:val="28"/>
          <w:szCs w:val="28"/>
          <w:lang w:val="en-US" w:eastAsia="zh-CN"/>
        </w:rPr>
        <w:t>竞价</w:t>
      </w:r>
      <w:r>
        <w:rPr>
          <w:rFonts w:hint="eastAsia" w:ascii="宋体" w:hAnsi="宋体"/>
          <w:sz w:val="28"/>
          <w:szCs w:val="28"/>
        </w:rPr>
        <w:t>成交后</w:t>
      </w:r>
      <w:r>
        <w:rPr>
          <w:rFonts w:hint="eastAsia" w:ascii="宋体" w:hAnsi="宋体"/>
          <w:sz w:val="28"/>
          <w:szCs w:val="28"/>
          <w:lang w:val="en-US" w:eastAsia="zh-CN"/>
        </w:rPr>
        <w:t>二个工作日</w:t>
      </w:r>
      <w:r>
        <w:rPr>
          <w:rFonts w:hint="eastAsia" w:ascii="宋体" w:hAnsi="宋体"/>
          <w:sz w:val="28"/>
          <w:szCs w:val="28"/>
        </w:rPr>
        <w:t>内签署本《增资确认书》，并于《</w:t>
      </w:r>
      <w:r>
        <w:rPr>
          <w:rFonts w:ascii="宋体" w:hAnsi="宋体"/>
          <w:sz w:val="28"/>
          <w:szCs w:val="28"/>
        </w:rPr>
        <w:t>增资确认书》</w:t>
      </w:r>
      <w:r>
        <w:rPr>
          <w:rFonts w:hint="eastAsia" w:ascii="宋体" w:hAnsi="宋体"/>
          <w:sz w:val="28"/>
          <w:szCs w:val="28"/>
        </w:rPr>
        <w:t>签署后</w:t>
      </w:r>
      <w:r>
        <w:rPr>
          <w:rFonts w:hint="eastAsia" w:ascii="宋体" w:hAnsi="宋体"/>
          <w:sz w:val="28"/>
          <w:szCs w:val="28"/>
          <w:lang w:val="en-US" w:eastAsia="zh-CN"/>
        </w:rPr>
        <w:t>二个工作日</w:t>
      </w:r>
      <w:r>
        <w:rPr>
          <w:rFonts w:hint="eastAsia" w:ascii="宋体" w:hAnsi="宋体"/>
          <w:sz w:val="28"/>
          <w:szCs w:val="28"/>
        </w:rPr>
        <w:t>内签署《增资扩股协议》，《增资扩股协议》签署后</w:t>
      </w:r>
      <w:r>
        <w:rPr>
          <w:rFonts w:hint="eastAsia" w:ascii="宋体" w:hAnsi="宋体"/>
          <w:sz w:val="28"/>
          <w:szCs w:val="28"/>
          <w:lang w:val="en-US" w:eastAsia="zh-CN"/>
        </w:rPr>
        <w:t>五个工作日</w:t>
      </w:r>
      <w:r>
        <w:rPr>
          <w:rFonts w:hint="eastAsia" w:ascii="宋体" w:hAnsi="宋体"/>
          <w:sz w:val="28"/>
          <w:szCs w:val="28"/>
        </w:rPr>
        <w:t>内投资方一次性支付全部剩余增资款（投资方先期汇入台州市产权交易所有限公司的竞买保证金应转为等额增资款）。</w:t>
      </w:r>
      <w:r>
        <w:rPr>
          <w:rFonts w:ascii="宋体" w:hAnsi="宋体"/>
          <w:sz w:val="28"/>
          <w:szCs w:val="28"/>
        </w:rPr>
        <w:t>并于</w:t>
      </w:r>
      <w:r>
        <w:rPr>
          <w:rFonts w:hint="eastAsia" w:ascii="宋体" w:hAnsi="宋体"/>
          <w:sz w:val="28"/>
          <w:szCs w:val="28"/>
        </w:rPr>
        <w:t>增资扩股协议签署</w:t>
      </w:r>
      <w:r>
        <w:rPr>
          <w:rFonts w:ascii="宋体" w:hAnsi="宋体"/>
          <w:sz w:val="28"/>
          <w:szCs w:val="28"/>
        </w:rPr>
        <w:t>后</w:t>
      </w:r>
      <w:r>
        <w:rPr>
          <w:rFonts w:hint="eastAsia" w:ascii="宋体" w:hAnsi="宋体"/>
          <w:sz w:val="28"/>
          <w:szCs w:val="28"/>
          <w:lang w:val="en-US" w:eastAsia="zh-CN"/>
        </w:rPr>
        <w:t>五个工作日</w:t>
      </w:r>
      <w:r>
        <w:rPr>
          <w:rFonts w:ascii="宋体" w:hAnsi="宋体"/>
          <w:sz w:val="28"/>
          <w:szCs w:val="28"/>
        </w:rPr>
        <w:t>内</w:t>
      </w:r>
      <w:r>
        <w:rPr>
          <w:rFonts w:hint="eastAsia" w:ascii="宋体" w:hAnsi="宋体"/>
          <w:sz w:val="28"/>
          <w:szCs w:val="28"/>
        </w:rPr>
        <w:t>向</w:t>
      </w:r>
      <w:r>
        <w:rPr>
          <w:rFonts w:ascii="宋体" w:hAnsi="宋体"/>
          <w:sz w:val="28"/>
          <w:szCs w:val="28"/>
        </w:rPr>
        <w:t>产交所支付</w:t>
      </w:r>
      <w:r>
        <w:rPr>
          <w:rFonts w:hint="eastAsia" w:ascii="宋体" w:hAnsi="宋体"/>
          <w:sz w:val="28"/>
          <w:szCs w:val="28"/>
        </w:rPr>
        <w:t xml:space="preserve">金额为成交额0.2%的服务费。 </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ascii="宋体" w:hAnsi="宋体"/>
          <w:sz w:val="28"/>
          <w:szCs w:val="28"/>
        </w:rPr>
      </w:pPr>
      <w:r>
        <w:rPr>
          <w:rFonts w:hint="eastAsia" w:ascii="宋体" w:hAnsi="宋体"/>
          <w:sz w:val="28"/>
          <w:szCs w:val="28"/>
        </w:rPr>
        <w:t>收款账户：开户单位：台州市产权交易所有限公司，</w:t>
      </w:r>
      <w:r>
        <w:rPr>
          <w:rFonts w:ascii="宋体" w:hAnsi="宋体"/>
          <w:sz w:val="28"/>
          <w:szCs w:val="28"/>
        </w:rPr>
        <w:t>开户行：浙江民泰商业银行</w:t>
      </w:r>
      <w:r>
        <w:rPr>
          <w:rFonts w:hint="eastAsia" w:ascii="宋体" w:hAnsi="宋体"/>
          <w:sz w:val="28"/>
          <w:szCs w:val="28"/>
        </w:rPr>
        <w:t>股份有限公司</w:t>
      </w:r>
      <w:r>
        <w:rPr>
          <w:rFonts w:ascii="宋体" w:hAnsi="宋体"/>
          <w:sz w:val="28"/>
          <w:szCs w:val="28"/>
        </w:rPr>
        <w:t>椒江</w:t>
      </w:r>
      <w:r>
        <w:rPr>
          <w:rFonts w:hint="eastAsia" w:ascii="宋体" w:hAnsi="宋体"/>
          <w:sz w:val="28"/>
          <w:szCs w:val="28"/>
        </w:rPr>
        <w:t>市府大道</w:t>
      </w:r>
      <w:r>
        <w:rPr>
          <w:rFonts w:ascii="宋体" w:hAnsi="宋体"/>
          <w:sz w:val="28"/>
          <w:szCs w:val="28"/>
        </w:rPr>
        <w:t>支行</w:t>
      </w:r>
      <w:r>
        <w:rPr>
          <w:rFonts w:hint="eastAsia" w:ascii="宋体" w:hAnsi="宋体"/>
          <w:sz w:val="28"/>
          <w:szCs w:val="28"/>
        </w:rPr>
        <w:t>，</w:t>
      </w:r>
      <w:r>
        <w:rPr>
          <w:rFonts w:ascii="宋体" w:hAnsi="宋体"/>
          <w:sz w:val="28"/>
          <w:szCs w:val="28"/>
        </w:rPr>
        <w:t>账号：5830</w:t>
      </w:r>
      <w:r>
        <w:rPr>
          <w:rFonts w:hint="eastAsia" w:ascii="宋体" w:hAnsi="宋体"/>
          <w:sz w:val="28"/>
          <w:szCs w:val="28"/>
        </w:rPr>
        <w:t>16</w:t>
      </w:r>
      <w:r>
        <w:rPr>
          <w:rFonts w:ascii="宋体" w:hAnsi="宋体"/>
          <w:sz w:val="28"/>
          <w:szCs w:val="28"/>
        </w:rPr>
        <w:t>260800028。</w:t>
      </w:r>
    </w:p>
    <w:p>
      <w:pPr>
        <w:keepNext w:val="0"/>
        <w:keepLines w:val="0"/>
        <w:pageBreakBefore w:val="0"/>
        <w:widowControl w:val="0"/>
        <w:kinsoku/>
        <w:wordWrap/>
        <w:overflowPunct/>
        <w:topLinePunct w:val="0"/>
        <w:autoSpaceDE/>
        <w:autoSpaceDN/>
        <w:bidi w:val="0"/>
        <w:adjustRightInd/>
        <w:snapToGrid/>
        <w:spacing w:line="360" w:lineRule="auto"/>
        <w:ind w:right="105" w:rightChars="50" w:firstLine="560" w:firstLineChars="200"/>
        <w:jc w:val="left"/>
        <w:textAlignment w:val="auto"/>
        <w:rPr>
          <w:rFonts w:ascii="宋体" w:hAnsi="宋体"/>
          <w:bCs/>
          <w:sz w:val="28"/>
          <w:szCs w:val="28"/>
        </w:rPr>
      </w:pPr>
      <w:r>
        <w:rPr>
          <w:rFonts w:hint="eastAsia" w:ascii="宋体" w:hAnsi="宋体"/>
          <w:sz w:val="28"/>
          <w:szCs w:val="28"/>
        </w:rPr>
        <w:t>四、投资方成交后拒绝签署《增资确认书》、《增资扩股协议》，或不依本确认书足额支付投资款项的，视为其根本违约，台交所不再返还其已付的保证金并有权追究其违约责任，并在</w:t>
      </w:r>
      <w:r>
        <w:rPr>
          <w:rFonts w:hint="eastAsia" w:ascii="宋体" w:hAnsi="宋体"/>
          <w:sz w:val="28"/>
          <w:szCs w:val="28"/>
          <w:lang w:eastAsia="zh-CN"/>
        </w:rPr>
        <w:t>五个工作日</w:t>
      </w:r>
      <w:r>
        <w:rPr>
          <w:rFonts w:hint="eastAsia" w:ascii="宋体" w:hAnsi="宋体"/>
          <w:sz w:val="28"/>
          <w:szCs w:val="28"/>
        </w:rPr>
        <w:t>内将扣除服务费后的保证金汇入融资方账户；投资方逾期支付增资成交款项的，视为投资方根本违约；</w:t>
      </w:r>
      <w:r>
        <w:rPr>
          <w:rFonts w:hint="eastAsia" w:ascii="宋体" w:hAnsi="宋体"/>
          <w:bCs/>
          <w:sz w:val="28"/>
          <w:szCs w:val="28"/>
        </w:rPr>
        <w:t>融资方有权解除增资扩股协议，台交所有权解除《增资确认书》</w:t>
      </w:r>
      <w:r>
        <w:rPr>
          <w:rFonts w:hint="eastAsia" w:ascii="宋体" w:hAnsi="宋体"/>
          <w:sz w:val="28"/>
          <w:szCs w:val="28"/>
        </w:rPr>
        <w:t>，投资方先期汇入台州市产权交易所有限公司指定账户的保证金不予退还。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宋体"/>
          <w:sz w:val="28"/>
          <w:szCs w:val="28"/>
        </w:rPr>
      </w:pPr>
      <w:r>
        <w:rPr>
          <w:rFonts w:hint="eastAsia" w:ascii="宋体" w:hAnsi="宋体"/>
          <w:sz w:val="28"/>
          <w:szCs w:val="28"/>
        </w:rPr>
        <w:t>五、投资方凭本《增资确认书》于</w:t>
      </w:r>
      <w:r>
        <w:rPr>
          <w:rFonts w:hint="eastAsia" w:ascii="宋体" w:hAnsi="宋体"/>
          <w:sz w:val="28"/>
          <w:szCs w:val="28"/>
          <w:lang w:val="en-US" w:eastAsia="zh-CN"/>
        </w:rPr>
        <w:t>竞价成功后二个工作日</w:t>
      </w:r>
      <w:r>
        <w:rPr>
          <w:rFonts w:hint="eastAsia" w:ascii="宋体" w:hAnsi="宋体"/>
          <w:sz w:val="28"/>
          <w:szCs w:val="28"/>
        </w:rPr>
        <w:t>与融资方签订《增资扩股协议》，并按《增资扩股协议》进行履约。</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宋体"/>
          <w:sz w:val="28"/>
          <w:szCs w:val="28"/>
        </w:rPr>
      </w:pPr>
      <w:r>
        <w:rPr>
          <w:rFonts w:hint="eastAsia" w:ascii="宋体" w:hAnsi="宋体"/>
          <w:sz w:val="28"/>
          <w:szCs w:val="28"/>
        </w:rPr>
        <w:t>六、确定本增资扩股活动各方当事人权利义务的依据：</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宋体"/>
          <w:sz w:val="28"/>
          <w:szCs w:val="28"/>
        </w:rPr>
      </w:pPr>
      <w:r>
        <w:rPr>
          <w:rFonts w:ascii="宋体" w:hAnsi="宋体"/>
          <w:sz w:val="28"/>
          <w:szCs w:val="28"/>
        </w:rPr>
        <w:t>1</w:t>
      </w:r>
      <w:r>
        <w:rPr>
          <w:rFonts w:hint="eastAsia" w:ascii="宋体" w:hAnsi="宋体"/>
          <w:sz w:val="28"/>
          <w:szCs w:val="28"/>
        </w:rPr>
        <w:t>、《委托增资服务协议》；</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宋体"/>
          <w:sz w:val="28"/>
          <w:szCs w:val="28"/>
        </w:rPr>
      </w:pPr>
      <w:r>
        <w:rPr>
          <w:rFonts w:ascii="宋体" w:hAnsi="宋体"/>
          <w:sz w:val="28"/>
          <w:szCs w:val="28"/>
        </w:rPr>
        <w:t>2</w:t>
      </w:r>
      <w:r>
        <w:rPr>
          <w:rFonts w:hint="eastAsia" w:ascii="宋体" w:hAnsi="宋体"/>
          <w:sz w:val="28"/>
          <w:szCs w:val="28"/>
        </w:rPr>
        <w:t>、《增资扩股协议》及</w:t>
      </w:r>
      <w:r>
        <w:rPr>
          <w:rFonts w:ascii="宋体" w:hAnsi="宋体"/>
          <w:sz w:val="28"/>
          <w:szCs w:val="28"/>
        </w:rPr>
        <w:t>其补充协议（如有）</w:t>
      </w:r>
      <w:r>
        <w:rPr>
          <w:rFonts w:hint="eastAsia" w:ascii="宋体" w:hAnsi="宋体"/>
          <w:sz w:val="28"/>
          <w:szCs w:val="28"/>
        </w:rPr>
        <w:t>；</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宋体"/>
          <w:sz w:val="28"/>
          <w:szCs w:val="28"/>
        </w:rPr>
      </w:pPr>
      <w:r>
        <w:rPr>
          <w:rFonts w:ascii="宋体" w:hAnsi="宋体"/>
          <w:sz w:val="28"/>
          <w:szCs w:val="28"/>
        </w:rPr>
        <w:t>3</w:t>
      </w:r>
      <w:r>
        <w:rPr>
          <w:rFonts w:hint="eastAsia" w:ascii="宋体" w:hAnsi="宋体"/>
          <w:sz w:val="28"/>
          <w:szCs w:val="28"/>
        </w:rPr>
        <w:t>、《须知及特别约定》；</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宋体"/>
          <w:sz w:val="28"/>
          <w:szCs w:val="28"/>
        </w:rPr>
      </w:pPr>
      <w:r>
        <w:rPr>
          <w:rFonts w:ascii="宋体" w:hAnsi="宋体"/>
          <w:sz w:val="28"/>
          <w:szCs w:val="28"/>
        </w:rPr>
        <w:t>4</w:t>
      </w:r>
      <w:r>
        <w:rPr>
          <w:rFonts w:hint="eastAsia" w:ascii="宋体" w:hAnsi="宋体"/>
          <w:sz w:val="28"/>
          <w:szCs w:val="28"/>
        </w:rPr>
        <w:t>、投资方办理的增资申请书及提供的有关文件和资料；</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宋体"/>
          <w:sz w:val="28"/>
          <w:szCs w:val="28"/>
        </w:rPr>
      </w:pPr>
      <w:r>
        <w:rPr>
          <w:rFonts w:ascii="宋体" w:hAnsi="宋体"/>
          <w:sz w:val="28"/>
          <w:szCs w:val="28"/>
        </w:rPr>
        <w:t>5</w:t>
      </w:r>
      <w:r>
        <w:rPr>
          <w:rFonts w:hint="eastAsia" w:ascii="宋体" w:hAnsi="宋体"/>
          <w:sz w:val="28"/>
          <w:szCs w:val="28"/>
        </w:rPr>
        <w:t>、其他与本次增资有关的文件及内容。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宋体" w:hAnsi="宋体"/>
          <w:sz w:val="28"/>
          <w:szCs w:val="28"/>
        </w:rPr>
      </w:pPr>
      <w:r>
        <w:rPr>
          <w:rFonts w:hint="eastAsia" w:ascii="宋体" w:hAnsi="宋体"/>
          <w:sz w:val="28"/>
          <w:szCs w:val="28"/>
        </w:rPr>
        <w:t>七、本确认书在履行中若发生争议，双方应协商解决，协商不成的，可向当地人民法院以起诉方式解决。</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宋体"/>
          <w:sz w:val="28"/>
          <w:szCs w:val="28"/>
        </w:rPr>
      </w:pPr>
      <w:r>
        <w:rPr>
          <w:rFonts w:hint="eastAsia" w:ascii="宋体" w:hAnsi="宋体"/>
          <w:sz w:val="28"/>
          <w:szCs w:val="28"/>
        </w:rPr>
        <w:t>八、本《增资确认书》一式</w:t>
      </w:r>
      <w:r>
        <w:rPr>
          <w:rFonts w:hint="default" w:ascii="宋体" w:hAnsi="宋体"/>
          <w:sz w:val="28"/>
          <w:szCs w:val="28"/>
          <w:lang w:val="en-US"/>
        </w:rPr>
        <w:t>六</w:t>
      </w:r>
      <w:r>
        <w:rPr>
          <w:rFonts w:hint="eastAsia" w:ascii="宋体" w:hAnsi="宋体"/>
          <w:sz w:val="28"/>
          <w:szCs w:val="28"/>
        </w:rPr>
        <w:t>份。组织人、投资方各执</w:t>
      </w:r>
      <w:r>
        <w:rPr>
          <w:rFonts w:hint="default" w:ascii="宋体" w:hAnsi="宋体"/>
          <w:sz w:val="28"/>
          <w:szCs w:val="28"/>
          <w:lang w:val="en-US"/>
        </w:rPr>
        <w:t>二</w:t>
      </w:r>
      <w:r>
        <w:rPr>
          <w:rFonts w:hint="eastAsia" w:ascii="宋体" w:hAnsi="宋体"/>
          <w:sz w:val="28"/>
          <w:szCs w:val="28"/>
        </w:rPr>
        <w:t>份，融资方、监管部门各执</w:t>
      </w:r>
      <w:r>
        <w:rPr>
          <w:rFonts w:hint="default" w:ascii="宋体" w:hAnsi="宋体"/>
          <w:sz w:val="28"/>
          <w:szCs w:val="28"/>
          <w:lang w:val="en-US"/>
        </w:rPr>
        <w:t>一</w:t>
      </w:r>
      <w:r>
        <w:rPr>
          <w:rFonts w:hint="eastAsia" w:ascii="宋体" w:hAnsi="宋体"/>
          <w:sz w:val="28"/>
          <w:szCs w:val="28"/>
        </w:rPr>
        <w:t>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sz w:val="28"/>
          <w:szCs w:val="28"/>
        </w:rPr>
      </w:pPr>
      <w:r>
        <w:rPr>
          <w:rFonts w:hint="eastAsia" w:ascii="宋体" w:hAnsi="宋体"/>
          <w:sz w:val="28"/>
          <w:szCs w:val="28"/>
        </w:rPr>
        <w:t>组织人（盖章）：台州市产权交易所有限公司    投资方：</w:t>
      </w:r>
    </w:p>
    <w:p>
      <w:pPr>
        <w:keepNext w:val="0"/>
        <w:keepLines w:val="0"/>
        <w:pageBreakBefore w:val="0"/>
        <w:widowControl w:val="0"/>
        <w:tabs>
          <w:tab w:val="left" w:pos="5210"/>
        </w:tabs>
        <w:kinsoku/>
        <w:wordWrap/>
        <w:overflowPunct/>
        <w:topLinePunct w:val="0"/>
        <w:autoSpaceDE/>
        <w:autoSpaceDN/>
        <w:bidi w:val="0"/>
        <w:adjustRightInd/>
        <w:snapToGrid/>
        <w:spacing w:line="360" w:lineRule="auto"/>
        <w:textAlignment w:val="auto"/>
        <w:rPr>
          <w:rFonts w:ascii="宋体"/>
          <w:sz w:val="28"/>
          <w:szCs w:val="28"/>
        </w:rPr>
      </w:pPr>
      <w:r>
        <w:rPr>
          <w:rFonts w:hint="eastAsia" w:ascii="宋体" w:hAnsi="宋体"/>
          <w:sz w:val="28"/>
          <w:szCs w:val="28"/>
        </w:rPr>
        <w:t>法定代表人：</w:t>
      </w:r>
      <w:r>
        <w:rPr>
          <w:rFonts w:ascii="宋体"/>
          <w:sz w:val="28"/>
          <w:szCs w:val="28"/>
        </w:rPr>
        <w:tab/>
      </w:r>
      <w:r>
        <w:rPr>
          <w:rFonts w:hint="eastAsia" w:ascii="宋体"/>
          <w:sz w:val="28"/>
          <w:szCs w:val="28"/>
          <w:lang w:val="en-US" w:eastAsia="zh-CN"/>
        </w:rPr>
        <w:t xml:space="preserve">      </w:t>
      </w:r>
      <w:r>
        <w:rPr>
          <w:rFonts w:hint="eastAsia" w:ascii="宋体" w:hAnsi="宋体"/>
          <w:sz w:val="28"/>
          <w:szCs w:val="28"/>
        </w:rPr>
        <w:t>法定代表人：</w:t>
      </w:r>
    </w:p>
    <w:p>
      <w:pPr>
        <w:keepNext w:val="0"/>
        <w:keepLines w:val="0"/>
        <w:pageBreakBefore w:val="0"/>
        <w:widowControl w:val="0"/>
        <w:tabs>
          <w:tab w:val="left" w:pos="5210"/>
        </w:tabs>
        <w:kinsoku/>
        <w:wordWrap/>
        <w:overflowPunct/>
        <w:topLinePunct w:val="0"/>
        <w:autoSpaceDE/>
        <w:autoSpaceDN/>
        <w:bidi w:val="0"/>
        <w:adjustRightInd/>
        <w:snapToGrid/>
        <w:spacing w:line="360" w:lineRule="auto"/>
        <w:textAlignment w:val="auto"/>
        <w:rPr>
          <w:rFonts w:ascii="宋体"/>
          <w:sz w:val="28"/>
          <w:szCs w:val="28"/>
        </w:rPr>
      </w:pPr>
      <w:r>
        <w:rPr>
          <w:rFonts w:hint="eastAsia" w:ascii="宋体" w:hAnsi="宋体"/>
          <w:sz w:val="28"/>
          <w:szCs w:val="28"/>
        </w:rPr>
        <w:t>委托代理人：</w:t>
      </w:r>
      <w:r>
        <w:rPr>
          <w:rFonts w:ascii="宋体"/>
          <w:sz w:val="28"/>
          <w:szCs w:val="28"/>
        </w:rPr>
        <w:tab/>
      </w:r>
      <w:r>
        <w:rPr>
          <w:rFonts w:hint="eastAsia" w:ascii="宋体"/>
          <w:sz w:val="28"/>
          <w:szCs w:val="28"/>
          <w:lang w:val="en-US" w:eastAsia="zh-CN"/>
        </w:rPr>
        <w:t xml:space="preserve">      </w:t>
      </w:r>
      <w:r>
        <w:rPr>
          <w:rFonts w:hint="eastAsia" w:ascii="宋体" w:hAnsi="宋体"/>
          <w:sz w:val="28"/>
          <w:szCs w:val="28"/>
        </w:rPr>
        <w:t>委托代理人：</w:t>
      </w:r>
    </w:p>
    <w:p>
      <w:pPr>
        <w:keepNext w:val="0"/>
        <w:keepLines w:val="0"/>
        <w:pageBreakBefore w:val="0"/>
        <w:widowControl w:val="0"/>
        <w:tabs>
          <w:tab w:val="left" w:pos="5210"/>
        </w:tabs>
        <w:kinsoku/>
        <w:wordWrap/>
        <w:overflowPunct/>
        <w:topLinePunct w:val="0"/>
        <w:autoSpaceDE/>
        <w:autoSpaceDN/>
        <w:bidi w:val="0"/>
        <w:adjustRightInd/>
        <w:snapToGrid/>
        <w:spacing w:line="360" w:lineRule="auto"/>
        <w:textAlignment w:val="auto"/>
        <w:rPr>
          <w:rFonts w:ascii="宋体"/>
          <w:sz w:val="28"/>
          <w:szCs w:val="28"/>
        </w:rPr>
      </w:pPr>
      <w:r>
        <w:rPr>
          <w:rFonts w:hint="eastAsia" w:ascii="宋体" w:hAnsi="宋体"/>
          <w:sz w:val="28"/>
          <w:szCs w:val="28"/>
        </w:rPr>
        <w:t>签订日期：  年   月   日                    签订日期：  年  月   日</w:t>
      </w:r>
    </w:p>
    <w:p>
      <w:pPr>
        <w:tabs>
          <w:tab w:val="left" w:pos="5210"/>
        </w:tabs>
        <w:spacing w:line="360" w:lineRule="auto"/>
        <w:rPr>
          <w:rFonts w:ascii="宋体"/>
          <w:sz w:val="23"/>
          <w:szCs w:val="23"/>
        </w:rPr>
      </w:pPr>
    </w:p>
    <w:p>
      <w:pPr>
        <w:widowControl/>
        <w:spacing w:line="580" w:lineRule="exact"/>
        <w:jc w:val="center"/>
        <w:rPr>
          <w:rFonts w:ascii="宋体" w:hAnsi="宋体" w:cs="宋体"/>
          <w:b/>
          <w:bCs/>
          <w:kern w:val="0"/>
          <w:sz w:val="44"/>
          <w:szCs w:val="44"/>
        </w:rPr>
      </w:pPr>
      <w:r>
        <w:rPr>
          <w:rFonts w:ascii="宋体"/>
          <w:sz w:val="23"/>
          <w:szCs w:val="23"/>
        </w:rPr>
        <w:br w:type="page"/>
      </w:r>
    </w:p>
    <w:p>
      <w:pPr>
        <w:widowControl/>
        <w:spacing w:line="580" w:lineRule="exact"/>
        <w:jc w:val="center"/>
        <w:rPr>
          <w:rFonts w:ascii="宋体" w:cs="宋体"/>
          <w:b/>
          <w:bCs/>
          <w:kern w:val="0"/>
          <w:sz w:val="44"/>
          <w:szCs w:val="44"/>
        </w:rPr>
      </w:pPr>
      <w:r>
        <w:rPr>
          <w:rFonts w:hint="eastAsia" w:ascii="宋体" w:hAnsi="宋体" w:cs="宋体"/>
          <w:b/>
          <w:bCs/>
          <w:kern w:val="0"/>
          <w:sz w:val="44"/>
          <w:szCs w:val="44"/>
        </w:rPr>
        <w:t>浙江海正动物保健品有限公司</w:t>
      </w:r>
    </w:p>
    <w:p>
      <w:pPr>
        <w:widowControl/>
        <w:spacing w:line="580" w:lineRule="exact"/>
        <w:jc w:val="center"/>
        <w:outlineLvl w:val="0"/>
        <w:rPr>
          <w:rFonts w:ascii="黑体" w:hAnsi="宋体" w:eastAsia="黑体" w:cs="宋体"/>
          <w:b/>
          <w:bCs/>
          <w:kern w:val="0"/>
          <w:sz w:val="22"/>
        </w:rPr>
      </w:pPr>
      <w:r>
        <w:rPr>
          <w:rFonts w:hint="eastAsia" w:ascii="宋体" w:hAnsi="宋体" w:cs="宋体"/>
          <w:b/>
          <w:bCs/>
          <w:kern w:val="0"/>
          <w:sz w:val="44"/>
          <w:szCs w:val="44"/>
        </w:rPr>
        <w:t>增资扩股协议</w:t>
      </w:r>
    </w:p>
    <w:p>
      <w:pPr>
        <w:widowControl/>
        <w:spacing w:line="580" w:lineRule="exact"/>
        <w:jc w:val="center"/>
        <w:rPr>
          <w:rFonts w:ascii="黑体" w:hAnsi="宋体" w:eastAsia="黑体" w:cs="宋体"/>
          <w:b/>
          <w:bCs/>
          <w:kern w:val="0"/>
          <w:sz w:val="22"/>
        </w:rPr>
      </w:pPr>
    </w:p>
    <w:p>
      <w:pPr>
        <w:widowControl/>
        <w:spacing w:line="580" w:lineRule="exact"/>
        <w:jc w:val="center"/>
        <w:rPr>
          <w:rFonts w:ascii="黑体" w:eastAsia="黑体" w:cs="宋体"/>
          <w:kern w:val="0"/>
          <w:sz w:val="16"/>
          <w:szCs w:val="18"/>
        </w:rPr>
      </w:pP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甲方：浙江海正动物保健品有限公司</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主体资格证号：</w:t>
      </w:r>
      <w:r>
        <w:rPr>
          <w:rFonts w:hint="eastAsia" w:asciiTheme="minorEastAsia" w:hAnsiTheme="minorEastAsia" w:eastAsiaTheme="minorEastAsia" w:cstheme="minorEastAsia"/>
          <w:color w:val="333333"/>
          <w:sz w:val="28"/>
          <w:szCs w:val="28"/>
          <w:shd w:val="clear" w:color="auto" w:fill="FFFFFF"/>
        </w:rPr>
        <w:t>913301836945599246</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注册地址/住所：浙江省杭州市富阳区东洲街道高尔夫路208号</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经济性质：有限责任公司(非自然人投资或控股的法人独资)</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法定代表人：陈晓华</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kern w:val="0"/>
          <w:sz w:val="28"/>
          <w:szCs w:val="28"/>
        </w:rPr>
      </w:pPr>
    </w:p>
    <w:p>
      <w:pPr>
        <w:keepNext w:val="0"/>
        <w:keepLines w:val="0"/>
        <w:pageBreakBefore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8"/>
          <w:szCs w:val="28"/>
        </w:rPr>
      </w:pP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乙方：</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主体资格证号：</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 xml:space="preserve">注册地址/住所： </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经济性质：</w:t>
      </w:r>
    </w:p>
    <w:p>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法定代表人：</w:t>
      </w:r>
    </w:p>
    <w:p>
      <w:pPr>
        <w:widowControl/>
        <w:spacing w:line="500" w:lineRule="exact"/>
        <w:rPr>
          <w:rFonts w:ascii="宋体" w:cs="宋体"/>
          <w:kern w:val="0"/>
          <w:sz w:val="24"/>
          <w:szCs w:val="24"/>
        </w:rPr>
      </w:pPr>
    </w:p>
    <w:p>
      <w:pPr>
        <w:widowControl/>
        <w:spacing w:line="500" w:lineRule="exact"/>
        <w:rPr>
          <w:rFonts w:ascii="宋体" w:cs="宋体"/>
          <w:kern w:val="0"/>
          <w:sz w:val="24"/>
          <w:szCs w:val="24"/>
        </w:rPr>
      </w:pPr>
    </w:p>
    <w:p>
      <w:pPr>
        <w:widowControl/>
        <w:spacing w:line="500" w:lineRule="exact"/>
        <w:jc w:val="left"/>
        <w:rPr>
          <w:rFonts w:ascii="宋体" w:cs="宋体"/>
          <w:kern w:val="0"/>
          <w:sz w:val="24"/>
          <w:szCs w:val="24"/>
        </w:rPr>
      </w:pPr>
    </w:p>
    <w:p>
      <w:pPr>
        <w:widowControl/>
        <w:spacing w:line="500" w:lineRule="exact"/>
        <w:jc w:val="left"/>
        <w:rPr>
          <w:rFonts w:ascii="宋体" w:cs="宋体"/>
          <w:kern w:val="0"/>
          <w:sz w:val="24"/>
          <w:szCs w:val="24"/>
        </w:rPr>
      </w:pP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ascii="宋体" w:cs="宋体"/>
          <w:b/>
          <w:kern w:val="0"/>
          <w:sz w:val="28"/>
          <w:szCs w:val="28"/>
        </w:rPr>
      </w:pPr>
      <w:r>
        <w:rPr>
          <w:rFonts w:ascii="宋体" w:cs="宋体"/>
          <w:b/>
          <w:kern w:val="0"/>
          <w:sz w:val="24"/>
          <w:szCs w:val="24"/>
        </w:rPr>
        <w:br w:type="page"/>
      </w:r>
      <w:r>
        <w:rPr>
          <w:rFonts w:hint="eastAsia" w:ascii="宋体" w:hAnsi="宋体" w:cs="宋体"/>
          <w:b/>
          <w:kern w:val="0"/>
          <w:sz w:val="28"/>
          <w:szCs w:val="28"/>
        </w:rPr>
        <w:t>鉴于：</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ascii="宋体" w:cs="宋体"/>
          <w:kern w:val="0"/>
          <w:sz w:val="28"/>
          <w:szCs w:val="28"/>
        </w:rPr>
      </w:pPr>
      <w:r>
        <w:rPr>
          <w:rFonts w:hint="eastAsia" w:ascii="宋体" w:hAnsi="宋体" w:cs="宋体"/>
          <w:kern w:val="0"/>
          <w:sz w:val="28"/>
          <w:szCs w:val="28"/>
        </w:rPr>
        <w:t>（一）甲方是依法设立、合法存续的股份有限公司；</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ascii="宋体" w:cs="宋体"/>
          <w:kern w:val="0"/>
          <w:sz w:val="28"/>
          <w:szCs w:val="28"/>
        </w:rPr>
      </w:pPr>
      <w:r>
        <w:rPr>
          <w:rFonts w:hint="eastAsia" w:ascii="宋体" w:hAnsi="宋体" w:cs="宋体"/>
          <w:kern w:val="0"/>
          <w:sz w:val="28"/>
          <w:szCs w:val="28"/>
        </w:rPr>
        <w:t>（二）乙方是</w:t>
      </w:r>
      <w:r>
        <w:rPr>
          <w:rFonts w:hint="eastAsia" w:ascii="宋体" w:hAnsi="宋体" w:cs="宋体"/>
          <w:kern w:val="0"/>
          <w:sz w:val="28"/>
          <w:szCs w:val="28"/>
          <w:u w:val="single"/>
        </w:rPr>
        <w:t>依法设立、合法续存的</w:t>
      </w:r>
      <w:r>
        <w:rPr>
          <w:rFonts w:hint="eastAsia" w:ascii="宋体" w:hAnsi="宋体" w:cs="宋体"/>
          <w:kern w:val="0"/>
          <w:sz w:val="28"/>
          <w:szCs w:val="28"/>
          <w:u w:val="single"/>
          <w:lang w:val="en-US" w:eastAsia="zh-CN"/>
        </w:rPr>
        <w:t xml:space="preserve">              </w:t>
      </w:r>
      <w:r>
        <w:rPr>
          <w:rFonts w:hint="eastAsia" w:ascii="宋体" w:hAnsi="宋体" w:cs="宋体"/>
          <w:kern w:val="0"/>
          <w:sz w:val="28"/>
          <w:szCs w:val="28"/>
          <w:u w:val="single"/>
        </w:rPr>
        <w:t>公司</w:t>
      </w:r>
      <w:r>
        <w:rPr>
          <w:rFonts w:hint="eastAsia" w:ascii="宋体" w:hAnsi="宋体" w:cs="宋体"/>
          <w:kern w:val="0"/>
          <w:sz w:val="28"/>
          <w:szCs w:val="28"/>
        </w:rPr>
        <w:t>；</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ascii="宋体" w:cs="宋体"/>
          <w:kern w:val="0"/>
          <w:sz w:val="28"/>
          <w:szCs w:val="28"/>
        </w:rPr>
      </w:pPr>
      <w:r>
        <w:rPr>
          <w:rFonts w:hint="eastAsia" w:ascii="宋体" w:hAnsi="宋体" w:cs="宋体"/>
          <w:kern w:val="0"/>
          <w:sz w:val="28"/>
          <w:szCs w:val="28"/>
        </w:rPr>
        <w:t>（三）甲方通过台州市产权交易所有限公司，以公开征集投资方（即新增加股东）的方式认购增资额</w:t>
      </w:r>
      <w:r>
        <w:rPr>
          <w:rFonts w:hint="eastAsia" w:ascii="宋体" w:hAnsi="宋体" w:cs="宋体"/>
          <w:kern w:val="0"/>
          <w:sz w:val="28"/>
          <w:szCs w:val="28"/>
          <w:u w:val="single"/>
        </w:rPr>
        <w:t>1</w:t>
      </w:r>
      <w:r>
        <w:rPr>
          <w:rFonts w:ascii="宋体" w:hAnsi="宋体" w:cs="宋体"/>
          <w:kern w:val="0"/>
          <w:sz w:val="28"/>
          <w:szCs w:val="28"/>
          <w:u w:val="single"/>
        </w:rPr>
        <w:t>8,000,000</w:t>
      </w:r>
      <w:r>
        <w:rPr>
          <w:rFonts w:hint="eastAsia" w:ascii="宋体" w:hAnsi="宋体" w:cs="宋体"/>
          <w:kern w:val="0"/>
          <w:sz w:val="28"/>
          <w:szCs w:val="28"/>
          <w:u w:val="single"/>
        </w:rPr>
        <w:t>.00</w:t>
      </w:r>
      <w:r>
        <w:rPr>
          <w:rFonts w:hint="eastAsia" w:ascii="宋体" w:hAnsi="宋体" w:cs="宋体"/>
          <w:kern w:val="0"/>
          <w:sz w:val="28"/>
          <w:szCs w:val="28"/>
        </w:rPr>
        <w:t>元，投资方以台州市</w:t>
      </w:r>
      <w:bookmarkStart w:id="11" w:name="_GoBack"/>
      <w:bookmarkEnd w:id="11"/>
      <w:r>
        <w:rPr>
          <w:rFonts w:hint="eastAsia" w:ascii="宋体" w:hAnsi="宋体" w:cs="宋体"/>
          <w:kern w:val="0"/>
          <w:sz w:val="28"/>
          <w:szCs w:val="28"/>
        </w:rPr>
        <w:t>产权交易所有限公司公布的报名条件和增资规则对上述标的进行增资；</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ascii="宋体" w:cs="宋体"/>
          <w:kern w:val="0"/>
          <w:sz w:val="28"/>
          <w:szCs w:val="28"/>
        </w:rPr>
      </w:pPr>
      <w:r>
        <w:rPr>
          <w:rFonts w:hint="eastAsia" w:ascii="宋体" w:hAnsi="宋体" w:cs="宋体"/>
          <w:kern w:val="0"/>
          <w:sz w:val="28"/>
          <w:szCs w:val="28"/>
        </w:rPr>
        <w:t>（四）乙方自愿参与甲方本次增资，且已通过台州市产权交易所有限公司的增资程序投资人民</w:t>
      </w:r>
      <w:r>
        <w:rPr>
          <w:rFonts w:hint="eastAsia" w:ascii="宋体" w:hAnsi="宋体" w:cs="宋体"/>
          <w:kern w:val="0"/>
          <w:sz w:val="28"/>
          <w:szCs w:val="28"/>
          <w:lang w:val="en-US" w:eastAsia="zh-CN"/>
        </w:rPr>
        <w:t>币</w:t>
      </w:r>
      <w:r>
        <w:rPr>
          <w:rFonts w:hint="eastAsia" w:ascii="宋体" w:hAnsi="宋体" w:cs="宋体"/>
          <w:kern w:val="0"/>
          <w:sz w:val="28"/>
          <w:szCs w:val="28"/>
          <w:u w:val="single"/>
          <w:lang w:val="en-US" w:eastAsia="zh-CN"/>
        </w:rPr>
        <w:t xml:space="preserve">           </w:t>
      </w:r>
      <w:r>
        <w:rPr>
          <w:rFonts w:hint="eastAsia" w:ascii="宋体" w:hAnsi="宋体" w:cs="宋体"/>
          <w:kern w:val="0"/>
          <w:sz w:val="28"/>
          <w:szCs w:val="28"/>
        </w:rPr>
        <w:t>元，单价</w:t>
      </w:r>
      <w:r>
        <w:rPr>
          <w:rFonts w:hint="eastAsia" w:ascii="宋体" w:hAnsi="宋体" w:cs="宋体"/>
          <w:kern w:val="0"/>
          <w:sz w:val="28"/>
          <w:szCs w:val="28"/>
          <w:u w:val="single"/>
          <w:lang w:val="en-US" w:eastAsia="zh-CN"/>
        </w:rPr>
        <w:t xml:space="preserve">      </w:t>
      </w:r>
      <w:r>
        <w:rPr>
          <w:rFonts w:hint="eastAsia" w:ascii="宋体" w:hAnsi="宋体" w:cs="宋体"/>
          <w:kern w:val="0"/>
          <w:sz w:val="28"/>
          <w:szCs w:val="28"/>
          <w:u w:val="single"/>
        </w:rPr>
        <w:t>元/股，增资后</w:t>
      </w:r>
      <w:r>
        <w:rPr>
          <w:rFonts w:hint="eastAsia" w:ascii="宋体" w:hAnsi="宋体"/>
          <w:sz w:val="28"/>
          <w:szCs w:val="28"/>
        </w:rPr>
        <w:t>占得</w:t>
      </w:r>
      <w:r>
        <w:rPr>
          <w:rFonts w:hint="eastAsia" w:ascii="宋体" w:hAnsi="宋体" w:cs="宋体"/>
          <w:kern w:val="0"/>
          <w:sz w:val="28"/>
          <w:szCs w:val="28"/>
        </w:rPr>
        <w:t>浙江海正动物保健品</w:t>
      </w:r>
      <w:r>
        <w:rPr>
          <w:rFonts w:hint="eastAsia" w:ascii="宋体" w:hAnsi="宋体"/>
          <w:sz w:val="28"/>
          <w:szCs w:val="28"/>
        </w:rPr>
        <w:t>有限公司投资后</w:t>
      </w:r>
      <w:r>
        <w:rPr>
          <w:rFonts w:ascii="宋体" w:hAnsi="宋体"/>
          <w:sz w:val="28"/>
          <w:szCs w:val="28"/>
          <w:u w:val="single"/>
        </w:rPr>
        <w:t>5.14%</w:t>
      </w:r>
      <w:r>
        <w:rPr>
          <w:rFonts w:hint="eastAsia" w:ascii="宋体" w:hAnsi="宋体"/>
          <w:sz w:val="28"/>
          <w:szCs w:val="28"/>
          <w:u w:val="single"/>
        </w:rPr>
        <w:t>股权</w:t>
      </w:r>
      <w:r>
        <w:rPr>
          <w:rFonts w:hint="eastAsia" w:ascii="宋体" w:hAnsi="宋体" w:cs="宋体"/>
          <w:kern w:val="0"/>
          <w:sz w:val="28"/>
          <w:szCs w:val="28"/>
        </w:rPr>
        <w:t>；</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ascii="宋体" w:cs="宋体"/>
          <w:kern w:val="0"/>
          <w:sz w:val="28"/>
          <w:szCs w:val="28"/>
        </w:rPr>
      </w:pPr>
      <w:r>
        <w:rPr>
          <w:rFonts w:hint="eastAsia" w:ascii="宋体" w:hAnsi="宋体" w:cs="宋体"/>
          <w:kern w:val="0"/>
          <w:sz w:val="28"/>
          <w:szCs w:val="28"/>
        </w:rPr>
        <w:t>基于友好协商、平等合作的基础，根据《中华人民共和国民法典》及其他有关法律、法规，就甲方本次增资扩股事宜，达成如下协议，以资共同遵守。</w:t>
      </w:r>
    </w:p>
    <w:p>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ascii="宋体" w:cs="宋体"/>
          <w:kern w:val="0"/>
          <w:sz w:val="28"/>
          <w:szCs w:val="28"/>
        </w:rPr>
      </w:pPr>
      <w:r>
        <w:rPr>
          <w:rFonts w:hint="eastAsia" w:ascii="宋体" w:hAnsi="宋体" w:cs="宋体"/>
          <w:b/>
          <w:kern w:val="0"/>
          <w:sz w:val="28"/>
          <w:szCs w:val="28"/>
        </w:rPr>
        <w:t>第一条</w:t>
      </w:r>
      <w:r>
        <w:rPr>
          <w:rFonts w:hint="eastAsia" w:ascii="宋体" w:hAnsi="宋体" w:cs="宋体"/>
          <w:b/>
          <w:kern w:val="0"/>
          <w:sz w:val="28"/>
          <w:szCs w:val="28"/>
          <w:lang w:val="en-US" w:eastAsia="zh-CN"/>
        </w:rPr>
        <w:t xml:space="preserve"> </w:t>
      </w:r>
      <w:r>
        <w:rPr>
          <w:rFonts w:hint="eastAsia" w:ascii="宋体" w:hAnsi="宋体" w:cs="宋体"/>
          <w:kern w:val="0"/>
          <w:sz w:val="28"/>
          <w:szCs w:val="28"/>
        </w:rPr>
        <w:t>公司的名称、法定代表人、注册地址</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ascii="宋体" w:cs="宋体"/>
          <w:kern w:val="0"/>
          <w:sz w:val="28"/>
          <w:szCs w:val="28"/>
        </w:rPr>
      </w:pPr>
      <w:r>
        <w:rPr>
          <w:rFonts w:hint="eastAsia" w:ascii="宋体" w:hAnsi="宋体" w:cs="宋体"/>
          <w:kern w:val="0"/>
          <w:sz w:val="28"/>
          <w:szCs w:val="28"/>
        </w:rPr>
        <w:t>公司中文名称：浙江海正动物保健品有限公司</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ascii="宋体" w:cs="宋体"/>
          <w:kern w:val="0"/>
          <w:sz w:val="28"/>
          <w:szCs w:val="28"/>
        </w:rPr>
      </w:pPr>
      <w:r>
        <w:rPr>
          <w:rFonts w:hint="eastAsia" w:ascii="宋体" w:hAnsi="宋体" w:cs="宋体"/>
          <w:kern w:val="0"/>
          <w:sz w:val="28"/>
          <w:szCs w:val="28"/>
        </w:rPr>
        <w:t>法定代表人：陈晓华</w:t>
      </w:r>
    </w:p>
    <w:p>
      <w:pPr>
        <w:keepNext w:val="0"/>
        <w:keepLines w:val="0"/>
        <w:pageBreakBefore w:val="0"/>
        <w:widowControl/>
        <w:kinsoku/>
        <w:wordWrap/>
        <w:overflowPunct/>
        <w:topLinePunct w:val="0"/>
        <w:autoSpaceDE/>
        <w:autoSpaceDN/>
        <w:bidi w:val="0"/>
        <w:adjustRightInd/>
        <w:snapToGrid/>
        <w:spacing w:line="360" w:lineRule="auto"/>
        <w:ind w:firstLine="560" w:firstLineChars="200"/>
        <w:jc w:val="left"/>
        <w:textAlignment w:val="auto"/>
        <w:rPr>
          <w:rFonts w:ascii="宋体" w:hAnsi="宋体" w:cs="宋体"/>
          <w:kern w:val="0"/>
          <w:sz w:val="28"/>
          <w:szCs w:val="28"/>
        </w:rPr>
      </w:pPr>
      <w:r>
        <w:rPr>
          <w:rFonts w:hint="eastAsia" w:ascii="宋体" w:hAnsi="宋体" w:cs="宋体"/>
          <w:kern w:val="0"/>
          <w:sz w:val="28"/>
          <w:szCs w:val="28"/>
        </w:rPr>
        <w:t>注册地址：</w:t>
      </w:r>
      <w:r>
        <w:rPr>
          <w:rFonts w:ascii="宋体" w:hAnsi="宋体" w:cs="宋体"/>
          <w:kern w:val="0"/>
          <w:sz w:val="28"/>
          <w:szCs w:val="28"/>
        </w:rPr>
        <w:t>浙江省杭州市富阳区东洲街道高尔夫路208号</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left"/>
        <w:textAlignment w:val="auto"/>
        <w:rPr>
          <w:rFonts w:ascii="宋体" w:cs="宋体"/>
          <w:kern w:val="0"/>
          <w:sz w:val="28"/>
          <w:szCs w:val="28"/>
        </w:rPr>
      </w:pPr>
      <w:r>
        <w:rPr>
          <w:rFonts w:hint="eastAsia" w:ascii="宋体" w:hAnsi="宋体" w:cs="宋体"/>
          <w:b/>
          <w:kern w:val="0"/>
          <w:sz w:val="28"/>
          <w:szCs w:val="28"/>
        </w:rPr>
        <w:t>第二条</w:t>
      </w:r>
      <w:r>
        <w:rPr>
          <w:rFonts w:hint="eastAsia" w:ascii="宋体" w:hAnsi="宋体" w:cs="宋体"/>
          <w:b/>
          <w:kern w:val="0"/>
          <w:sz w:val="28"/>
          <w:szCs w:val="28"/>
          <w:lang w:val="en-US" w:eastAsia="zh-CN"/>
        </w:rPr>
        <w:t xml:space="preserve"> </w:t>
      </w:r>
      <w:r>
        <w:rPr>
          <w:rFonts w:hint="eastAsia" w:ascii="宋体" w:hAnsi="宋体" w:cs="宋体"/>
          <w:kern w:val="0"/>
          <w:sz w:val="28"/>
          <w:szCs w:val="28"/>
        </w:rPr>
        <w:t>公司增资前的注册资本</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ascii="宋体" w:cs="宋体"/>
          <w:kern w:val="0"/>
          <w:sz w:val="28"/>
          <w:szCs w:val="28"/>
        </w:rPr>
      </w:pPr>
      <w:r>
        <w:rPr>
          <w:rFonts w:hint="eastAsia" w:ascii="宋体" w:hAnsi="宋体" w:cs="宋体"/>
          <w:kern w:val="0"/>
          <w:sz w:val="28"/>
          <w:szCs w:val="28"/>
        </w:rPr>
        <w:t>注册资本为：（人民币）</w:t>
      </w:r>
      <w:r>
        <w:rPr>
          <w:rFonts w:ascii="宋体" w:hAnsi="宋体" w:cs="宋体"/>
          <w:kern w:val="0"/>
          <w:sz w:val="28"/>
          <w:szCs w:val="28"/>
        </w:rPr>
        <w:t>3</w:t>
      </w:r>
      <w:r>
        <w:rPr>
          <w:rFonts w:hint="eastAsia" w:ascii="宋体" w:hAnsi="宋体" w:cs="宋体"/>
          <w:kern w:val="0"/>
          <w:sz w:val="28"/>
          <w:szCs w:val="28"/>
        </w:rPr>
        <w:t>10,</w:t>
      </w:r>
      <w:r>
        <w:rPr>
          <w:rFonts w:ascii="宋体" w:hAnsi="宋体" w:cs="宋体"/>
          <w:kern w:val="0"/>
          <w:sz w:val="28"/>
          <w:szCs w:val="28"/>
        </w:rPr>
        <w:t>00</w:t>
      </w:r>
      <w:r>
        <w:rPr>
          <w:rFonts w:hint="eastAsia" w:ascii="宋体" w:hAnsi="宋体" w:cs="宋体"/>
          <w:kern w:val="0"/>
          <w:sz w:val="28"/>
          <w:szCs w:val="28"/>
        </w:rPr>
        <w:t>0,000.00元</w:t>
      </w:r>
    </w:p>
    <w:p>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ascii="宋体" w:cs="宋体"/>
          <w:kern w:val="0"/>
          <w:sz w:val="28"/>
          <w:szCs w:val="28"/>
        </w:rPr>
      </w:pPr>
      <w:r>
        <w:rPr>
          <w:rFonts w:hint="eastAsia" w:ascii="宋体" w:hAnsi="宋体" w:cs="宋体"/>
          <w:b/>
          <w:kern w:val="0"/>
          <w:sz w:val="28"/>
          <w:szCs w:val="28"/>
        </w:rPr>
        <w:t>第三条</w:t>
      </w:r>
      <w:r>
        <w:rPr>
          <w:rFonts w:hint="eastAsia" w:ascii="宋体" w:hAnsi="宋体" w:cs="宋体"/>
          <w:b/>
          <w:kern w:val="0"/>
          <w:sz w:val="28"/>
          <w:szCs w:val="28"/>
          <w:lang w:val="en-US" w:eastAsia="zh-CN"/>
        </w:rPr>
        <w:t xml:space="preserve"> </w:t>
      </w:r>
      <w:r>
        <w:rPr>
          <w:rFonts w:hint="eastAsia" w:ascii="宋体" w:hAnsi="宋体" w:cs="宋体"/>
          <w:kern w:val="0"/>
          <w:sz w:val="28"/>
          <w:szCs w:val="28"/>
        </w:rPr>
        <w:t>公司增资前的股东结构</w:t>
      </w:r>
    </w:p>
    <w:tbl>
      <w:tblPr>
        <w:tblStyle w:val="18"/>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
        <w:gridCol w:w="4723"/>
        <w:gridCol w:w="2252"/>
        <w:gridCol w:w="1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903" w:type="dxa"/>
            <w:vAlign w:val="center"/>
          </w:tcPr>
          <w:p>
            <w:pPr>
              <w:spacing w:line="500" w:lineRule="exact"/>
              <w:rPr>
                <w:rFonts w:ascii="宋体"/>
                <w:sz w:val="24"/>
                <w:szCs w:val="24"/>
              </w:rPr>
            </w:pPr>
            <w:r>
              <w:rPr>
                <w:rFonts w:hint="eastAsia" w:ascii="宋体" w:hAnsi="宋体"/>
                <w:sz w:val="24"/>
                <w:szCs w:val="24"/>
              </w:rPr>
              <w:t>序号</w:t>
            </w:r>
          </w:p>
        </w:tc>
        <w:tc>
          <w:tcPr>
            <w:tcW w:w="4723" w:type="dxa"/>
            <w:vAlign w:val="center"/>
          </w:tcPr>
          <w:p>
            <w:pPr>
              <w:spacing w:line="500" w:lineRule="exact"/>
              <w:jc w:val="center"/>
              <w:rPr>
                <w:rFonts w:ascii="宋体"/>
                <w:sz w:val="24"/>
                <w:szCs w:val="24"/>
              </w:rPr>
            </w:pPr>
            <w:r>
              <w:rPr>
                <w:rFonts w:hint="eastAsia" w:ascii="宋体" w:hAnsi="宋体"/>
                <w:sz w:val="24"/>
                <w:szCs w:val="24"/>
              </w:rPr>
              <w:t>股东名称</w:t>
            </w:r>
          </w:p>
        </w:tc>
        <w:tc>
          <w:tcPr>
            <w:tcW w:w="2252" w:type="dxa"/>
            <w:vAlign w:val="center"/>
          </w:tcPr>
          <w:p>
            <w:pPr>
              <w:spacing w:line="500" w:lineRule="exact"/>
              <w:jc w:val="center"/>
              <w:rPr>
                <w:rFonts w:ascii="宋体"/>
                <w:sz w:val="24"/>
                <w:szCs w:val="24"/>
              </w:rPr>
            </w:pPr>
            <w:r>
              <w:rPr>
                <w:rFonts w:hint="eastAsia" w:ascii="宋体" w:hAnsi="宋体"/>
                <w:sz w:val="24"/>
                <w:szCs w:val="24"/>
              </w:rPr>
              <w:t>认缴出资（元）</w:t>
            </w:r>
          </w:p>
        </w:tc>
        <w:tc>
          <w:tcPr>
            <w:tcW w:w="1522" w:type="dxa"/>
            <w:vAlign w:val="center"/>
          </w:tcPr>
          <w:p>
            <w:pPr>
              <w:spacing w:line="500" w:lineRule="exact"/>
              <w:jc w:val="center"/>
              <w:rPr>
                <w:rFonts w:ascii="宋体"/>
                <w:sz w:val="24"/>
                <w:szCs w:val="24"/>
              </w:rPr>
            </w:pPr>
            <w:r>
              <w:rPr>
                <w:rFonts w:hint="eastAsia" w:ascii="宋体" w:hAnsi="宋体"/>
                <w:sz w:val="24"/>
                <w:szCs w:val="24"/>
              </w:rPr>
              <w:t>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903" w:type="dxa"/>
            <w:vAlign w:val="center"/>
          </w:tcPr>
          <w:p>
            <w:pPr>
              <w:spacing w:line="500" w:lineRule="exact"/>
              <w:jc w:val="center"/>
              <w:rPr>
                <w:rFonts w:ascii="宋体"/>
                <w:sz w:val="24"/>
                <w:szCs w:val="24"/>
              </w:rPr>
            </w:pPr>
            <w:r>
              <w:rPr>
                <w:rFonts w:ascii="宋体" w:hAnsi="宋体"/>
                <w:sz w:val="24"/>
                <w:szCs w:val="24"/>
              </w:rPr>
              <w:t>1</w:t>
            </w:r>
          </w:p>
        </w:tc>
        <w:tc>
          <w:tcPr>
            <w:tcW w:w="4723" w:type="dxa"/>
            <w:vAlign w:val="center"/>
          </w:tcPr>
          <w:p>
            <w:pPr>
              <w:widowControl/>
              <w:spacing w:line="500" w:lineRule="exact"/>
              <w:jc w:val="center"/>
              <w:rPr>
                <w:rFonts w:ascii="宋体" w:cs="宋体"/>
                <w:kern w:val="0"/>
                <w:sz w:val="24"/>
                <w:szCs w:val="24"/>
              </w:rPr>
            </w:pPr>
            <w:r>
              <w:rPr>
                <w:rFonts w:hint="eastAsia" w:ascii="宋体" w:hAnsi="宋体" w:cs="宋体"/>
                <w:sz w:val="24"/>
                <w:szCs w:val="24"/>
              </w:rPr>
              <w:t>浙江海正药业股份有限公司</w:t>
            </w:r>
          </w:p>
        </w:tc>
        <w:tc>
          <w:tcPr>
            <w:tcW w:w="2252" w:type="dxa"/>
            <w:vAlign w:val="center"/>
          </w:tcPr>
          <w:p>
            <w:pPr>
              <w:spacing w:line="500" w:lineRule="exact"/>
              <w:jc w:val="center"/>
              <w:rPr>
                <w:rFonts w:ascii="宋体"/>
                <w:sz w:val="24"/>
                <w:szCs w:val="24"/>
              </w:rPr>
            </w:pPr>
            <w:r>
              <w:rPr>
                <w:rFonts w:ascii="宋体" w:hAnsi="宋体"/>
                <w:color w:val="000000"/>
                <w:sz w:val="24"/>
                <w:szCs w:val="24"/>
              </w:rPr>
              <w:t>310</w:t>
            </w:r>
            <w:r>
              <w:rPr>
                <w:rFonts w:hint="eastAsia" w:ascii="宋体" w:hAnsi="宋体"/>
                <w:color w:val="000000"/>
                <w:sz w:val="24"/>
                <w:szCs w:val="24"/>
              </w:rPr>
              <w:t>,0</w:t>
            </w:r>
            <w:r>
              <w:rPr>
                <w:rFonts w:ascii="宋体" w:hAnsi="宋体"/>
                <w:color w:val="000000"/>
                <w:sz w:val="24"/>
                <w:szCs w:val="24"/>
              </w:rPr>
              <w:t>0</w:t>
            </w:r>
            <w:r>
              <w:rPr>
                <w:rFonts w:hint="eastAsia" w:ascii="宋体" w:hAnsi="宋体"/>
                <w:color w:val="000000"/>
                <w:sz w:val="24"/>
                <w:szCs w:val="24"/>
              </w:rPr>
              <w:t xml:space="preserve">0,000.00 </w:t>
            </w:r>
          </w:p>
        </w:tc>
        <w:tc>
          <w:tcPr>
            <w:tcW w:w="1522" w:type="dxa"/>
            <w:vAlign w:val="center"/>
          </w:tcPr>
          <w:p>
            <w:pPr>
              <w:spacing w:line="500" w:lineRule="exact"/>
              <w:jc w:val="center"/>
              <w:rPr>
                <w:rFonts w:ascii="宋体"/>
                <w:sz w:val="24"/>
                <w:szCs w:val="24"/>
              </w:rPr>
            </w:pPr>
            <w:r>
              <w:rPr>
                <w:rFonts w:ascii="宋体" w:hAnsi="宋体" w:cs="宋体"/>
                <w:sz w:val="24"/>
                <w:szCs w:val="24"/>
              </w:rPr>
              <w:t>100</w:t>
            </w:r>
            <w:r>
              <w:rPr>
                <w:rFonts w:hint="eastAsia" w:ascii="宋体" w:hAnsi="宋体" w:cs="宋体"/>
                <w:sz w:val="24"/>
                <w:szCs w:val="24"/>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heme="majorEastAsia" w:hAnsiTheme="majorEastAsia" w:eastAsiaTheme="majorEastAsia" w:cstheme="majorEastAsia"/>
          <w:kern w:val="0"/>
          <w:sz w:val="28"/>
          <w:szCs w:val="28"/>
        </w:rPr>
      </w:pPr>
      <w:r>
        <w:rPr>
          <w:rFonts w:hint="eastAsia" w:asciiTheme="majorEastAsia" w:hAnsiTheme="majorEastAsia" w:eastAsiaTheme="majorEastAsia" w:cstheme="majorEastAsia"/>
          <w:b/>
          <w:kern w:val="0"/>
          <w:sz w:val="28"/>
          <w:szCs w:val="28"/>
        </w:rPr>
        <w:t>第四条</w:t>
      </w:r>
      <w:r>
        <w:rPr>
          <w:rFonts w:hint="eastAsia" w:asciiTheme="majorEastAsia" w:hAnsiTheme="majorEastAsia" w:eastAsiaTheme="majorEastAsia" w:cstheme="majorEastAsia"/>
          <w:b/>
          <w:kern w:val="0"/>
          <w:sz w:val="28"/>
          <w:szCs w:val="28"/>
          <w:lang w:val="en-US" w:eastAsia="zh-CN"/>
        </w:rPr>
        <w:t xml:space="preserve"> </w:t>
      </w:r>
      <w:r>
        <w:rPr>
          <w:rFonts w:hint="eastAsia" w:asciiTheme="majorEastAsia" w:hAnsiTheme="majorEastAsia" w:eastAsiaTheme="majorEastAsia" w:cstheme="majorEastAsia"/>
          <w:kern w:val="0"/>
          <w:sz w:val="28"/>
          <w:szCs w:val="28"/>
        </w:rPr>
        <w:t>增资方案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Theme="majorEastAsia" w:hAnsiTheme="majorEastAsia" w:eastAsiaTheme="majorEastAsia" w:cstheme="majorEastAsia"/>
          <w:kern w:val="0"/>
          <w:sz w:val="28"/>
          <w:szCs w:val="28"/>
        </w:rPr>
      </w:pPr>
      <w:r>
        <w:rPr>
          <w:rFonts w:hint="eastAsia" w:asciiTheme="majorEastAsia" w:hAnsiTheme="majorEastAsia" w:eastAsiaTheme="majorEastAsia" w:cstheme="majorEastAsia"/>
          <w:kern w:val="0"/>
          <w:sz w:val="28"/>
          <w:szCs w:val="28"/>
        </w:rPr>
        <w:t>乙方以现金方式投资45</w:t>
      </w:r>
      <w:r>
        <w:rPr>
          <w:rFonts w:hint="eastAsia" w:asciiTheme="majorEastAsia" w:hAnsiTheme="majorEastAsia" w:eastAsiaTheme="majorEastAsia" w:cstheme="majorEastAsia"/>
          <w:kern w:val="0"/>
          <w:sz w:val="28"/>
          <w:szCs w:val="28"/>
          <w:u w:val="single"/>
        </w:rPr>
        <w:t>,000,000.00</w:t>
      </w:r>
      <w:r>
        <w:rPr>
          <w:rFonts w:hint="eastAsia" w:asciiTheme="majorEastAsia" w:hAnsiTheme="majorEastAsia" w:eastAsiaTheme="majorEastAsia" w:cstheme="majorEastAsia"/>
          <w:kern w:val="0"/>
          <w:sz w:val="28"/>
          <w:szCs w:val="28"/>
        </w:rPr>
        <w:t>元（下称“投资款”或“增资款”），其中人民币18,000,000元作为注册资本，其余计入资本公积金。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heme="majorEastAsia" w:hAnsiTheme="majorEastAsia" w:eastAsiaTheme="majorEastAsia" w:cstheme="majorEastAsia"/>
          <w:kern w:val="0"/>
          <w:sz w:val="28"/>
          <w:szCs w:val="28"/>
        </w:rPr>
      </w:pPr>
      <w:r>
        <w:rPr>
          <w:rFonts w:hint="eastAsia" w:asciiTheme="majorEastAsia" w:hAnsiTheme="majorEastAsia" w:eastAsiaTheme="majorEastAsia" w:cstheme="majorEastAsia"/>
          <w:b/>
          <w:kern w:val="0"/>
          <w:sz w:val="28"/>
          <w:szCs w:val="28"/>
        </w:rPr>
        <w:t>第五条</w:t>
      </w:r>
      <w:r>
        <w:rPr>
          <w:rFonts w:hint="eastAsia" w:asciiTheme="majorEastAsia" w:hAnsiTheme="majorEastAsia" w:eastAsiaTheme="majorEastAsia" w:cstheme="majorEastAsia"/>
          <w:b/>
          <w:kern w:val="0"/>
          <w:sz w:val="28"/>
          <w:szCs w:val="28"/>
          <w:lang w:val="en-US" w:eastAsia="zh-CN"/>
        </w:rPr>
        <w:t xml:space="preserve"> </w:t>
      </w:r>
      <w:r>
        <w:rPr>
          <w:rFonts w:hint="eastAsia" w:asciiTheme="majorEastAsia" w:hAnsiTheme="majorEastAsia" w:eastAsiaTheme="majorEastAsia" w:cstheme="majorEastAsia"/>
          <w:kern w:val="0"/>
          <w:sz w:val="28"/>
          <w:szCs w:val="28"/>
        </w:rPr>
        <w:t>甲方本次增资后的注册资本及股东结构</w:t>
      </w:r>
    </w:p>
    <w:p>
      <w:pPr>
        <w:spacing w:line="500" w:lineRule="exact"/>
        <w:ind w:firstLine="480"/>
        <w:jc w:val="right"/>
        <w:rPr>
          <w:rFonts w:ascii="宋体" w:hAnsi="宋体"/>
          <w:sz w:val="24"/>
          <w:szCs w:val="24"/>
        </w:rPr>
      </w:pPr>
      <w:r>
        <w:rPr>
          <w:rFonts w:hint="eastAsia" w:ascii="宋体" w:hAnsi="宋体"/>
          <w:sz w:val="24"/>
          <w:szCs w:val="24"/>
        </w:rPr>
        <w:t>单位：元</w:t>
      </w:r>
    </w:p>
    <w:tbl>
      <w:tblPr>
        <w:tblStyle w:val="18"/>
        <w:tblW w:w="9315" w:type="dxa"/>
        <w:tblInd w:w="-121"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24"/>
        <w:gridCol w:w="3031"/>
        <w:gridCol w:w="1803"/>
        <w:gridCol w:w="1092"/>
        <w:gridCol w:w="1719"/>
        <w:gridCol w:w="114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57" w:hRule="atLeast"/>
        </w:trPr>
        <w:tc>
          <w:tcPr>
            <w:tcW w:w="524" w:type="dxa"/>
            <w:vMerge w:val="restart"/>
            <w:tcBorders>
              <w:tl2br w:val="nil"/>
              <w:tr2bl w:val="nil"/>
            </w:tcBorders>
            <w:shd w:val="clear" w:color="000000" w:fill="D9D9D9"/>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序号</w:t>
            </w:r>
          </w:p>
        </w:tc>
        <w:tc>
          <w:tcPr>
            <w:tcW w:w="3031" w:type="dxa"/>
            <w:vMerge w:val="restart"/>
            <w:tcBorders>
              <w:tl2br w:val="nil"/>
              <w:tr2bl w:val="nil"/>
            </w:tcBorders>
            <w:shd w:val="clear" w:color="000000" w:fill="D9D9D9"/>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股东名称或姓名</w:t>
            </w:r>
          </w:p>
        </w:tc>
        <w:tc>
          <w:tcPr>
            <w:tcW w:w="2895" w:type="dxa"/>
            <w:gridSpan w:val="2"/>
            <w:tcBorders>
              <w:tl2br w:val="nil"/>
              <w:tr2bl w:val="nil"/>
            </w:tcBorders>
            <w:shd w:val="clear" w:color="000000" w:fill="D9D9D9"/>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增资前</w:t>
            </w:r>
          </w:p>
        </w:tc>
        <w:tc>
          <w:tcPr>
            <w:tcW w:w="2865" w:type="dxa"/>
            <w:gridSpan w:val="2"/>
            <w:tcBorders>
              <w:tl2br w:val="nil"/>
              <w:tr2bl w:val="nil"/>
            </w:tcBorders>
            <w:shd w:val="clear" w:color="000000" w:fill="D9D9D9"/>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增资后</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47" w:hRule="atLeast"/>
        </w:trPr>
        <w:tc>
          <w:tcPr>
            <w:tcW w:w="524" w:type="dxa"/>
            <w:vMerge w:val="continue"/>
            <w:tcBorders>
              <w:tl2br w:val="nil"/>
              <w:tr2bl w:val="nil"/>
            </w:tcBorders>
            <w:vAlign w:val="center"/>
          </w:tcPr>
          <w:p>
            <w:pPr>
              <w:widowControl/>
              <w:jc w:val="left"/>
              <w:rPr>
                <w:rFonts w:hint="eastAsia" w:asciiTheme="minorEastAsia" w:hAnsiTheme="minorEastAsia" w:eastAsiaTheme="minorEastAsia" w:cstheme="minorEastAsia"/>
                <w:b/>
                <w:bCs/>
                <w:kern w:val="0"/>
                <w:sz w:val="24"/>
                <w:szCs w:val="24"/>
              </w:rPr>
            </w:pPr>
          </w:p>
        </w:tc>
        <w:tc>
          <w:tcPr>
            <w:tcW w:w="3031" w:type="dxa"/>
            <w:vMerge w:val="continue"/>
            <w:tcBorders>
              <w:tl2br w:val="nil"/>
              <w:tr2bl w:val="nil"/>
            </w:tcBorders>
            <w:vAlign w:val="center"/>
          </w:tcPr>
          <w:p>
            <w:pPr>
              <w:widowControl/>
              <w:jc w:val="left"/>
              <w:rPr>
                <w:rFonts w:hint="eastAsia" w:asciiTheme="minorEastAsia" w:hAnsiTheme="minorEastAsia" w:eastAsiaTheme="minorEastAsia" w:cstheme="minorEastAsia"/>
                <w:b/>
                <w:bCs/>
                <w:kern w:val="0"/>
                <w:sz w:val="24"/>
                <w:szCs w:val="24"/>
              </w:rPr>
            </w:pPr>
          </w:p>
        </w:tc>
        <w:tc>
          <w:tcPr>
            <w:tcW w:w="1803" w:type="dxa"/>
            <w:tcBorders>
              <w:tl2br w:val="nil"/>
              <w:tr2bl w:val="nil"/>
            </w:tcBorders>
            <w:shd w:val="clear" w:color="000000" w:fill="D9D9D9"/>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股数（股）</w:t>
            </w:r>
          </w:p>
        </w:tc>
        <w:tc>
          <w:tcPr>
            <w:tcW w:w="1092" w:type="dxa"/>
            <w:tcBorders>
              <w:tl2br w:val="nil"/>
              <w:tr2bl w:val="nil"/>
            </w:tcBorders>
            <w:shd w:val="clear" w:color="000000" w:fill="D9D9D9"/>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持股比例</w:t>
            </w:r>
          </w:p>
        </w:tc>
        <w:tc>
          <w:tcPr>
            <w:tcW w:w="1719" w:type="dxa"/>
            <w:tcBorders>
              <w:tl2br w:val="nil"/>
              <w:tr2bl w:val="nil"/>
            </w:tcBorders>
            <w:shd w:val="clear" w:color="000000" w:fill="D9D9D9"/>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股数（股）</w:t>
            </w:r>
          </w:p>
        </w:tc>
        <w:tc>
          <w:tcPr>
            <w:tcW w:w="1146" w:type="dxa"/>
            <w:tcBorders>
              <w:tl2br w:val="nil"/>
              <w:tr2bl w:val="nil"/>
            </w:tcBorders>
            <w:shd w:val="clear" w:color="000000" w:fill="D9D9D9"/>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持股比例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42" w:hRule="atLeast"/>
        </w:trPr>
        <w:tc>
          <w:tcPr>
            <w:tcW w:w="524"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w:t>
            </w:r>
          </w:p>
        </w:tc>
        <w:tc>
          <w:tcPr>
            <w:tcW w:w="3031" w:type="dxa"/>
            <w:tcBorders>
              <w:tl2br w:val="nil"/>
              <w:tr2bl w:val="nil"/>
            </w:tcBorders>
            <w:shd w:val="clear" w:color="auto" w:fill="auto"/>
            <w:vAlign w:val="center"/>
          </w:tcPr>
          <w:p>
            <w:pPr>
              <w:widowControl/>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kern w:val="0"/>
                <w:sz w:val="24"/>
                <w:szCs w:val="24"/>
                <w:lang w:bidi="ar"/>
              </w:rPr>
              <w:t>浙江海正药业股份有限公司</w:t>
            </w:r>
          </w:p>
        </w:tc>
        <w:tc>
          <w:tcPr>
            <w:tcW w:w="1803" w:type="dxa"/>
            <w:tcBorders>
              <w:tl2br w:val="nil"/>
              <w:tr2bl w:val="nil"/>
            </w:tcBorders>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sz w:val="24"/>
                <w:szCs w:val="24"/>
              </w:rPr>
              <w:t xml:space="preserve">31,000,000.00 </w:t>
            </w:r>
          </w:p>
        </w:tc>
        <w:tc>
          <w:tcPr>
            <w:tcW w:w="1092" w:type="dxa"/>
            <w:tcBorders>
              <w:tl2br w:val="nil"/>
              <w:tr2bl w:val="nil"/>
            </w:tcBorders>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sz w:val="24"/>
                <w:szCs w:val="24"/>
              </w:rPr>
              <w:t>100%</w:t>
            </w:r>
          </w:p>
        </w:tc>
        <w:tc>
          <w:tcPr>
            <w:tcW w:w="1719" w:type="dxa"/>
            <w:tcBorders>
              <w:tl2br w:val="nil"/>
              <w:tr2bl w:val="nil"/>
            </w:tcBorders>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310,000,000.00 </w:t>
            </w:r>
          </w:p>
        </w:tc>
        <w:tc>
          <w:tcPr>
            <w:tcW w:w="1146" w:type="dxa"/>
            <w:tcBorders>
              <w:tl2br w:val="nil"/>
              <w:tr2bl w:val="nil"/>
            </w:tcBorders>
            <w:vAlign w:val="center"/>
          </w:tcPr>
          <w:p>
            <w:pPr>
              <w:widowControl/>
              <w:jc w:val="righ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bidi="ar"/>
              </w:rPr>
              <w:t>88.75%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42" w:hRule="atLeast"/>
        </w:trPr>
        <w:tc>
          <w:tcPr>
            <w:tcW w:w="524"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w:t>
            </w:r>
          </w:p>
        </w:tc>
        <w:tc>
          <w:tcPr>
            <w:tcW w:w="3031" w:type="dxa"/>
            <w:tcBorders>
              <w:tl2br w:val="nil"/>
              <w:tr2bl w:val="nil"/>
            </w:tcBorders>
            <w:shd w:val="clear" w:color="auto" w:fill="auto"/>
            <w:vAlign w:val="center"/>
          </w:tcPr>
          <w:p>
            <w:pPr>
              <w:widowControl/>
              <w:jc w:val="center"/>
              <w:textAlignment w:val="center"/>
              <w:rPr>
                <w:rFonts w:hint="eastAsia" w:asciiTheme="minorEastAsia" w:hAnsiTheme="minorEastAsia" w:eastAsiaTheme="minorEastAsia" w:cstheme="minorEastAsia"/>
                <w:sz w:val="24"/>
                <w:szCs w:val="24"/>
              </w:rPr>
            </w:pPr>
          </w:p>
        </w:tc>
        <w:tc>
          <w:tcPr>
            <w:tcW w:w="1803" w:type="dxa"/>
            <w:tcBorders>
              <w:tl2br w:val="nil"/>
              <w:tr2bl w:val="nil"/>
            </w:tcBorders>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sz w:val="24"/>
                <w:szCs w:val="24"/>
              </w:rPr>
              <w:t>-</w:t>
            </w:r>
          </w:p>
        </w:tc>
        <w:tc>
          <w:tcPr>
            <w:tcW w:w="1092" w:type="dxa"/>
            <w:tcBorders>
              <w:tl2br w:val="nil"/>
              <w:tr2bl w:val="nil"/>
            </w:tcBorders>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sz w:val="24"/>
                <w:szCs w:val="24"/>
              </w:rPr>
              <w:t>-</w:t>
            </w:r>
          </w:p>
        </w:tc>
        <w:tc>
          <w:tcPr>
            <w:tcW w:w="1719" w:type="dxa"/>
            <w:tcBorders>
              <w:tl2br w:val="nil"/>
              <w:tr2bl w:val="nil"/>
            </w:tcBorders>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18,000,000.00 </w:t>
            </w:r>
          </w:p>
        </w:tc>
        <w:tc>
          <w:tcPr>
            <w:tcW w:w="1146" w:type="dxa"/>
            <w:tcBorders>
              <w:tl2br w:val="nil"/>
              <w:tr2bl w:val="nil"/>
            </w:tcBorders>
            <w:vAlign w:val="center"/>
          </w:tcPr>
          <w:p>
            <w:pPr>
              <w:widowControl/>
              <w:jc w:val="righ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bidi="ar"/>
              </w:rPr>
              <w:t>5.14%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42" w:hRule="atLeast"/>
        </w:trPr>
        <w:tc>
          <w:tcPr>
            <w:tcW w:w="524" w:type="dxa"/>
            <w:tcBorders>
              <w:tl2br w:val="nil"/>
              <w:tr2bl w:val="nil"/>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3</w:t>
            </w:r>
          </w:p>
        </w:tc>
        <w:tc>
          <w:tcPr>
            <w:tcW w:w="3031" w:type="dxa"/>
            <w:tcBorders>
              <w:tl2br w:val="nil"/>
              <w:tr2bl w:val="nil"/>
            </w:tcBorders>
            <w:shd w:val="clear" w:color="auto" w:fill="auto"/>
            <w:vAlign w:val="center"/>
          </w:tcPr>
          <w:p>
            <w:pPr>
              <w:widowControl/>
              <w:jc w:val="center"/>
              <w:textAlignment w:val="center"/>
              <w:rPr>
                <w:rFonts w:hint="eastAsia" w:asciiTheme="minorEastAsia" w:hAnsiTheme="minorEastAsia" w:eastAsiaTheme="minorEastAsia" w:cstheme="minorEastAsia"/>
                <w:sz w:val="24"/>
                <w:szCs w:val="24"/>
              </w:rPr>
            </w:pPr>
          </w:p>
        </w:tc>
        <w:tc>
          <w:tcPr>
            <w:tcW w:w="1803" w:type="dxa"/>
            <w:tcBorders>
              <w:tl2br w:val="nil"/>
              <w:tr2bl w:val="nil"/>
            </w:tcBorders>
            <w:shd w:val="clear" w:color="auto" w:fill="auto"/>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sz w:val="24"/>
                <w:szCs w:val="24"/>
              </w:rPr>
              <w:t xml:space="preserve">- </w:t>
            </w:r>
          </w:p>
        </w:tc>
        <w:tc>
          <w:tcPr>
            <w:tcW w:w="1092" w:type="dxa"/>
            <w:tcBorders>
              <w:tl2br w:val="nil"/>
              <w:tr2bl w:val="nil"/>
            </w:tcBorders>
            <w:shd w:val="clear" w:color="auto" w:fill="auto"/>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color w:val="000000"/>
                <w:sz w:val="24"/>
                <w:szCs w:val="24"/>
              </w:rPr>
              <w:t>-</w:t>
            </w:r>
          </w:p>
        </w:tc>
        <w:tc>
          <w:tcPr>
            <w:tcW w:w="1719" w:type="dxa"/>
            <w:tcBorders>
              <w:tl2br w:val="nil"/>
              <w:tr2bl w:val="nil"/>
            </w:tcBorders>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22,000,000.00 </w:t>
            </w:r>
          </w:p>
        </w:tc>
        <w:tc>
          <w:tcPr>
            <w:tcW w:w="1146" w:type="dxa"/>
            <w:tcBorders>
              <w:tl2br w:val="nil"/>
              <w:tr2bl w:val="nil"/>
            </w:tcBorders>
            <w:vAlign w:val="center"/>
          </w:tcPr>
          <w:p>
            <w:pPr>
              <w:widowControl/>
              <w:jc w:val="righ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kern w:val="0"/>
                <w:sz w:val="24"/>
                <w:szCs w:val="24"/>
                <w:lang w:bidi="ar"/>
              </w:rPr>
              <w:t>6.29%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85" w:hRule="atLeast"/>
        </w:trPr>
        <w:tc>
          <w:tcPr>
            <w:tcW w:w="3555" w:type="dxa"/>
            <w:gridSpan w:val="2"/>
            <w:tcBorders>
              <w:tl2br w:val="nil"/>
              <w:tr2bl w:val="nil"/>
            </w:tcBorders>
            <w:shd w:val="clear" w:color="auto" w:fill="auto"/>
            <w:vAlign w:val="center"/>
          </w:tcPr>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　</w:t>
            </w:r>
          </w:p>
          <w:p>
            <w:pPr>
              <w:widowControl/>
              <w:jc w:val="center"/>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合计</w:t>
            </w:r>
          </w:p>
        </w:tc>
        <w:tc>
          <w:tcPr>
            <w:tcW w:w="1803" w:type="dxa"/>
            <w:tcBorders>
              <w:tl2br w:val="nil"/>
              <w:tr2bl w:val="nil"/>
            </w:tcBorders>
            <w:shd w:val="clear" w:color="auto" w:fill="auto"/>
            <w:vAlign w:val="center"/>
          </w:tcPr>
          <w:p>
            <w:pPr>
              <w:widowControl/>
              <w:jc w:val="right"/>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color w:val="000000"/>
                <w:sz w:val="24"/>
                <w:szCs w:val="24"/>
              </w:rPr>
              <w:t xml:space="preserve">31,000,000.00 </w:t>
            </w:r>
          </w:p>
        </w:tc>
        <w:tc>
          <w:tcPr>
            <w:tcW w:w="1092" w:type="dxa"/>
            <w:tcBorders>
              <w:tl2br w:val="nil"/>
              <w:tr2bl w:val="nil"/>
            </w:tcBorders>
            <w:shd w:val="clear" w:color="auto" w:fill="auto"/>
            <w:vAlign w:val="center"/>
          </w:tcPr>
          <w:p>
            <w:pPr>
              <w:widowControl/>
              <w:jc w:val="right"/>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color w:val="000000"/>
                <w:sz w:val="24"/>
                <w:szCs w:val="24"/>
              </w:rPr>
              <w:t>100.00%</w:t>
            </w:r>
          </w:p>
        </w:tc>
        <w:tc>
          <w:tcPr>
            <w:tcW w:w="1719" w:type="dxa"/>
            <w:tcBorders>
              <w:tl2br w:val="nil"/>
              <w:tr2bl w:val="nil"/>
            </w:tcBorders>
            <w:vAlign w:val="center"/>
          </w:tcPr>
          <w:p>
            <w:pPr>
              <w:widowControl/>
              <w:jc w:val="righ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color w:val="000000"/>
                <w:sz w:val="24"/>
                <w:szCs w:val="24"/>
              </w:rPr>
              <w:t>350,000,000.00</w:t>
            </w:r>
          </w:p>
        </w:tc>
        <w:tc>
          <w:tcPr>
            <w:tcW w:w="1146" w:type="dxa"/>
            <w:tcBorders>
              <w:tl2br w:val="nil"/>
              <w:tr2bl w:val="nil"/>
            </w:tcBorders>
            <w:shd w:val="clear" w:color="auto" w:fill="auto"/>
            <w:vAlign w:val="center"/>
          </w:tcPr>
          <w:p>
            <w:pPr>
              <w:widowControl/>
              <w:jc w:val="righ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color w:val="000000"/>
                <w:sz w:val="24"/>
                <w:szCs w:val="24"/>
              </w:rPr>
              <w:t>100.00%%</w:t>
            </w:r>
          </w:p>
        </w:tc>
      </w:tr>
    </w:tbl>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b/>
          <w:kern w:val="0"/>
          <w:sz w:val="28"/>
          <w:szCs w:val="28"/>
        </w:rPr>
        <w:t>第六条</w:t>
      </w:r>
      <w:r>
        <w:rPr>
          <w:rFonts w:hint="eastAsia" w:asciiTheme="minorEastAsia" w:hAnsiTheme="minorEastAsia" w:eastAsiaTheme="minorEastAsia" w:cstheme="minorEastAsia"/>
          <w:b/>
          <w:kern w:val="0"/>
          <w:sz w:val="28"/>
          <w:szCs w:val="28"/>
          <w:lang w:val="en-US" w:eastAsia="zh-CN"/>
        </w:rPr>
        <w:t xml:space="preserve"> </w:t>
      </w:r>
      <w:r>
        <w:rPr>
          <w:rFonts w:hint="eastAsia" w:asciiTheme="minorEastAsia" w:hAnsiTheme="minorEastAsia" w:eastAsiaTheme="minorEastAsia" w:cstheme="minorEastAsia"/>
          <w:kern w:val="0"/>
          <w:sz w:val="28"/>
          <w:szCs w:val="28"/>
        </w:rPr>
        <w:t>增资款的支付</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sz w:val="28"/>
          <w:szCs w:val="28"/>
        </w:rPr>
        <w:t>乙方须在本协议签订之日起</w:t>
      </w:r>
      <w:r>
        <w:rPr>
          <w:rFonts w:hint="eastAsia" w:asciiTheme="minorEastAsia" w:hAnsiTheme="minorEastAsia" w:eastAsiaTheme="minorEastAsia" w:cstheme="minorEastAsia"/>
          <w:sz w:val="28"/>
          <w:szCs w:val="28"/>
          <w:lang w:eastAsia="zh-CN"/>
        </w:rPr>
        <w:t>五个工作日</w:t>
      </w:r>
      <w:r>
        <w:rPr>
          <w:rFonts w:hint="eastAsia" w:asciiTheme="minorEastAsia" w:hAnsiTheme="minorEastAsia" w:eastAsiaTheme="minorEastAsia" w:cstheme="minorEastAsia"/>
          <w:sz w:val="28"/>
          <w:szCs w:val="28"/>
        </w:rPr>
        <w:t>内向甲方一次性支付全部剩余增资款（乙方先期汇入台州市产权交易所有限公司以下指定账户的竞买保证金13,500,000.00元人民币应转为等额的增资款）。乙方逾期支付剩余增资款，在甲方催告后仍不支付，视为乙方根本违约，</w:t>
      </w:r>
      <w:r>
        <w:rPr>
          <w:rFonts w:hint="eastAsia" w:asciiTheme="minorEastAsia" w:hAnsiTheme="minorEastAsia" w:eastAsiaTheme="minorEastAsia" w:cstheme="minorEastAsia"/>
          <w:bCs/>
          <w:sz w:val="28"/>
          <w:szCs w:val="28"/>
        </w:rPr>
        <w:t>甲方有权解除增资扩股协议，</w:t>
      </w:r>
      <w:r>
        <w:rPr>
          <w:rFonts w:hint="eastAsia" w:asciiTheme="minorEastAsia" w:hAnsiTheme="minorEastAsia" w:eastAsiaTheme="minorEastAsia" w:cstheme="minorEastAsia"/>
          <w:sz w:val="28"/>
          <w:szCs w:val="28"/>
        </w:rPr>
        <w:t>台州市产权交易所有限公司</w:t>
      </w:r>
      <w:r>
        <w:rPr>
          <w:rFonts w:hint="eastAsia" w:asciiTheme="minorEastAsia" w:hAnsiTheme="minorEastAsia" w:eastAsiaTheme="minorEastAsia" w:cstheme="minorEastAsia"/>
          <w:bCs/>
          <w:sz w:val="28"/>
          <w:szCs w:val="28"/>
        </w:rPr>
        <w:t>有权解除《增资确认书》，乙方先期汇入台州市产权交易所有限公司指定账户的交易保证金不予退还。</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asciiTheme="minorEastAsia" w:hAnsiTheme="minorEastAsia" w:eastAsiaTheme="minorEastAsia" w:cstheme="minorEastAsia"/>
          <w:bCs/>
          <w:sz w:val="28"/>
          <w:szCs w:val="28"/>
        </w:rPr>
      </w:pPr>
      <w:r>
        <w:rPr>
          <w:rFonts w:hint="eastAsia" w:asciiTheme="minorEastAsia" w:hAnsiTheme="minorEastAsia" w:eastAsiaTheme="minorEastAsia" w:cstheme="minorEastAsia"/>
          <w:sz w:val="28"/>
          <w:szCs w:val="28"/>
        </w:rPr>
        <w:t>收款账户：开户单位：台州市产权交易所有限公司，开户行：浙江民泰商业银行股份有限公司椒江市府大道支行，账号：583016260800028。</w:t>
      </w:r>
    </w:p>
    <w:p>
      <w:pPr>
        <w:keepNext w:val="0"/>
        <w:keepLines w:val="0"/>
        <w:pageBreakBefore w:val="0"/>
        <w:widowControl w:val="0"/>
        <w:numPr>
          <w:ilvl w:val="255"/>
          <w:numId w:val="0"/>
        </w:numPr>
        <w:kinsoku/>
        <w:wordWrap/>
        <w:overflowPunct/>
        <w:topLinePunct w:val="0"/>
        <w:autoSpaceDE/>
        <w:autoSpaceDN/>
        <w:bidi w:val="0"/>
        <w:adjustRightInd/>
        <w:snapToGrid/>
        <w:spacing w:line="360" w:lineRule="auto"/>
        <w:ind w:firstLine="562" w:firstLineChars="200"/>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b/>
          <w:kern w:val="0"/>
          <w:sz w:val="28"/>
          <w:szCs w:val="28"/>
        </w:rPr>
        <w:t>第七条</w:t>
      </w:r>
      <w:r>
        <w:rPr>
          <w:rFonts w:hint="eastAsia" w:asciiTheme="minorEastAsia" w:hAnsiTheme="minorEastAsia" w:eastAsiaTheme="minorEastAsia" w:cstheme="minorEastAsia"/>
          <w:b/>
          <w:kern w:val="0"/>
          <w:sz w:val="28"/>
          <w:szCs w:val="28"/>
          <w:lang w:val="en-US" w:eastAsia="zh-CN"/>
        </w:rPr>
        <w:t xml:space="preserve"> </w:t>
      </w:r>
      <w:r>
        <w:rPr>
          <w:rFonts w:hint="eastAsia" w:asciiTheme="minorEastAsia" w:hAnsiTheme="minorEastAsia" w:eastAsiaTheme="minorEastAsia" w:cstheme="minorEastAsia"/>
          <w:kern w:val="0"/>
          <w:sz w:val="28"/>
          <w:szCs w:val="28"/>
        </w:rPr>
        <w:t>新股东享有的基本权利</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享有认购股份项下的全部股东权利。</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b/>
          <w:kern w:val="0"/>
          <w:sz w:val="28"/>
          <w:szCs w:val="28"/>
        </w:rPr>
        <w:t>第八条</w:t>
      </w:r>
      <w:r>
        <w:rPr>
          <w:rFonts w:hint="eastAsia" w:asciiTheme="minorEastAsia" w:hAnsiTheme="minorEastAsia" w:eastAsiaTheme="minorEastAsia" w:cstheme="minorEastAsia"/>
          <w:b/>
          <w:kern w:val="0"/>
          <w:sz w:val="28"/>
          <w:szCs w:val="28"/>
          <w:lang w:val="en-US" w:eastAsia="zh-CN"/>
        </w:rPr>
        <w:t xml:space="preserve"> </w:t>
      </w:r>
      <w:r>
        <w:rPr>
          <w:rFonts w:hint="eastAsia" w:asciiTheme="minorEastAsia" w:hAnsiTheme="minorEastAsia" w:eastAsiaTheme="minorEastAsia" w:cstheme="minorEastAsia"/>
          <w:kern w:val="0"/>
          <w:sz w:val="28"/>
          <w:szCs w:val="28"/>
        </w:rPr>
        <w:t>新股东的义务与责任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 于本协议签订之日起</w:t>
      </w:r>
      <w:r>
        <w:rPr>
          <w:rFonts w:hint="eastAsia" w:asciiTheme="minorEastAsia" w:hAnsiTheme="minorEastAsia" w:eastAsiaTheme="minorEastAsia" w:cstheme="minorEastAsia"/>
          <w:sz w:val="28"/>
          <w:szCs w:val="28"/>
          <w:lang w:eastAsia="zh-CN"/>
        </w:rPr>
        <w:t>五个工作日</w:t>
      </w:r>
      <w:r>
        <w:rPr>
          <w:rFonts w:hint="eastAsia" w:asciiTheme="minorEastAsia" w:hAnsiTheme="minorEastAsia" w:eastAsiaTheme="minorEastAsia" w:cstheme="minorEastAsia"/>
          <w:kern w:val="0"/>
          <w:sz w:val="28"/>
          <w:szCs w:val="28"/>
        </w:rPr>
        <w:t>内，按本协议足额交纳增资款；</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2. 承担</w:t>
      </w:r>
      <w:r>
        <w:rPr>
          <w:rFonts w:hint="eastAsia" w:asciiTheme="minorEastAsia" w:hAnsiTheme="minorEastAsia" w:eastAsiaTheme="minorEastAsia" w:cstheme="minorEastAsia"/>
          <w:sz w:val="28"/>
          <w:szCs w:val="28"/>
        </w:rPr>
        <w:t>认购股份项下的全部股东</w:t>
      </w:r>
      <w:r>
        <w:rPr>
          <w:rFonts w:hint="eastAsia" w:asciiTheme="minorEastAsia" w:hAnsiTheme="minorEastAsia" w:eastAsiaTheme="minorEastAsia" w:cstheme="minorEastAsia"/>
          <w:kern w:val="0"/>
          <w:sz w:val="28"/>
          <w:szCs w:val="28"/>
        </w:rPr>
        <w:t>义务。</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第九条</w:t>
      </w:r>
      <w:r>
        <w:rPr>
          <w:rFonts w:hint="eastAsia" w:asciiTheme="minorEastAsia" w:hAnsiTheme="minorEastAsia" w:eastAsiaTheme="minorEastAsia" w:cstheme="minorEastAsia"/>
          <w:b/>
          <w:sz w:val="28"/>
          <w:szCs w:val="28"/>
          <w:lang w:val="en-US" w:eastAsia="zh-CN"/>
        </w:rPr>
        <w:t xml:space="preserve"> </w:t>
      </w:r>
      <w:r>
        <w:rPr>
          <w:rFonts w:hint="eastAsia" w:asciiTheme="minorEastAsia" w:hAnsiTheme="minorEastAsia" w:eastAsiaTheme="minorEastAsia" w:cstheme="minorEastAsia"/>
          <w:sz w:val="28"/>
          <w:szCs w:val="28"/>
        </w:rPr>
        <w:t>本次增资的税收和费用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增资扩股中涉及的有关税收，按照国家有关法律规定甲乙双方自行缴纳。本次增资中涉及的发布信息、征集投资方的相关手续所产生的费用由甲方承担，登记投资意向、摘牌、交易服务费等费用由乙方承担。</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b/>
          <w:kern w:val="0"/>
          <w:sz w:val="28"/>
          <w:szCs w:val="28"/>
        </w:rPr>
        <w:t>第十条</w:t>
      </w:r>
      <w:r>
        <w:rPr>
          <w:rFonts w:hint="eastAsia" w:asciiTheme="minorEastAsia" w:hAnsiTheme="minorEastAsia" w:eastAsiaTheme="minorEastAsia" w:cstheme="minorEastAsia"/>
          <w:b/>
          <w:kern w:val="0"/>
          <w:sz w:val="28"/>
          <w:szCs w:val="28"/>
          <w:lang w:val="en-US" w:eastAsia="zh-CN"/>
        </w:rPr>
        <w:t xml:space="preserve"> </w:t>
      </w:r>
      <w:r>
        <w:rPr>
          <w:rFonts w:hint="eastAsia" w:asciiTheme="minorEastAsia" w:hAnsiTheme="minorEastAsia" w:eastAsiaTheme="minorEastAsia" w:cstheme="minorEastAsia"/>
          <w:kern w:val="0"/>
          <w:sz w:val="28"/>
          <w:szCs w:val="28"/>
        </w:rPr>
        <w:t>期间损益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color w:val="auto"/>
          <w:kern w:val="2"/>
          <w:sz w:val="28"/>
          <w:szCs w:val="28"/>
        </w:rPr>
      </w:pPr>
      <w:r>
        <w:rPr>
          <w:rFonts w:hint="eastAsia" w:asciiTheme="minorEastAsia" w:hAnsiTheme="minorEastAsia" w:eastAsiaTheme="minorEastAsia" w:cstheme="minorEastAsia"/>
          <w:color w:val="auto"/>
          <w:kern w:val="2"/>
          <w:sz w:val="28"/>
          <w:szCs w:val="28"/>
        </w:rPr>
        <w:t>本协议双方一致同意，资产评估基准日（2020年12月31日）到增资工商变更完成日期间的损益，不再进行审计，由新老股东按持股比例共享或承担。</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b/>
          <w:kern w:val="0"/>
          <w:sz w:val="28"/>
          <w:szCs w:val="28"/>
        </w:rPr>
        <w:t>第十一条</w:t>
      </w:r>
      <w:r>
        <w:rPr>
          <w:rFonts w:hint="eastAsia" w:asciiTheme="minorEastAsia" w:hAnsiTheme="minorEastAsia" w:eastAsiaTheme="minorEastAsia" w:cstheme="minorEastAsia"/>
          <w:b/>
          <w:kern w:val="0"/>
          <w:sz w:val="28"/>
          <w:szCs w:val="28"/>
          <w:lang w:val="en-US" w:eastAsia="zh-CN"/>
        </w:rPr>
        <w:t xml:space="preserve"> </w:t>
      </w:r>
      <w:r>
        <w:rPr>
          <w:rFonts w:hint="eastAsia" w:asciiTheme="minorEastAsia" w:hAnsiTheme="minorEastAsia" w:eastAsiaTheme="minorEastAsia" w:cstheme="minorEastAsia"/>
          <w:kern w:val="0"/>
          <w:sz w:val="28"/>
          <w:szCs w:val="28"/>
        </w:rPr>
        <w:t>章程修改及工商变更程序</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kern w:val="0"/>
          <w:sz w:val="28"/>
          <w:szCs w:val="28"/>
        </w:rPr>
        <w:t>本协议双方一致同意根据本协议内容对《公司章程》进行相应修改，并承诺在协议签订后完成向有关市场监督管理部门申报的一切必备手续。</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b/>
          <w:kern w:val="0"/>
          <w:sz w:val="28"/>
          <w:szCs w:val="28"/>
        </w:rPr>
        <w:t>第十二条</w:t>
      </w:r>
      <w:r>
        <w:rPr>
          <w:rFonts w:hint="eastAsia" w:asciiTheme="minorEastAsia" w:hAnsiTheme="minorEastAsia" w:eastAsiaTheme="minorEastAsia" w:cstheme="minorEastAsia"/>
          <w:b/>
          <w:kern w:val="0"/>
          <w:sz w:val="28"/>
          <w:szCs w:val="28"/>
          <w:lang w:val="en-US" w:eastAsia="zh-CN"/>
        </w:rPr>
        <w:t xml:space="preserve"> </w:t>
      </w:r>
      <w:r>
        <w:rPr>
          <w:rFonts w:hint="eastAsia" w:asciiTheme="minorEastAsia" w:hAnsiTheme="minorEastAsia" w:eastAsiaTheme="minorEastAsia" w:cstheme="minorEastAsia"/>
          <w:kern w:val="0"/>
          <w:sz w:val="28"/>
          <w:szCs w:val="28"/>
        </w:rPr>
        <w:t>适用法律、争议的解决及违约责任</w:t>
      </w:r>
    </w:p>
    <w:p>
      <w:pPr>
        <w:pStyle w:val="8"/>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kern w:val="0"/>
          <w:sz w:val="28"/>
          <w:szCs w:val="28"/>
        </w:rPr>
        <w:t>1.</w:t>
      </w:r>
      <w:r>
        <w:rPr>
          <w:rFonts w:hint="eastAsia" w:asciiTheme="minorEastAsia" w:hAnsiTheme="minorEastAsia" w:eastAsiaTheme="minorEastAsia" w:cstheme="minorEastAsia"/>
          <w:sz w:val="28"/>
          <w:szCs w:val="28"/>
        </w:rPr>
        <w:t>适用法律：中华人民共和国法律。</w:t>
      </w:r>
    </w:p>
    <w:p>
      <w:pPr>
        <w:pStyle w:val="8"/>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2.甲乙双方同意，因本协议而产生的任何争议都将首先通过友好协商自行解决，协商未果的，本协议任何一方应提交杭州仲裁委员会(杭仲)，按照申请仲裁时该会届时有效的仲裁规则，在杭州市进行仲裁。</w:t>
      </w:r>
    </w:p>
    <w:p>
      <w:pPr>
        <w:pStyle w:val="8"/>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除另有约定外，本协议签署后，任何一方未能按本协议的规定履行其合同义务，且其未能在收到任何其他一方书面通知之日起30日内予以纠正，则构成对本协议的违约。在不影响守约方在本协议下其他权利的情况下，守约方有权采取如下一种或多种救济措施以维护其权利：</w:t>
      </w:r>
    </w:p>
    <w:p>
      <w:pPr>
        <w:pStyle w:val="8"/>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（1）要求违约方实际履行；</w:t>
      </w:r>
    </w:p>
    <w:p>
      <w:pPr>
        <w:pStyle w:val="8"/>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（2）暂时停止履行义务，待违约方违约情势消除后恢复履行；守约方根据此款约定暂停履行义务不构成守约方不履行或迟延履行义务；</w:t>
      </w:r>
    </w:p>
    <w:p>
      <w:pPr>
        <w:pStyle w:val="8"/>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（3）如果任何一方违反了本协议下的任何义务，因而导致或引起另一方蒙受任何直接的损失、损害赔偿、责任、权利要求（合称为“</w:t>
      </w:r>
      <w:r>
        <w:rPr>
          <w:rFonts w:hint="eastAsia" w:asciiTheme="minorEastAsia" w:hAnsiTheme="minorEastAsia" w:eastAsiaTheme="minorEastAsia" w:cstheme="minorEastAsia"/>
          <w:b/>
          <w:sz w:val="28"/>
          <w:szCs w:val="28"/>
        </w:rPr>
        <w:t>损失</w:t>
      </w:r>
      <w:r>
        <w:rPr>
          <w:rFonts w:hint="eastAsia" w:asciiTheme="minorEastAsia" w:hAnsiTheme="minorEastAsia" w:eastAsiaTheme="minorEastAsia" w:cstheme="minorEastAsia"/>
          <w:sz w:val="28"/>
          <w:szCs w:val="28"/>
        </w:rPr>
        <w:t>”），则赔偿方应向受偿方做出赔偿，为受偿方辩护，使受偿方免于承担责任，但是因受偿方有蓄意处理不当所引起的损失除外；</w:t>
      </w:r>
    </w:p>
    <w:p>
      <w:pPr>
        <w:pStyle w:val="8"/>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（4）终止本协议；</w:t>
      </w:r>
    </w:p>
    <w:p>
      <w:pPr>
        <w:pStyle w:val="8"/>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（5）双方约定的其他救济方式。</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b/>
          <w:kern w:val="0"/>
          <w:sz w:val="28"/>
          <w:szCs w:val="28"/>
        </w:rPr>
        <w:t>第十三条</w:t>
      </w:r>
      <w:r>
        <w:rPr>
          <w:rFonts w:hint="eastAsia" w:asciiTheme="minorEastAsia" w:hAnsiTheme="minorEastAsia" w:eastAsiaTheme="minorEastAsia" w:cstheme="minorEastAsia"/>
          <w:b/>
          <w:kern w:val="0"/>
          <w:sz w:val="28"/>
          <w:szCs w:val="28"/>
          <w:lang w:val="en-US" w:eastAsia="zh-CN"/>
        </w:rPr>
        <w:t xml:space="preserve"> </w:t>
      </w:r>
      <w:r>
        <w:rPr>
          <w:rFonts w:hint="eastAsia" w:asciiTheme="minorEastAsia" w:hAnsiTheme="minorEastAsia" w:eastAsiaTheme="minorEastAsia" w:cstheme="minorEastAsia"/>
          <w:kern w:val="0"/>
          <w:sz w:val="28"/>
          <w:szCs w:val="28"/>
        </w:rPr>
        <w:t>未尽事宜</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本协议为双方就本次增资扩股行为所确定的基本原则与内容，其中涉及的各具体事项及未尽事宜，可由双方在不违反本协议规定的前提下订立补充协议，补充协议与本协议具有同等的法律效力。</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b/>
          <w:kern w:val="0"/>
          <w:sz w:val="28"/>
          <w:szCs w:val="28"/>
        </w:rPr>
        <w:t>第十四条</w:t>
      </w:r>
      <w:r>
        <w:rPr>
          <w:rFonts w:hint="eastAsia" w:asciiTheme="minorEastAsia" w:hAnsiTheme="minorEastAsia" w:eastAsiaTheme="minorEastAsia" w:cstheme="minorEastAsia"/>
          <w:b/>
          <w:kern w:val="0"/>
          <w:sz w:val="28"/>
          <w:szCs w:val="28"/>
          <w:lang w:val="en-US" w:eastAsia="zh-CN"/>
        </w:rPr>
        <w:t xml:space="preserve"> </w:t>
      </w:r>
      <w:r>
        <w:rPr>
          <w:rFonts w:hint="eastAsia" w:asciiTheme="minorEastAsia" w:hAnsiTheme="minorEastAsia" w:eastAsiaTheme="minorEastAsia" w:cstheme="minorEastAsia"/>
          <w:kern w:val="0"/>
          <w:sz w:val="28"/>
          <w:szCs w:val="28"/>
        </w:rPr>
        <w:t>生效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本协议书于协议双方盖章或双方法定代表人或授权代表签字后生效。非经双方一致通过，不得终止本协议。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本协议书</w:t>
      </w:r>
      <w:r>
        <w:rPr>
          <w:rFonts w:hint="default" w:asciiTheme="minorEastAsia" w:hAnsiTheme="minorEastAsia" w:eastAsiaTheme="minorEastAsia" w:cstheme="minorEastAsia"/>
          <w:kern w:val="0"/>
          <w:sz w:val="28"/>
          <w:szCs w:val="28"/>
          <w:lang w:val="en-US"/>
        </w:rPr>
        <w:t>一</w:t>
      </w:r>
      <w:r>
        <w:rPr>
          <w:rFonts w:hint="eastAsia" w:asciiTheme="minorEastAsia" w:hAnsiTheme="minorEastAsia" w:eastAsiaTheme="minorEastAsia" w:cstheme="minorEastAsia"/>
          <w:kern w:val="0"/>
          <w:sz w:val="28"/>
          <w:szCs w:val="28"/>
        </w:rPr>
        <w:t>式</w:t>
      </w:r>
      <w:r>
        <w:rPr>
          <w:rFonts w:hint="default" w:asciiTheme="minorEastAsia" w:hAnsiTheme="minorEastAsia" w:eastAsiaTheme="minorEastAsia" w:cstheme="minorEastAsia"/>
          <w:kern w:val="0"/>
          <w:sz w:val="28"/>
          <w:szCs w:val="28"/>
          <w:lang w:val="en-US"/>
        </w:rPr>
        <w:t>八</w:t>
      </w:r>
      <w:r>
        <w:rPr>
          <w:rFonts w:hint="eastAsia" w:asciiTheme="minorEastAsia" w:hAnsiTheme="minorEastAsia" w:eastAsiaTheme="minorEastAsia" w:cstheme="minorEastAsia"/>
          <w:kern w:val="0"/>
          <w:sz w:val="28"/>
          <w:szCs w:val="28"/>
        </w:rPr>
        <w:t>份，甲乙及甲方原股东（1家）各执</w:t>
      </w:r>
      <w:r>
        <w:rPr>
          <w:rFonts w:hint="default" w:asciiTheme="minorEastAsia" w:hAnsiTheme="minorEastAsia" w:eastAsiaTheme="minorEastAsia" w:cstheme="minorEastAsia"/>
          <w:kern w:val="0"/>
          <w:sz w:val="28"/>
          <w:szCs w:val="28"/>
          <w:lang w:val="en-US"/>
        </w:rPr>
        <w:t>一</w:t>
      </w:r>
      <w:r>
        <w:rPr>
          <w:rFonts w:hint="eastAsia" w:asciiTheme="minorEastAsia" w:hAnsiTheme="minorEastAsia" w:eastAsiaTheme="minorEastAsia" w:cstheme="minorEastAsia"/>
          <w:kern w:val="0"/>
          <w:sz w:val="28"/>
          <w:szCs w:val="28"/>
        </w:rPr>
        <w:t>份，台州市产权交易所有限公司一份，备案</w:t>
      </w:r>
      <w:r>
        <w:rPr>
          <w:rFonts w:hint="default" w:asciiTheme="minorEastAsia" w:hAnsiTheme="minorEastAsia" w:eastAsiaTheme="minorEastAsia" w:cstheme="minorEastAsia"/>
          <w:kern w:val="0"/>
          <w:sz w:val="28"/>
          <w:szCs w:val="28"/>
          <w:lang w:val="en-US"/>
        </w:rPr>
        <w:t>四</w:t>
      </w:r>
      <w:r>
        <w:rPr>
          <w:rFonts w:hint="eastAsia" w:asciiTheme="minorEastAsia" w:hAnsiTheme="minorEastAsia" w:eastAsiaTheme="minorEastAsia" w:cstheme="minorEastAsia"/>
          <w:kern w:val="0"/>
          <w:sz w:val="28"/>
          <w:szCs w:val="28"/>
        </w:rPr>
        <w:t>份，具有同等法律效力。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br w:type="page"/>
      </w:r>
    </w:p>
    <w:p>
      <w:pPr>
        <w:keepNext w:val="0"/>
        <w:keepLines w:val="0"/>
        <w:pageBreakBefore w:val="0"/>
        <w:widowControl w:val="0"/>
        <w:kinsoku/>
        <w:wordWrap/>
        <w:overflowPunct/>
        <w:topLinePunct w:val="0"/>
        <w:autoSpaceDE/>
        <w:autoSpaceDN/>
        <w:bidi w:val="0"/>
        <w:adjustRightInd/>
        <w:snapToGrid/>
        <w:spacing w:after="312" w:afterLines="100" w:line="360" w:lineRule="auto"/>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（此页为增资扩股协议签署页，无正文）</w:t>
      </w:r>
    </w:p>
    <w:p>
      <w:pPr>
        <w:keepNext w:val="0"/>
        <w:keepLines w:val="0"/>
        <w:pageBreakBefore w:val="0"/>
        <w:widowControl w:val="0"/>
        <w:kinsoku/>
        <w:wordWrap/>
        <w:overflowPunct/>
        <w:topLinePunct w:val="0"/>
        <w:autoSpaceDE/>
        <w:autoSpaceDN/>
        <w:bidi w:val="0"/>
        <w:adjustRightInd/>
        <w:snapToGrid/>
        <w:spacing w:after="312" w:afterLines="100" w:line="360" w:lineRule="auto"/>
        <w:textAlignment w:val="auto"/>
        <w:rPr>
          <w:rFonts w:hint="eastAsia" w:asciiTheme="minorEastAsia" w:hAnsiTheme="minorEastAsia" w:eastAsiaTheme="minorEastAsia" w:cstheme="minorEastAsia"/>
          <w:b/>
          <w:sz w:val="28"/>
          <w:szCs w:val="28"/>
        </w:rPr>
      </w:pPr>
    </w:p>
    <w:p>
      <w:pPr>
        <w:keepNext w:val="0"/>
        <w:keepLines w:val="0"/>
        <w:pageBreakBefore w:val="0"/>
        <w:widowControl w:val="0"/>
        <w:kinsoku/>
        <w:wordWrap/>
        <w:overflowPunct/>
        <w:topLinePunct w:val="0"/>
        <w:autoSpaceDE/>
        <w:autoSpaceDN/>
        <w:bidi w:val="0"/>
        <w:adjustRightInd/>
        <w:snapToGrid/>
        <w:spacing w:after="312" w:afterLines="100" w:line="360" w:lineRule="auto"/>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甲方：</w:t>
      </w:r>
      <w:r>
        <w:rPr>
          <w:rFonts w:hint="eastAsia" w:asciiTheme="minorEastAsia" w:hAnsiTheme="minorEastAsia" w:eastAsiaTheme="minorEastAsia" w:cstheme="minorEastAsia"/>
          <w:b/>
          <w:bCs/>
          <w:sz w:val="28"/>
          <w:szCs w:val="28"/>
        </w:rPr>
        <w:t>浙江海正动物保健品有限公司</w:t>
      </w:r>
    </w:p>
    <w:p>
      <w:pPr>
        <w:keepNext w:val="0"/>
        <w:keepLines w:val="0"/>
        <w:pageBreakBefore w:val="0"/>
        <w:widowControl w:val="0"/>
        <w:kinsoku/>
        <w:wordWrap/>
        <w:overflowPunct/>
        <w:topLinePunct w:val="0"/>
        <w:autoSpaceDE/>
        <w:autoSpaceDN/>
        <w:bidi w:val="0"/>
        <w:adjustRightInd/>
        <w:snapToGrid/>
        <w:spacing w:after="312" w:afterLines="100" w:line="360" w:lineRule="auto"/>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法定代表/授权代表人（签字）：</w:t>
      </w:r>
    </w:p>
    <w:p>
      <w:pPr>
        <w:keepNext w:val="0"/>
        <w:keepLines w:val="0"/>
        <w:pageBreakBefore w:val="0"/>
        <w:widowControl w:val="0"/>
        <w:kinsoku/>
        <w:wordWrap/>
        <w:overflowPunct/>
        <w:topLinePunct w:val="0"/>
        <w:autoSpaceDE/>
        <w:autoSpaceDN/>
        <w:bidi w:val="0"/>
        <w:adjustRightInd/>
        <w:snapToGrid/>
        <w:spacing w:after="312" w:afterLines="100" w:line="360" w:lineRule="auto"/>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签署日期：</w:t>
      </w:r>
    </w:p>
    <w:p>
      <w:pPr>
        <w:keepNext w:val="0"/>
        <w:keepLines w:val="0"/>
        <w:pageBreakBefore w:val="0"/>
        <w:widowControl w:val="0"/>
        <w:kinsoku/>
        <w:wordWrap/>
        <w:overflowPunct/>
        <w:topLinePunct w:val="0"/>
        <w:autoSpaceDE/>
        <w:autoSpaceDN/>
        <w:bidi w:val="0"/>
        <w:adjustRightInd/>
        <w:snapToGrid/>
        <w:spacing w:after="312" w:afterLines="100" w:line="360" w:lineRule="auto"/>
        <w:textAlignment w:val="auto"/>
        <w:rPr>
          <w:rFonts w:hint="eastAsia" w:asciiTheme="minorEastAsia" w:hAnsiTheme="minorEastAsia" w:eastAsiaTheme="minorEastAsia" w:cstheme="minorEastAsia"/>
          <w:b/>
          <w:sz w:val="28"/>
          <w:szCs w:val="28"/>
        </w:rPr>
      </w:pPr>
    </w:p>
    <w:p>
      <w:pPr>
        <w:keepNext w:val="0"/>
        <w:keepLines w:val="0"/>
        <w:pageBreakBefore w:val="0"/>
        <w:widowControl w:val="0"/>
        <w:kinsoku/>
        <w:wordWrap/>
        <w:overflowPunct/>
        <w:topLinePunct w:val="0"/>
        <w:autoSpaceDE/>
        <w:autoSpaceDN/>
        <w:bidi w:val="0"/>
        <w:adjustRightInd/>
        <w:snapToGrid/>
        <w:spacing w:after="312" w:afterLines="100" w:line="360" w:lineRule="auto"/>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 xml:space="preserve">乙方： </w:t>
      </w:r>
    </w:p>
    <w:p>
      <w:pPr>
        <w:keepNext w:val="0"/>
        <w:keepLines w:val="0"/>
        <w:pageBreakBefore w:val="0"/>
        <w:widowControl w:val="0"/>
        <w:kinsoku/>
        <w:wordWrap/>
        <w:overflowPunct/>
        <w:topLinePunct w:val="0"/>
        <w:autoSpaceDE/>
        <w:autoSpaceDN/>
        <w:bidi w:val="0"/>
        <w:adjustRightInd/>
        <w:snapToGrid/>
        <w:spacing w:after="312" w:afterLines="100" w:line="360" w:lineRule="auto"/>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法定代表/授权代表人（签字）：</w:t>
      </w:r>
    </w:p>
    <w:p>
      <w:pPr>
        <w:keepNext w:val="0"/>
        <w:keepLines w:val="0"/>
        <w:pageBreakBefore w:val="0"/>
        <w:widowControl w:val="0"/>
        <w:kinsoku/>
        <w:wordWrap/>
        <w:overflowPunct/>
        <w:topLinePunct w:val="0"/>
        <w:autoSpaceDE/>
        <w:autoSpaceDN/>
        <w:bidi w:val="0"/>
        <w:adjustRightInd/>
        <w:snapToGrid/>
        <w:spacing w:after="312" w:afterLines="100" w:line="360" w:lineRule="auto"/>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签署日期：</w:t>
      </w:r>
    </w:p>
    <w:p>
      <w:pPr>
        <w:keepNext w:val="0"/>
        <w:keepLines w:val="0"/>
        <w:pageBreakBefore w:val="0"/>
        <w:widowControl w:val="0"/>
        <w:kinsoku/>
        <w:wordWrap/>
        <w:overflowPunct/>
        <w:topLinePunct w:val="0"/>
        <w:autoSpaceDE/>
        <w:autoSpaceDN/>
        <w:bidi w:val="0"/>
        <w:adjustRightInd/>
        <w:snapToGrid/>
        <w:spacing w:after="312" w:afterLines="100" w:line="360" w:lineRule="auto"/>
        <w:textAlignment w:val="auto"/>
        <w:rPr>
          <w:rFonts w:hint="eastAsia" w:asciiTheme="minorEastAsia" w:hAnsiTheme="minorEastAsia" w:eastAsiaTheme="minorEastAsia" w:cstheme="minorEastAsia"/>
          <w:b/>
          <w:sz w:val="28"/>
          <w:szCs w:val="28"/>
        </w:rPr>
      </w:pPr>
    </w:p>
    <w:p>
      <w:pPr>
        <w:keepNext w:val="0"/>
        <w:keepLines w:val="0"/>
        <w:pageBreakBefore w:val="0"/>
        <w:widowControl w:val="0"/>
        <w:kinsoku/>
        <w:wordWrap/>
        <w:overflowPunct/>
        <w:topLinePunct w:val="0"/>
        <w:autoSpaceDE/>
        <w:autoSpaceDN/>
        <w:bidi w:val="0"/>
        <w:adjustRightInd/>
        <w:snapToGrid/>
        <w:spacing w:after="312" w:afterLines="100" w:line="360" w:lineRule="auto"/>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 xml:space="preserve">鉴证方： </w:t>
      </w:r>
    </w:p>
    <w:p>
      <w:pPr>
        <w:keepNext w:val="0"/>
        <w:keepLines w:val="0"/>
        <w:pageBreakBefore w:val="0"/>
        <w:widowControl w:val="0"/>
        <w:kinsoku/>
        <w:wordWrap/>
        <w:overflowPunct/>
        <w:topLinePunct w:val="0"/>
        <w:autoSpaceDE/>
        <w:autoSpaceDN/>
        <w:bidi w:val="0"/>
        <w:adjustRightInd/>
        <w:snapToGrid/>
        <w:spacing w:after="312" w:afterLines="100" w:line="360" w:lineRule="auto"/>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法定代表/授权代表人（签字）：</w:t>
      </w:r>
    </w:p>
    <w:p>
      <w:pPr>
        <w:keepNext w:val="0"/>
        <w:keepLines w:val="0"/>
        <w:pageBreakBefore w:val="0"/>
        <w:widowControl w:val="0"/>
        <w:kinsoku/>
        <w:wordWrap/>
        <w:overflowPunct/>
        <w:topLinePunct w:val="0"/>
        <w:autoSpaceDE/>
        <w:autoSpaceDN/>
        <w:bidi w:val="0"/>
        <w:adjustRightInd/>
        <w:snapToGrid/>
        <w:spacing w:after="312" w:afterLines="100" w:line="360" w:lineRule="auto"/>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鉴证日期：</w:t>
      </w:r>
    </w:p>
    <w:p>
      <w:pPr>
        <w:keepNext w:val="0"/>
        <w:keepLines w:val="0"/>
        <w:pageBreakBefore w:val="0"/>
        <w:widowControl w:val="0"/>
        <w:kinsoku/>
        <w:wordWrap/>
        <w:overflowPunct/>
        <w:topLinePunct w:val="0"/>
        <w:autoSpaceDE/>
        <w:autoSpaceDN/>
        <w:bidi w:val="0"/>
        <w:adjustRightInd/>
        <w:snapToGrid/>
        <w:spacing w:after="312" w:afterLines="100" w:line="360" w:lineRule="auto"/>
        <w:jc w:val="right"/>
        <w:textAlignment w:val="auto"/>
      </w:pPr>
      <w:r>
        <w:rPr>
          <w:rFonts w:hint="eastAsia" w:asciiTheme="minorEastAsia" w:hAnsiTheme="minorEastAsia" w:eastAsiaTheme="minorEastAsia" w:cstheme="minorEastAsia"/>
          <w:b/>
          <w:sz w:val="28"/>
          <w:szCs w:val="28"/>
        </w:rPr>
        <w:t>签署地：浙江台州</w:t>
      </w:r>
    </w:p>
    <w:sectPr>
      <w:headerReference r:id="rId3" w:type="default"/>
      <w:footerReference r:id="rId4" w:type="default"/>
      <w:footerReference r:id="rId5" w:type="even"/>
      <w:pgSz w:w="11906" w:h="16838"/>
      <w:pgMar w:top="1701" w:right="1361" w:bottom="1701" w:left="136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方正姚体">
    <w:panose1 w:val="02010601030101010101"/>
    <w:charset w:val="86"/>
    <w:family w:val="auto"/>
    <w:pitch w:val="default"/>
    <w:sig w:usb0="00000003"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C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1978843"/>
    </w:sdtPr>
    <w:sdtContent>
      <w:p>
        <w:pPr>
          <w:pStyle w:val="12"/>
          <w:jc w:val="center"/>
        </w:pPr>
        <w:r>
          <w:fldChar w:fldCharType="begin"/>
        </w:r>
        <w:r>
          <w:instrText xml:space="preserve">PAGE   \* MERGEFORMAT</w:instrText>
        </w:r>
        <w:r>
          <w:fldChar w:fldCharType="separate"/>
        </w:r>
        <w:r>
          <w:rPr>
            <w:lang w:val="zh-CN"/>
          </w:rPr>
          <w:t>29</w:t>
        </w:r>
        <w:r>
          <w:rPr>
            <w:lang w:val="zh-CN"/>
          </w:rPr>
          <w:fldChar w:fldCharType="end"/>
        </w:r>
      </w:p>
    </w:sdtContent>
  </w:sdt>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BA1922"/>
    <w:multiLevelType w:val="multilevel"/>
    <w:tmpl w:val="0EBA1922"/>
    <w:lvl w:ilvl="0" w:tentative="0">
      <w:start w:val="1"/>
      <w:numFmt w:val="decimal"/>
      <w:lvlText w:val="%1."/>
      <w:lvlJc w:val="left"/>
      <w:pPr>
        <w:tabs>
          <w:tab w:val="left" w:pos="780"/>
        </w:tabs>
        <w:ind w:left="780" w:hanging="360"/>
      </w:pPr>
      <w:rPr>
        <w:rFonts w:hint="default" w:cs="Times New Roman"/>
        <w:color w:val="000000"/>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
    <w:nsid w:val="15F04B3D"/>
    <w:multiLevelType w:val="multilevel"/>
    <w:tmpl w:val="15F04B3D"/>
    <w:lvl w:ilvl="0" w:tentative="0">
      <w:start w:val="1"/>
      <w:numFmt w:val="decimal"/>
      <w:lvlText w:val="%1."/>
      <w:lvlJc w:val="left"/>
      <w:pPr>
        <w:tabs>
          <w:tab w:val="left" w:pos="680"/>
        </w:tabs>
        <w:ind w:left="23" w:firstLine="397"/>
      </w:pPr>
      <w:rPr>
        <w:rFonts w:hint="default" w:cs="Times New Roman"/>
        <w:color w:val="000000"/>
      </w:rPr>
    </w:lvl>
    <w:lvl w:ilvl="1" w:tentative="0">
      <w:start w:val="1"/>
      <w:numFmt w:val="lowerLetter"/>
      <w:lvlText w:val="%2)"/>
      <w:lvlJc w:val="left"/>
      <w:pPr>
        <w:tabs>
          <w:tab w:val="left" w:pos="1260"/>
        </w:tabs>
        <w:ind w:left="1260" w:hanging="420"/>
      </w:pPr>
      <w:rPr>
        <w:rFonts w:cs="Times New Roman"/>
      </w:rPr>
    </w:lvl>
    <w:lvl w:ilvl="2" w:tentative="0">
      <w:start w:val="1"/>
      <w:numFmt w:val="lowerRoman"/>
      <w:lvlText w:val="%3."/>
      <w:lvlJc w:val="right"/>
      <w:pPr>
        <w:tabs>
          <w:tab w:val="left" w:pos="1680"/>
        </w:tabs>
        <w:ind w:left="1680" w:hanging="420"/>
      </w:pPr>
      <w:rPr>
        <w:rFonts w:cs="Times New Roman"/>
      </w:rPr>
    </w:lvl>
    <w:lvl w:ilvl="3" w:tentative="0">
      <w:start w:val="1"/>
      <w:numFmt w:val="decimal"/>
      <w:lvlText w:val="%4."/>
      <w:lvlJc w:val="left"/>
      <w:pPr>
        <w:tabs>
          <w:tab w:val="left" w:pos="2100"/>
        </w:tabs>
        <w:ind w:left="2100" w:hanging="420"/>
      </w:pPr>
      <w:rPr>
        <w:rFonts w:cs="Times New Roman"/>
      </w:rPr>
    </w:lvl>
    <w:lvl w:ilvl="4" w:tentative="0">
      <w:start w:val="1"/>
      <w:numFmt w:val="lowerLetter"/>
      <w:lvlText w:val="%5)"/>
      <w:lvlJc w:val="left"/>
      <w:pPr>
        <w:tabs>
          <w:tab w:val="left" w:pos="2520"/>
        </w:tabs>
        <w:ind w:left="2520" w:hanging="420"/>
      </w:pPr>
      <w:rPr>
        <w:rFonts w:cs="Times New Roman"/>
      </w:rPr>
    </w:lvl>
    <w:lvl w:ilvl="5" w:tentative="0">
      <w:start w:val="1"/>
      <w:numFmt w:val="lowerRoman"/>
      <w:lvlText w:val="%6."/>
      <w:lvlJc w:val="right"/>
      <w:pPr>
        <w:tabs>
          <w:tab w:val="left" w:pos="2940"/>
        </w:tabs>
        <w:ind w:left="2940" w:hanging="420"/>
      </w:pPr>
      <w:rPr>
        <w:rFonts w:cs="Times New Roman"/>
      </w:rPr>
    </w:lvl>
    <w:lvl w:ilvl="6" w:tentative="0">
      <w:start w:val="1"/>
      <w:numFmt w:val="decimal"/>
      <w:lvlText w:val="%7."/>
      <w:lvlJc w:val="left"/>
      <w:pPr>
        <w:tabs>
          <w:tab w:val="left" w:pos="3360"/>
        </w:tabs>
        <w:ind w:left="3360" w:hanging="420"/>
      </w:pPr>
      <w:rPr>
        <w:rFonts w:cs="Times New Roman"/>
      </w:rPr>
    </w:lvl>
    <w:lvl w:ilvl="7" w:tentative="0">
      <w:start w:val="1"/>
      <w:numFmt w:val="lowerLetter"/>
      <w:lvlText w:val="%8)"/>
      <w:lvlJc w:val="left"/>
      <w:pPr>
        <w:tabs>
          <w:tab w:val="left" w:pos="3780"/>
        </w:tabs>
        <w:ind w:left="3780" w:hanging="420"/>
      </w:pPr>
      <w:rPr>
        <w:rFonts w:cs="Times New Roman"/>
      </w:rPr>
    </w:lvl>
    <w:lvl w:ilvl="8" w:tentative="0">
      <w:start w:val="1"/>
      <w:numFmt w:val="lowerRoman"/>
      <w:lvlText w:val="%9."/>
      <w:lvlJc w:val="right"/>
      <w:pPr>
        <w:tabs>
          <w:tab w:val="left" w:pos="4200"/>
        </w:tabs>
        <w:ind w:left="4200" w:hanging="420"/>
      </w:pPr>
      <w:rPr>
        <w:rFonts w:cs="Times New Roman"/>
      </w:rPr>
    </w:lvl>
  </w:abstractNum>
  <w:abstractNum w:abstractNumId="2">
    <w:nsid w:val="35843FF4"/>
    <w:multiLevelType w:val="multilevel"/>
    <w:tmpl w:val="35843FF4"/>
    <w:lvl w:ilvl="0" w:tentative="0">
      <w:start w:val="1"/>
      <w:numFmt w:val="japaneseCounting"/>
      <w:lvlText w:val="%1、"/>
      <w:lvlJc w:val="left"/>
      <w:pPr>
        <w:tabs>
          <w:tab w:val="left" w:pos="720"/>
        </w:tabs>
        <w:ind w:left="720" w:hanging="720"/>
      </w:pPr>
      <w:rPr>
        <w:rFonts w:hint="default" w:hAnsi="宋体"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564BF049"/>
    <w:multiLevelType w:val="singleLevel"/>
    <w:tmpl w:val="564BF049"/>
    <w:lvl w:ilvl="0" w:tentative="0">
      <w:start w:val="7"/>
      <w:numFmt w:val="chineseCounting"/>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62D"/>
    <w:rsid w:val="00011453"/>
    <w:rsid w:val="0001583B"/>
    <w:rsid w:val="000174AA"/>
    <w:rsid w:val="000178EF"/>
    <w:rsid w:val="00027FA4"/>
    <w:rsid w:val="000325C3"/>
    <w:rsid w:val="00034D1B"/>
    <w:rsid w:val="00044182"/>
    <w:rsid w:val="00044DD6"/>
    <w:rsid w:val="00045748"/>
    <w:rsid w:val="000472CF"/>
    <w:rsid w:val="00047F88"/>
    <w:rsid w:val="000543F1"/>
    <w:rsid w:val="00054D77"/>
    <w:rsid w:val="00055327"/>
    <w:rsid w:val="000628A1"/>
    <w:rsid w:val="00064643"/>
    <w:rsid w:val="00074F92"/>
    <w:rsid w:val="00083140"/>
    <w:rsid w:val="0008335C"/>
    <w:rsid w:val="00093B5A"/>
    <w:rsid w:val="000960F1"/>
    <w:rsid w:val="0009716B"/>
    <w:rsid w:val="000977DE"/>
    <w:rsid w:val="000A0227"/>
    <w:rsid w:val="000A0A7A"/>
    <w:rsid w:val="000A119C"/>
    <w:rsid w:val="000A5606"/>
    <w:rsid w:val="000A57B2"/>
    <w:rsid w:val="000B2835"/>
    <w:rsid w:val="000B5975"/>
    <w:rsid w:val="000B6621"/>
    <w:rsid w:val="000C3C26"/>
    <w:rsid w:val="000C3CBF"/>
    <w:rsid w:val="000C62DA"/>
    <w:rsid w:val="000D6530"/>
    <w:rsid w:val="000D68E6"/>
    <w:rsid w:val="000D6AE8"/>
    <w:rsid w:val="000E19F1"/>
    <w:rsid w:val="000E5972"/>
    <w:rsid w:val="000E5BDB"/>
    <w:rsid w:val="000E65CB"/>
    <w:rsid w:val="000E70D4"/>
    <w:rsid w:val="000F3F55"/>
    <w:rsid w:val="000F407E"/>
    <w:rsid w:val="000F500A"/>
    <w:rsid w:val="000F60C8"/>
    <w:rsid w:val="00103AD3"/>
    <w:rsid w:val="00105E84"/>
    <w:rsid w:val="0010781E"/>
    <w:rsid w:val="00116170"/>
    <w:rsid w:val="001256FA"/>
    <w:rsid w:val="00125E9D"/>
    <w:rsid w:val="001274DB"/>
    <w:rsid w:val="001277A3"/>
    <w:rsid w:val="001302F7"/>
    <w:rsid w:val="00134152"/>
    <w:rsid w:val="00136C61"/>
    <w:rsid w:val="001418F5"/>
    <w:rsid w:val="0014364C"/>
    <w:rsid w:val="00153CDB"/>
    <w:rsid w:val="00154787"/>
    <w:rsid w:val="00156C1A"/>
    <w:rsid w:val="00162DAE"/>
    <w:rsid w:val="00163778"/>
    <w:rsid w:val="001669C5"/>
    <w:rsid w:val="00170533"/>
    <w:rsid w:val="00171018"/>
    <w:rsid w:val="0017110F"/>
    <w:rsid w:val="001732CD"/>
    <w:rsid w:val="001743B2"/>
    <w:rsid w:val="00174FC5"/>
    <w:rsid w:val="00180AB4"/>
    <w:rsid w:val="00182320"/>
    <w:rsid w:val="001836F0"/>
    <w:rsid w:val="00185B9B"/>
    <w:rsid w:val="00187A41"/>
    <w:rsid w:val="00187C70"/>
    <w:rsid w:val="00194865"/>
    <w:rsid w:val="00195F78"/>
    <w:rsid w:val="00196069"/>
    <w:rsid w:val="0019704E"/>
    <w:rsid w:val="001A057A"/>
    <w:rsid w:val="001A1FE1"/>
    <w:rsid w:val="001A4B68"/>
    <w:rsid w:val="001A4DEB"/>
    <w:rsid w:val="001B3C3B"/>
    <w:rsid w:val="001B5832"/>
    <w:rsid w:val="001C136E"/>
    <w:rsid w:val="001C24FC"/>
    <w:rsid w:val="001C3A0D"/>
    <w:rsid w:val="001C42A3"/>
    <w:rsid w:val="001C449A"/>
    <w:rsid w:val="001D026A"/>
    <w:rsid w:val="001D0648"/>
    <w:rsid w:val="001E0181"/>
    <w:rsid w:val="001E1042"/>
    <w:rsid w:val="001E4BE4"/>
    <w:rsid w:val="001E5B3D"/>
    <w:rsid w:val="001F5B14"/>
    <w:rsid w:val="001F6319"/>
    <w:rsid w:val="0021131D"/>
    <w:rsid w:val="00213550"/>
    <w:rsid w:val="00215D11"/>
    <w:rsid w:val="00222BB3"/>
    <w:rsid w:val="00224863"/>
    <w:rsid w:val="00227403"/>
    <w:rsid w:val="00231324"/>
    <w:rsid w:val="00231FB8"/>
    <w:rsid w:val="002356DA"/>
    <w:rsid w:val="00235C38"/>
    <w:rsid w:val="00236C2B"/>
    <w:rsid w:val="00243E13"/>
    <w:rsid w:val="00244079"/>
    <w:rsid w:val="00252512"/>
    <w:rsid w:val="002531BC"/>
    <w:rsid w:val="00254BE6"/>
    <w:rsid w:val="00257968"/>
    <w:rsid w:val="00261B39"/>
    <w:rsid w:val="0026245B"/>
    <w:rsid w:val="0026360D"/>
    <w:rsid w:val="002670A8"/>
    <w:rsid w:val="00272B6B"/>
    <w:rsid w:val="002766D0"/>
    <w:rsid w:val="0027676C"/>
    <w:rsid w:val="00280AAA"/>
    <w:rsid w:val="00281077"/>
    <w:rsid w:val="00281FDC"/>
    <w:rsid w:val="002908F2"/>
    <w:rsid w:val="002909AA"/>
    <w:rsid w:val="002911C3"/>
    <w:rsid w:val="00291818"/>
    <w:rsid w:val="00296FF0"/>
    <w:rsid w:val="002A0963"/>
    <w:rsid w:val="002A36DD"/>
    <w:rsid w:val="002A6BCB"/>
    <w:rsid w:val="002B3192"/>
    <w:rsid w:val="002C3307"/>
    <w:rsid w:val="002C5E2B"/>
    <w:rsid w:val="002D0439"/>
    <w:rsid w:val="002D0523"/>
    <w:rsid w:val="002D2F5D"/>
    <w:rsid w:val="002D597E"/>
    <w:rsid w:val="002D64C9"/>
    <w:rsid w:val="002E3BD3"/>
    <w:rsid w:val="002E3D69"/>
    <w:rsid w:val="002E4BC0"/>
    <w:rsid w:val="002E638C"/>
    <w:rsid w:val="002F0261"/>
    <w:rsid w:val="002F0A7E"/>
    <w:rsid w:val="002F2B0E"/>
    <w:rsid w:val="002F3C4B"/>
    <w:rsid w:val="0030024F"/>
    <w:rsid w:val="0030065E"/>
    <w:rsid w:val="00300FD4"/>
    <w:rsid w:val="003026B5"/>
    <w:rsid w:val="00305346"/>
    <w:rsid w:val="003077F0"/>
    <w:rsid w:val="00311AA7"/>
    <w:rsid w:val="003120DE"/>
    <w:rsid w:val="00313A42"/>
    <w:rsid w:val="003140B9"/>
    <w:rsid w:val="00314CB9"/>
    <w:rsid w:val="003345D4"/>
    <w:rsid w:val="0034231A"/>
    <w:rsid w:val="003449BB"/>
    <w:rsid w:val="00344A75"/>
    <w:rsid w:val="00347953"/>
    <w:rsid w:val="003538EB"/>
    <w:rsid w:val="00357AC9"/>
    <w:rsid w:val="00361257"/>
    <w:rsid w:val="00362872"/>
    <w:rsid w:val="00363A79"/>
    <w:rsid w:val="003704A7"/>
    <w:rsid w:val="00370946"/>
    <w:rsid w:val="00370A2D"/>
    <w:rsid w:val="003750A3"/>
    <w:rsid w:val="003760D4"/>
    <w:rsid w:val="003803AD"/>
    <w:rsid w:val="00380A62"/>
    <w:rsid w:val="0038532E"/>
    <w:rsid w:val="00390354"/>
    <w:rsid w:val="0039163E"/>
    <w:rsid w:val="00393AD5"/>
    <w:rsid w:val="00397AC3"/>
    <w:rsid w:val="003A5A9C"/>
    <w:rsid w:val="003A7003"/>
    <w:rsid w:val="003A74BC"/>
    <w:rsid w:val="003A7735"/>
    <w:rsid w:val="003A7B86"/>
    <w:rsid w:val="003B5FE4"/>
    <w:rsid w:val="003B6DB6"/>
    <w:rsid w:val="003B79C6"/>
    <w:rsid w:val="003B7AE2"/>
    <w:rsid w:val="003C40D8"/>
    <w:rsid w:val="003D426E"/>
    <w:rsid w:val="003E1DEE"/>
    <w:rsid w:val="003E562D"/>
    <w:rsid w:val="003F2695"/>
    <w:rsid w:val="003F29E1"/>
    <w:rsid w:val="003F2DEA"/>
    <w:rsid w:val="003F2EED"/>
    <w:rsid w:val="003F7050"/>
    <w:rsid w:val="00400E67"/>
    <w:rsid w:val="0040498E"/>
    <w:rsid w:val="00405D4B"/>
    <w:rsid w:val="0041024D"/>
    <w:rsid w:val="00413AF3"/>
    <w:rsid w:val="00414257"/>
    <w:rsid w:val="004166B3"/>
    <w:rsid w:val="00416A26"/>
    <w:rsid w:val="00417FBB"/>
    <w:rsid w:val="00420596"/>
    <w:rsid w:val="00421256"/>
    <w:rsid w:val="004238EA"/>
    <w:rsid w:val="004253F3"/>
    <w:rsid w:val="004261A8"/>
    <w:rsid w:val="004273CF"/>
    <w:rsid w:val="00437B8F"/>
    <w:rsid w:val="00437BEE"/>
    <w:rsid w:val="00440662"/>
    <w:rsid w:val="00441BDC"/>
    <w:rsid w:val="00441CDC"/>
    <w:rsid w:val="00443E16"/>
    <w:rsid w:val="00444FD1"/>
    <w:rsid w:val="004509DE"/>
    <w:rsid w:val="00457074"/>
    <w:rsid w:val="00457D79"/>
    <w:rsid w:val="00466BE1"/>
    <w:rsid w:val="00467DE3"/>
    <w:rsid w:val="00470CBF"/>
    <w:rsid w:val="0047121E"/>
    <w:rsid w:val="00471294"/>
    <w:rsid w:val="00472FE6"/>
    <w:rsid w:val="00474C2C"/>
    <w:rsid w:val="00482D69"/>
    <w:rsid w:val="00484001"/>
    <w:rsid w:val="0048437B"/>
    <w:rsid w:val="004848A4"/>
    <w:rsid w:val="00490023"/>
    <w:rsid w:val="0049193B"/>
    <w:rsid w:val="00497733"/>
    <w:rsid w:val="004A4758"/>
    <w:rsid w:val="004A5459"/>
    <w:rsid w:val="004A7817"/>
    <w:rsid w:val="004B051C"/>
    <w:rsid w:val="004B4CE4"/>
    <w:rsid w:val="004C15C6"/>
    <w:rsid w:val="004C396B"/>
    <w:rsid w:val="004C49EC"/>
    <w:rsid w:val="004C4BBB"/>
    <w:rsid w:val="004C78E6"/>
    <w:rsid w:val="004D0865"/>
    <w:rsid w:val="004E0B87"/>
    <w:rsid w:val="004E4565"/>
    <w:rsid w:val="004E64EF"/>
    <w:rsid w:val="004E67BC"/>
    <w:rsid w:val="004E75E5"/>
    <w:rsid w:val="004F0115"/>
    <w:rsid w:val="004F0ACD"/>
    <w:rsid w:val="004F140A"/>
    <w:rsid w:val="004F2029"/>
    <w:rsid w:val="004F2D37"/>
    <w:rsid w:val="004F40B0"/>
    <w:rsid w:val="00500007"/>
    <w:rsid w:val="005012FA"/>
    <w:rsid w:val="00501BF8"/>
    <w:rsid w:val="00504186"/>
    <w:rsid w:val="00505F66"/>
    <w:rsid w:val="00507204"/>
    <w:rsid w:val="005122A1"/>
    <w:rsid w:val="00512367"/>
    <w:rsid w:val="005148BF"/>
    <w:rsid w:val="005158EE"/>
    <w:rsid w:val="0051632A"/>
    <w:rsid w:val="005179EC"/>
    <w:rsid w:val="00530825"/>
    <w:rsid w:val="0053189A"/>
    <w:rsid w:val="00532343"/>
    <w:rsid w:val="0053258B"/>
    <w:rsid w:val="00537210"/>
    <w:rsid w:val="00541706"/>
    <w:rsid w:val="00542C2E"/>
    <w:rsid w:val="00543B86"/>
    <w:rsid w:val="005538D5"/>
    <w:rsid w:val="00555590"/>
    <w:rsid w:val="00556FDF"/>
    <w:rsid w:val="0055701F"/>
    <w:rsid w:val="00557A9F"/>
    <w:rsid w:val="00563963"/>
    <w:rsid w:val="00564475"/>
    <w:rsid w:val="0057134C"/>
    <w:rsid w:val="00574BFD"/>
    <w:rsid w:val="00577FB1"/>
    <w:rsid w:val="00584839"/>
    <w:rsid w:val="0059254E"/>
    <w:rsid w:val="005A0B3B"/>
    <w:rsid w:val="005A0F2E"/>
    <w:rsid w:val="005A773B"/>
    <w:rsid w:val="005A7C0D"/>
    <w:rsid w:val="005B2F82"/>
    <w:rsid w:val="005B7DFB"/>
    <w:rsid w:val="005C02C4"/>
    <w:rsid w:val="005C0660"/>
    <w:rsid w:val="005C3460"/>
    <w:rsid w:val="005C44E6"/>
    <w:rsid w:val="005C4B8C"/>
    <w:rsid w:val="005C59E6"/>
    <w:rsid w:val="005C6365"/>
    <w:rsid w:val="005C7094"/>
    <w:rsid w:val="005D0972"/>
    <w:rsid w:val="005D0D13"/>
    <w:rsid w:val="005E2574"/>
    <w:rsid w:val="005E2811"/>
    <w:rsid w:val="005E2F83"/>
    <w:rsid w:val="005E3D8F"/>
    <w:rsid w:val="005E3E10"/>
    <w:rsid w:val="005E4883"/>
    <w:rsid w:val="005F1302"/>
    <w:rsid w:val="005F46F7"/>
    <w:rsid w:val="005F7373"/>
    <w:rsid w:val="00600E8C"/>
    <w:rsid w:val="00602D9C"/>
    <w:rsid w:val="00603B09"/>
    <w:rsid w:val="00605BBB"/>
    <w:rsid w:val="00614806"/>
    <w:rsid w:val="0061644A"/>
    <w:rsid w:val="006179A5"/>
    <w:rsid w:val="00624276"/>
    <w:rsid w:val="0062584F"/>
    <w:rsid w:val="00625908"/>
    <w:rsid w:val="00626421"/>
    <w:rsid w:val="00626F21"/>
    <w:rsid w:val="00640616"/>
    <w:rsid w:val="00645FA9"/>
    <w:rsid w:val="00646200"/>
    <w:rsid w:val="006626BD"/>
    <w:rsid w:val="00665FA6"/>
    <w:rsid w:val="00680B37"/>
    <w:rsid w:val="00680DB1"/>
    <w:rsid w:val="0069294C"/>
    <w:rsid w:val="00692B45"/>
    <w:rsid w:val="006930BE"/>
    <w:rsid w:val="00693114"/>
    <w:rsid w:val="00694992"/>
    <w:rsid w:val="00694AE9"/>
    <w:rsid w:val="006A355D"/>
    <w:rsid w:val="006A4C45"/>
    <w:rsid w:val="006B2744"/>
    <w:rsid w:val="006B3BCF"/>
    <w:rsid w:val="006B4860"/>
    <w:rsid w:val="006B4E68"/>
    <w:rsid w:val="006C6E0C"/>
    <w:rsid w:val="006D2684"/>
    <w:rsid w:val="006D3210"/>
    <w:rsid w:val="006D3CB2"/>
    <w:rsid w:val="006D5780"/>
    <w:rsid w:val="006D61BE"/>
    <w:rsid w:val="006E0D9D"/>
    <w:rsid w:val="006E461A"/>
    <w:rsid w:val="006F01D4"/>
    <w:rsid w:val="006F0CA3"/>
    <w:rsid w:val="006F2713"/>
    <w:rsid w:val="006F64E5"/>
    <w:rsid w:val="006F7EEC"/>
    <w:rsid w:val="0070706B"/>
    <w:rsid w:val="007072D8"/>
    <w:rsid w:val="00710ECE"/>
    <w:rsid w:val="007120FB"/>
    <w:rsid w:val="0071314A"/>
    <w:rsid w:val="00720578"/>
    <w:rsid w:val="0073544E"/>
    <w:rsid w:val="0073724E"/>
    <w:rsid w:val="00743588"/>
    <w:rsid w:val="0074557F"/>
    <w:rsid w:val="00745F4A"/>
    <w:rsid w:val="007475A2"/>
    <w:rsid w:val="00747ED1"/>
    <w:rsid w:val="007509EA"/>
    <w:rsid w:val="007517EC"/>
    <w:rsid w:val="00752097"/>
    <w:rsid w:val="00752C5F"/>
    <w:rsid w:val="0075323A"/>
    <w:rsid w:val="00753483"/>
    <w:rsid w:val="007560BD"/>
    <w:rsid w:val="00760DB3"/>
    <w:rsid w:val="00760DD5"/>
    <w:rsid w:val="00761F47"/>
    <w:rsid w:val="007657E2"/>
    <w:rsid w:val="00767C54"/>
    <w:rsid w:val="00767CF1"/>
    <w:rsid w:val="00771B0D"/>
    <w:rsid w:val="0077711C"/>
    <w:rsid w:val="00785FA3"/>
    <w:rsid w:val="00787253"/>
    <w:rsid w:val="00790E80"/>
    <w:rsid w:val="007913BF"/>
    <w:rsid w:val="007953C8"/>
    <w:rsid w:val="007A175E"/>
    <w:rsid w:val="007A300A"/>
    <w:rsid w:val="007A40DD"/>
    <w:rsid w:val="007B29EA"/>
    <w:rsid w:val="007B41E8"/>
    <w:rsid w:val="007B70FF"/>
    <w:rsid w:val="007C330A"/>
    <w:rsid w:val="007C370D"/>
    <w:rsid w:val="007C3775"/>
    <w:rsid w:val="007C7B52"/>
    <w:rsid w:val="007D279C"/>
    <w:rsid w:val="007E4D02"/>
    <w:rsid w:val="007E6DCA"/>
    <w:rsid w:val="007E74B0"/>
    <w:rsid w:val="007E759B"/>
    <w:rsid w:val="007E75E5"/>
    <w:rsid w:val="007F5D5A"/>
    <w:rsid w:val="008006DE"/>
    <w:rsid w:val="008039C6"/>
    <w:rsid w:val="00803F03"/>
    <w:rsid w:val="0080402E"/>
    <w:rsid w:val="00804C75"/>
    <w:rsid w:val="00805532"/>
    <w:rsid w:val="008055D4"/>
    <w:rsid w:val="00805BDC"/>
    <w:rsid w:val="00812138"/>
    <w:rsid w:val="0081264B"/>
    <w:rsid w:val="00813D56"/>
    <w:rsid w:val="00813FD1"/>
    <w:rsid w:val="00814E8D"/>
    <w:rsid w:val="00815BE6"/>
    <w:rsid w:val="0081626B"/>
    <w:rsid w:val="0081649E"/>
    <w:rsid w:val="008177A4"/>
    <w:rsid w:val="00821FC1"/>
    <w:rsid w:val="0082247B"/>
    <w:rsid w:val="0082638E"/>
    <w:rsid w:val="008269E3"/>
    <w:rsid w:val="00827B91"/>
    <w:rsid w:val="008314A2"/>
    <w:rsid w:val="008315ED"/>
    <w:rsid w:val="00833A2B"/>
    <w:rsid w:val="00842326"/>
    <w:rsid w:val="00843758"/>
    <w:rsid w:val="00847E73"/>
    <w:rsid w:val="008522D1"/>
    <w:rsid w:val="00853372"/>
    <w:rsid w:val="00853C75"/>
    <w:rsid w:val="00854030"/>
    <w:rsid w:val="008545B2"/>
    <w:rsid w:val="00856D93"/>
    <w:rsid w:val="008579E0"/>
    <w:rsid w:val="00863788"/>
    <w:rsid w:val="00867B9A"/>
    <w:rsid w:val="00871B04"/>
    <w:rsid w:val="00875A08"/>
    <w:rsid w:val="00877525"/>
    <w:rsid w:val="00884404"/>
    <w:rsid w:val="008911FF"/>
    <w:rsid w:val="00896270"/>
    <w:rsid w:val="00897357"/>
    <w:rsid w:val="008A1F2E"/>
    <w:rsid w:val="008A4A57"/>
    <w:rsid w:val="008A7FC9"/>
    <w:rsid w:val="008B2B50"/>
    <w:rsid w:val="008B41D7"/>
    <w:rsid w:val="008B48FF"/>
    <w:rsid w:val="008B50BA"/>
    <w:rsid w:val="008C0958"/>
    <w:rsid w:val="008C1AE7"/>
    <w:rsid w:val="008C6061"/>
    <w:rsid w:val="008D2AF6"/>
    <w:rsid w:val="008D5181"/>
    <w:rsid w:val="008E26C6"/>
    <w:rsid w:val="008E4553"/>
    <w:rsid w:val="008F07AC"/>
    <w:rsid w:val="008F0B6C"/>
    <w:rsid w:val="008F1CB2"/>
    <w:rsid w:val="008F368F"/>
    <w:rsid w:val="008F5EB9"/>
    <w:rsid w:val="0090227F"/>
    <w:rsid w:val="00910F40"/>
    <w:rsid w:val="00913A2E"/>
    <w:rsid w:val="00922D10"/>
    <w:rsid w:val="0092472D"/>
    <w:rsid w:val="00927357"/>
    <w:rsid w:val="00932E2F"/>
    <w:rsid w:val="009378BF"/>
    <w:rsid w:val="00942E63"/>
    <w:rsid w:val="00943B67"/>
    <w:rsid w:val="0094466E"/>
    <w:rsid w:val="009514B6"/>
    <w:rsid w:val="009549AD"/>
    <w:rsid w:val="00956BC8"/>
    <w:rsid w:val="00962B83"/>
    <w:rsid w:val="00971401"/>
    <w:rsid w:val="00972033"/>
    <w:rsid w:val="00976337"/>
    <w:rsid w:val="00976558"/>
    <w:rsid w:val="00980273"/>
    <w:rsid w:val="0098169A"/>
    <w:rsid w:val="009848B9"/>
    <w:rsid w:val="00991923"/>
    <w:rsid w:val="0099309D"/>
    <w:rsid w:val="0099339F"/>
    <w:rsid w:val="009947CF"/>
    <w:rsid w:val="009A128E"/>
    <w:rsid w:val="009A27C6"/>
    <w:rsid w:val="009A4D08"/>
    <w:rsid w:val="009B03A9"/>
    <w:rsid w:val="009D0837"/>
    <w:rsid w:val="009D2CEB"/>
    <w:rsid w:val="009D3E18"/>
    <w:rsid w:val="009D4D56"/>
    <w:rsid w:val="009D6A0E"/>
    <w:rsid w:val="009E4346"/>
    <w:rsid w:val="009E614E"/>
    <w:rsid w:val="009F2F43"/>
    <w:rsid w:val="009F442A"/>
    <w:rsid w:val="009F5D50"/>
    <w:rsid w:val="009F64E0"/>
    <w:rsid w:val="009F6DD4"/>
    <w:rsid w:val="00A05912"/>
    <w:rsid w:val="00A06F7F"/>
    <w:rsid w:val="00A07063"/>
    <w:rsid w:val="00A07F64"/>
    <w:rsid w:val="00A101E5"/>
    <w:rsid w:val="00A10C06"/>
    <w:rsid w:val="00A11BCC"/>
    <w:rsid w:val="00A1555D"/>
    <w:rsid w:val="00A27117"/>
    <w:rsid w:val="00A30025"/>
    <w:rsid w:val="00A313AF"/>
    <w:rsid w:val="00A32632"/>
    <w:rsid w:val="00A32C0F"/>
    <w:rsid w:val="00A33721"/>
    <w:rsid w:val="00A36394"/>
    <w:rsid w:val="00A3778F"/>
    <w:rsid w:val="00A37ACE"/>
    <w:rsid w:val="00A40106"/>
    <w:rsid w:val="00A44D91"/>
    <w:rsid w:val="00A45033"/>
    <w:rsid w:val="00A45ADD"/>
    <w:rsid w:val="00A465EE"/>
    <w:rsid w:val="00A467BA"/>
    <w:rsid w:val="00A473B0"/>
    <w:rsid w:val="00A50A13"/>
    <w:rsid w:val="00A54943"/>
    <w:rsid w:val="00A573B8"/>
    <w:rsid w:val="00A57524"/>
    <w:rsid w:val="00A579A4"/>
    <w:rsid w:val="00A60BB0"/>
    <w:rsid w:val="00A62AED"/>
    <w:rsid w:val="00A65237"/>
    <w:rsid w:val="00A72D1A"/>
    <w:rsid w:val="00A73808"/>
    <w:rsid w:val="00A7430C"/>
    <w:rsid w:val="00A75B31"/>
    <w:rsid w:val="00A772EC"/>
    <w:rsid w:val="00A80F26"/>
    <w:rsid w:val="00A8270E"/>
    <w:rsid w:val="00A83C94"/>
    <w:rsid w:val="00A90C74"/>
    <w:rsid w:val="00AA078E"/>
    <w:rsid w:val="00AA0D64"/>
    <w:rsid w:val="00AA224A"/>
    <w:rsid w:val="00AA2D92"/>
    <w:rsid w:val="00AA5228"/>
    <w:rsid w:val="00AA53C4"/>
    <w:rsid w:val="00AA54F9"/>
    <w:rsid w:val="00AA69D0"/>
    <w:rsid w:val="00AB0677"/>
    <w:rsid w:val="00AB1488"/>
    <w:rsid w:val="00AB35C6"/>
    <w:rsid w:val="00AB4838"/>
    <w:rsid w:val="00AB7341"/>
    <w:rsid w:val="00AC01D0"/>
    <w:rsid w:val="00AC02D5"/>
    <w:rsid w:val="00AC5204"/>
    <w:rsid w:val="00AD0EE9"/>
    <w:rsid w:val="00AD12DD"/>
    <w:rsid w:val="00AD50E7"/>
    <w:rsid w:val="00AD55ED"/>
    <w:rsid w:val="00AE0116"/>
    <w:rsid w:val="00AE488C"/>
    <w:rsid w:val="00AE4FA7"/>
    <w:rsid w:val="00B02024"/>
    <w:rsid w:val="00B11DB6"/>
    <w:rsid w:val="00B14BA8"/>
    <w:rsid w:val="00B167C6"/>
    <w:rsid w:val="00B201D9"/>
    <w:rsid w:val="00B2261B"/>
    <w:rsid w:val="00B22D3D"/>
    <w:rsid w:val="00B24FE2"/>
    <w:rsid w:val="00B25630"/>
    <w:rsid w:val="00B2594C"/>
    <w:rsid w:val="00B31E45"/>
    <w:rsid w:val="00B348DA"/>
    <w:rsid w:val="00B37C7E"/>
    <w:rsid w:val="00B40932"/>
    <w:rsid w:val="00B5432F"/>
    <w:rsid w:val="00B55295"/>
    <w:rsid w:val="00B5708F"/>
    <w:rsid w:val="00B641B7"/>
    <w:rsid w:val="00B6573B"/>
    <w:rsid w:val="00B75587"/>
    <w:rsid w:val="00B8697C"/>
    <w:rsid w:val="00B87E02"/>
    <w:rsid w:val="00BA09FF"/>
    <w:rsid w:val="00BA0D74"/>
    <w:rsid w:val="00BA37CF"/>
    <w:rsid w:val="00BA5A64"/>
    <w:rsid w:val="00BB25A1"/>
    <w:rsid w:val="00BB49CE"/>
    <w:rsid w:val="00BB6186"/>
    <w:rsid w:val="00BB6C4E"/>
    <w:rsid w:val="00BC707A"/>
    <w:rsid w:val="00BC76AC"/>
    <w:rsid w:val="00BC78EE"/>
    <w:rsid w:val="00BD2221"/>
    <w:rsid w:val="00BD2C1A"/>
    <w:rsid w:val="00BD3084"/>
    <w:rsid w:val="00BE132D"/>
    <w:rsid w:val="00BE1A71"/>
    <w:rsid w:val="00BF2251"/>
    <w:rsid w:val="00C002F5"/>
    <w:rsid w:val="00C01C66"/>
    <w:rsid w:val="00C03FA0"/>
    <w:rsid w:val="00C04217"/>
    <w:rsid w:val="00C04FF6"/>
    <w:rsid w:val="00C07619"/>
    <w:rsid w:val="00C1127C"/>
    <w:rsid w:val="00C12A59"/>
    <w:rsid w:val="00C15AF7"/>
    <w:rsid w:val="00C20C3D"/>
    <w:rsid w:val="00C20F22"/>
    <w:rsid w:val="00C249D7"/>
    <w:rsid w:val="00C26889"/>
    <w:rsid w:val="00C31DC2"/>
    <w:rsid w:val="00C322A3"/>
    <w:rsid w:val="00C41EA1"/>
    <w:rsid w:val="00C428AB"/>
    <w:rsid w:val="00C501A4"/>
    <w:rsid w:val="00C50C41"/>
    <w:rsid w:val="00C514B2"/>
    <w:rsid w:val="00C515E9"/>
    <w:rsid w:val="00C70960"/>
    <w:rsid w:val="00C71D93"/>
    <w:rsid w:val="00C75BC0"/>
    <w:rsid w:val="00C76D35"/>
    <w:rsid w:val="00C7701F"/>
    <w:rsid w:val="00C800D7"/>
    <w:rsid w:val="00C826E1"/>
    <w:rsid w:val="00C850B8"/>
    <w:rsid w:val="00C858BF"/>
    <w:rsid w:val="00C86473"/>
    <w:rsid w:val="00C9068C"/>
    <w:rsid w:val="00C908F0"/>
    <w:rsid w:val="00C956AB"/>
    <w:rsid w:val="00C96281"/>
    <w:rsid w:val="00C966AF"/>
    <w:rsid w:val="00CA5059"/>
    <w:rsid w:val="00CA7DAA"/>
    <w:rsid w:val="00CB1860"/>
    <w:rsid w:val="00CB4094"/>
    <w:rsid w:val="00CB412C"/>
    <w:rsid w:val="00CB6400"/>
    <w:rsid w:val="00CC0C0F"/>
    <w:rsid w:val="00CC28DC"/>
    <w:rsid w:val="00CC4235"/>
    <w:rsid w:val="00CC4F09"/>
    <w:rsid w:val="00CC5AFB"/>
    <w:rsid w:val="00CC68BA"/>
    <w:rsid w:val="00CC6DCB"/>
    <w:rsid w:val="00CD0236"/>
    <w:rsid w:val="00CD1C55"/>
    <w:rsid w:val="00CD20CC"/>
    <w:rsid w:val="00CD6EB6"/>
    <w:rsid w:val="00CD7236"/>
    <w:rsid w:val="00CD7CA9"/>
    <w:rsid w:val="00CE0B13"/>
    <w:rsid w:val="00CE2F0C"/>
    <w:rsid w:val="00CF08FA"/>
    <w:rsid w:val="00CF138F"/>
    <w:rsid w:val="00CF3941"/>
    <w:rsid w:val="00CF49D4"/>
    <w:rsid w:val="00CF5BE1"/>
    <w:rsid w:val="00D00A9E"/>
    <w:rsid w:val="00D01402"/>
    <w:rsid w:val="00D049E3"/>
    <w:rsid w:val="00D061CC"/>
    <w:rsid w:val="00D14DA9"/>
    <w:rsid w:val="00D20B3B"/>
    <w:rsid w:val="00D212E4"/>
    <w:rsid w:val="00D241F4"/>
    <w:rsid w:val="00D251F3"/>
    <w:rsid w:val="00D264FD"/>
    <w:rsid w:val="00D32E08"/>
    <w:rsid w:val="00D33095"/>
    <w:rsid w:val="00D34051"/>
    <w:rsid w:val="00D34692"/>
    <w:rsid w:val="00D34ABB"/>
    <w:rsid w:val="00D34AEC"/>
    <w:rsid w:val="00D35DE7"/>
    <w:rsid w:val="00D363EF"/>
    <w:rsid w:val="00D4168B"/>
    <w:rsid w:val="00D43780"/>
    <w:rsid w:val="00D439BF"/>
    <w:rsid w:val="00D462E2"/>
    <w:rsid w:val="00D46C35"/>
    <w:rsid w:val="00D472A4"/>
    <w:rsid w:val="00D51B8B"/>
    <w:rsid w:val="00D52A79"/>
    <w:rsid w:val="00D54B56"/>
    <w:rsid w:val="00D55613"/>
    <w:rsid w:val="00D601B4"/>
    <w:rsid w:val="00D61712"/>
    <w:rsid w:val="00D6458F"/>
    <w:rsid w:val="00D71C0A"/>
    <w:rsid w:val="00D71CF9"/>
    <w:rsid w:val="00D74C26"/>
    <w:rsid w:val="00D76411"/>
    <w:rsid w:val="00D804B2"/>
    <w:rsid w:val="00D80A11"/>
    <w:rsid w:val="00D81286"/>
    <w:rsid w:val="00D823C1"/>
    <w:rsid w:val="00D84C84"/>
    <w:rsid w:val="00D8565E"/>
    <w:rsid w:val="00D868FA"/>
    <w:rsid w:val="00D8781D"/>
    <w:rsid w:val="00DA3B97"/>
    <w:rsid w:val="00DA41D3"/>
    <w:rsid w:val="00DB1630"/>
    <w:rsid w:val="00DB1B67"/>
    <w:rsid w:val="00DC5FEB"/>
    <w:rsid w:val="00DD3490"/>
    <w:rsid w:val="00DD6DFB"/>
    <w:rsid w:val="00DE46D4"/>
    <w:rsid w:val="00DE4753"/>
    <w:rsid w:val="00DE6AFC"/>
    <w:rsid w:val="00DF2152"/>
    <w:rsid w:val="00DF48ED"/>
    <w:rsid w:val="00DF4FA5"/>
    <w:rsid w:val="00E01ABE"/>
    <w:rsid w:val="00E02CDC"/>
    <w:rsid w:val="00E14E38"/>
    <w:rsid w:val="00E326D5"/>
    <w:rsid w:val="00E32904"/>
    <w:rsid w:val="00E3456A"/>
    <w:rsid w:val="00E378EC"/>
    <w:rsid w:val="00E41A2C"/>
    <w:rsid w:val="00E42A77"/>
    <w:rsid w:val="00E43DFC"/>
    <w:rsid w:val="00E45183"/>
    <w:rsid w:val="00E4720D"/>
    <w:rsid w:val="00E51985"/>
    <w:rsid w:val="00E54FF7"/>
    <w:rsid w:val="00E55112"/>
    <w:rsid w:val="00E601EE"/>
    <w:rsid w:val="00E60C47"/>
    <w:rsid w:val="00E6100E"/>
    <w:rsid w:val="00E613C5"/>
    <w:rsid w:val="00E63305"/>
    <w:rsid w:val="00E7066E"/>
    <w:rsid w:val="00E71C88"/>
    <w:rsid w:val="00E759C0"/>
    <w:rsid w:val="00E80EA9"/>
    <w:rsid w:val="00E8115B"/>
    <w:rsid w:val="00E8715B"/>
    <w:rsid w:val="00E90A0D"/>
    <w:rsid w:val="00E96880"/>
    <w:rsid w:val="00EA58B6"/>
    <w:rsid w:val="00EA7C64"/>
    <w:rsid w:val="00EB7236"/>
    <w:rsid w:val="00EB7237"/>
    <w:rsid w:val="00EC056D"/>
    <w:rsid w:val="00EC062D"/>
    <w:rsid w:val="00EC4F19"/>
    <w:rsid w:val="00ED58F3"/>
    <w:rsid w:val="00EE1601"/>
    <w:rsid w:val="00EE5CAF"/>
    <w:rsid w:val="00EE5F7C"/>
    <w:rsid w:val="00EE677E"/>
    <w:rsid w:val="00EE7377"/>
    <w:rsid w:val="00EF03FF"/>
    <w:rsid w:val="00EF7080"/>
    <w:rsid w:val="00F04792"/>
    <w:rsid w:val="00F04D66"/>
    <w:rsid w:val="00F06F8A"/>
    <w:rsid w:val="00F0743A"/>
    <w:rsid w:val="00F12683"/>
    <w:rsid w:val="00F13B77"/>
    <w:rsid w:val="00F13D17"/>
    <w:rsid w:val="00F1417D"/>
    <w:rsid w:val="00F158C4"/>
    <w:rsid w:val="00F17A87"/>
    <w:rsid w:val="00F225F8"/>
    <w:rsid w:val="00F23FA0"/>
    <w:rsid w:val="00F265B5"/>
    <w:rsid w:val="00F4651C"/>
    <w:rsid w:val="00F520BC"/>
    <w:rsid w:val="00F5786E"/>
    <w:rsid w:val="00F57E2C"/>
    <w:rsid w:val="00F7228A"/>
    <w:rsid w:val="00F726A1"/>
    <w:rsid w:val="00F777AE"/>
    <w:rsid w:val="00F82702"/>
    <w:rsid w:val="00F83587"/>
    <w:rsid w:val="00F83FDC"/>
    <w:rsid w:val="00F9332B"/>
    <w:rsid w:val="00F94FDE"/>
    <w:rsid w:val="00F95141"/>
    <w:rsid w:val="00F969AF"/>
    <w:rsid w:val="00F97D50"/>
    <w:rsid w:val="00FA3BF4"/>
    <w:rsid w:val="00FA645F"/>
    <w:rsid w:val="00FB0AA6"/>
    <w:rsid w:val="00FB2580"/>
    <w:rsid w:val="00FB2C07"/>
    <w:rsid w:val="00FB3F37"/>
    <w:rsid w:val="00FB52EC"/>
    <w:rsid w:val="00FB68BD"/>
    <w:rsid w:val="00FC211B"/>
    <w:rsid w:val="00FC2C10"/>
    <w:rsid w:val="00FC42EC"/>
    <w:rsid w:val="00FC4AEC"/>
    <w:rsid w:val="00FD1B0F"/>
    <w:rsid w:val="00FD5D04"/>
    <w:rsid w:val="00FE3F70"/>
    <w:rsid w:val="00FE4527"/>
    <w:rsid w:val="00FF084B"/>
    <w:rsid w:val="00FF1384"/>
    <w:rsid w:val="00FF15D3"/>
    <w:rsid w:val="00FF1E04"/>
    <w:rsid w:val="00FF2C59"/>
    <w:rsid w:val="00FF3917"/>
    <w:rsid w:val="01DB7A23"/>
    <w:rsid w:val="02016C1C"/>
    <w:rsid w:val="03780F6C"/>
    <w:rsid w:val="037A4EFE"/>
    <w:rsid w:val="03EB63A0"/>
    <w:rsid w:val="04232E9C"/>
    <w:rsid w:val="04AB725F"/>
    <w:rsid w:val="05945E77"/>
    <w:rsid w:val="07204E1D"/>
    <w:rsid w:val="08491765"/>
    <w:rsid w:val="085C2DFA"/>
    <w:rsid w:val="08B7492F"/>
    <w:rsid w:val="09267901"/>
    <w:rsid w:val="095B0084"/>
    <w:rsid w:val="098A0181"/>
    <w:rsid w:val="09AB5D86"/>
    <w:rsid w:val="09E17B50"/>
    <w:rsid w:val="0A9F3134"/>
    <w:rsid w:val="0AC128F0"/>
    <w:rsid w:val="0BBA1D6E"/>
    <w:rsid w:val="0C5F0B9B"/>
    <w:rsid w:val="0CCE32D4"/>
    <w:rsid w:val="0D2D3762"/>
    <w:rsid w:val="0D65246F"/>
    <w:rsid w:val="0D972C4B"/>
    <w:rsid w:val="0E3F47D7"/>
    <w:rsid w:val="0ED467C2"/>
    <w:rsid w:val="0F0B6093"/>
    <w:rsid w:val="0F47765A"/>
    <w:rsid w:val="10092B88"/>
    <w:rsid w:val="10450A76"/>
    <w:rsid w:val="10574A40"/>
    <w:rsid w:val="111D0ED3"/>
    <w:rsid w:val="12841EF5"/>
    <w:rsid w:val="1287500F"/>
    <w:rsid w:val="12986D39"/>
    <w:rsid w:val="13D90EB1"/>
    <w:rsid w:val="145354E3"/>
    <w:rsid w:val="14C11273"/>
    <w:rsid w:val="14F548A4"/>
    <w:rsid w:val="14FE66F5"/>
    <w:rsid w:val="155D3A47"/>
    <w:rsid w:val="16326D46"/>
    <w:rsid w:val="16841E2B"/>
    <w:rsid w:val="16CF0A1B"/>
    <w:rsid w:val="16D775E3"/>
    <w:rsid w:val="17014C3E"/>
    <w:rsid w:val="178D6979"/>
    <w:rsid w:val="17C212B8"/>
    <w:rsid w:val="1874160D"/>
    <w:rsid w:val="18D15FE1"/>
    <w:rsid w:val="19CE4EDD"/>
    <w:rsid w:val="19F63980"/>
    <w:rsid w:val="1AA458BC"/>
    <w:rsid w:val="1B0E0727"/>
    <w:rsid w:val="1B452D22"/>
    <w:rsid w:val="1B7B0C73"/>
    <w:rsid w:val="1B8036D5"/>
    <w:rsid w:val="1B8D2BAE"/>
    <w:rsid w:val="1BBF1C93"/>
    <w:rsid w:val="1BFF4E48"/>
    <w:rsid w:val="1C356D37"/>
    <w:rsid w:val="1DBD1FBC"/>
    <w:rsid w:val="1DF76FC3"/>
    <w:rsid w:val="1E02479D"/>
    <w:rsid w:val="1F577B89"/>
    <w:rsid w:val="1F722F1F"/>
    <w:rsid w:val="1FC52E2B"/>
    <w:rsid w:val="1FEC64AB"/>
    <w:rsid w:val="20252312"/>
    <w:rsid w:val="203715E8"/>
    <w:rsid w:val="213458C4"/>
    <w:rsid w:val="23970A91"/>
    <w:rsid w:val="239B0A0A"/>
    <w:rsid w:val="23B37539"/>
    <w:rsid w:val="23FB21FF"/>
    <w:rsid w:val="2480011C"/>
    <w:rsid w:val="24B77466"/>
    <w:rsid w:val="24BF0AE4"/>
    <w:rsid w:val="24CD2712"/>
    <w:rsid w:val="250D6DE4"/>
    <w:rsid w:val="25312517"/>
    <w:rsid w:val="25765A93"/>
    <w:rsid w:val="26287D24"/>
    <w:rsid w:val="27223C7F"/>
    <w:rsid w:val="27B117BB"/>
    <w:rsid w:val="285749E4"/>
    <w:rsid w:val="29214FB2"/>
    <w:rsid w:val="29DF46FF"/>
    <w:rsid w:val="2A437E51"/>
    <w:rsid w:val="2A5469F2"/>
    <w:rsid w:val="2A767F4F"/>
    <w:rsid w:val="2BE17D66"/>
    <w:rsid w:val="2C1F6654"/>
    <w:rsid w:val="2C754CE8"/>
    <w:rsid w:val="2CF613E6"/>
    <w:rsid w:val="2CFF3FAF"/>
    <w:rsid w:val="2D50457F"/>
    <w:rsid w:val="2DF2034E"/>
    <w:rsid w:val="2DF33E0A"/>
    <w:rsid w:val="2E946416"/>
    <w:rsid w:val="2ECC0335"/>
    <w:rsid w:val="2F6B5F2C"/>
    <w:rsid w:val="2FEFD382"/>
    <w:rsid w:val="301E0A94"/>
    <w:rsid w:val="303A31BE"/>
    <w:rsid w:val="305C2A04"/>
    <w:rsid w:val="30DF0DFB"/>
    <w:rsid w:val="316F2F5D"/>
    <w:rsid w:val="324F6FC6"/>
    <w:rsid w:val="325C4313"/>
    <w:rsid w:val="32FD1CD8"/>
    <w:rsid w:val="34586D34"/>
    <w:rsid w:val="35444092"/>
    <w:rsid w:val="35A00F66"/>
    <w:rsid w:val="364F5374"/>
    <w:rsid w:val="374F3031"/>
    <w:rsid w:val="384D3FA0"/>
    <w:rsid w:val="386045A4"/>
    <w:rsid w:val="38A119A2"/>
    <w:rsid w:val="38E541F1"/>
    <w:rsid w:val="38E55F3A"/>
    <w:rsid w:val="39D65B9B"/>
    <w:rsid w:val="3A06505C"/>
    <w:rsid w:val="3A633080"/>
    <w:rsid w:val="3B3E607B"/>
    <w:rsid w:val="3BC67276"/>
    <w:rsid w:val="3CD7046C"/>
    <w:rsid w:val="3D766D10"/>
    <w:rsid w:val="3DC965C7"/>
    <w:rsid w:val="3EAA77BE"/>
    <w:rsid w:val="3F6B416C"/>
    <w:rsid w:val="3F750845"/>
    <w:rsid w:val="402F00AF"/>
    <w:rsid w:val="41173BF3"/>
    <w:rsid w:val="412835B6"/>
    <w:rsid w:val="41377E16"/>
    <w:rsid w:val="414A4BA3"/>
    <w:rsid w:val="415F4055"/>
    <w:rsid w:val="417501BE"/>
    <w:rsid w:val="417B5297"/>
    <w:rsid w:val="41823541"/>
    <w:rsid w:val="427F3DC8"/>
    <w:rsid w:val="43825E8A"/>
    <w:rsid w:val="43BA1DDD"/>
    <w:rsid w:val="447D6079"/>
    <w:rsid w:val="44DA7F50"/>
    <w:rsid w:val="44F55679"/>
    <w:rsid w:val="45212235"/>
    <w:rsid w:val="45BC7FD6"/>
    <w:rsid w:val="45C942BA"/>
    <w:rsid w:val="47AB465B"/>
    <w:rsid w:val="47CE7324"/>
    <w:rsid w:val="4880585B"/>
    <w:rsid w:val="48A4765C"/>
    <w:rsid w:val="49033183"/>
    <w:rsid w:val="49A62932"/>
    <w:rsid w:val="49E102CF"/>
    <w:rsid w:val="49F26C6C"/>
    <w:rsid w:val="4A1B7AE2"/>
    <w:rsid w:val="4AE958EC"/>
    <w:rsid w:val="4B1A63D0"/>
    <w:rsid w:val="4BE23180"/>
    <w:rsid w:val="4C7A3355"/>
    <w:rsid w:val="4D122708"/>
    <w:rsid w:val="4D843E86"/>
    <w:rsid w:val="4DDF1DA3"/>
    <w:rsid w:val="4F220FEE"/>
    <w:rsid w:val="4F2C045A"/>
    <w:rsid w:val="4F6A1800"/>
    <w:rsid w:val="4F700BC5"/>
    <w:rsid w:val="4F935C25"/>
    <w:rsid w:val="503D7A18"/>
    <w:rsid w:val="517102E3"/>
    <w:rsid w:val="51EA37A6"/>
    <w:rsid w:val="51EE2E25"/>
    <w:rsid w:val="54160898"/>
    <w:rsid w:val="54196BD7"/>
    <w:rsid w:val="54636F09"/>
    <w:rsid w:val="547B6CB8"/>
    <w:rsid w:val="54CD066F"/>
    <w:rsid w:val="551F2D75"/>
    <w:rsid w:val="55E60A98"/>
    <w:rsid w:val="55E8693F"/>
    <w:rsid w:val="59717C8E"/>
    <w:rsid w:val="59974CE0"/>
    <w:rsid w:val="599D7523"/>
    <w:rsid w:val="5BB46E64"/>
    <w:rsid w:val="5C6E0B93"/>
    <w:rsid w:val="5DEA0B0D"/>
    <w:rsid w:val="5E323B31"/>
    <w:rsid w:val="5ED53A43"/>
    <w:rsid w:val="5F07595A"/>
    <w:rsid w:val="5F476A25"/>
    <w:rsid w:val="5F867E1D"/>
    <w:rsid w:val="5FBA7160"/>
    <w:rsid w:val="609A6DB1"/>
    <w:rsid w:val="610105DB"/>
    <w:rsid w:val="614D4522"/>
    <w:rsid w:val="61C542AA"/>
    <w:rsid w:val="62E810C9"/>
    <w:rsid w:val="62FF4C0E"/>
    <w:rsid w:val="63217225"/>
    <w:rsid w:val="654E5F66"/>
    <w:rsid w:val="65A46345"/>
    <w:rsid w:val="670246B6"/>
    <w:rsid w:val="672150C8"/>
    <w:rsid w:val="67B2192C"/>
    <w:rsid w:val="68531926"/>
    <w:rsid w:val="68E52B21"/>
    <w:rsid w:val="69854BF4"/>
    <w:rsid w:val="699311D9"/>
    <w:rsid w:val="6B311500"/>
    <w:rsid w:val="6B350B88"/>
    <w:rsid w:val="6BB9765C"/>
    <w:rsid w:val="6BE366C4"/>
    <w:rsid w:val="6DD45695"/>
    <w:rsid w:val="6E102D14"/>
    <w:rsid w:val="6E284373"/>
    <w:rsid w:val="6E411F3E"/>
    <w:rsid w:val="6F666287"/>
    <w:rsid w:val="6FC15474"/>
    <w:rsid w:val="702C51F5"/>
    <w:rsid w:val="705C23FF"/>
    <w:rsid w:val="707F2EBC"/>
    <w:rsid w:val="70D94D54"/>
    <w:rsid w:val="713E1DC0"/>
    <w:rsid w:val="72D44D2A"/>
    <w:rsid w:val="74157D2E"/>
    <w:rsid w:val="74583597"/>
    <w:rsid w:val="74D94576"/>
    <w:rsid w:val="75100CCD"/>
    <w:rsid w:val="758A31CA"/>
    <w:rsid w:val="76544DE8"/>
    <w:rsid w:val="76575F7C"/>
    <w:rsid w:val="766C5EAF"/>
    <w:rsid w:val="774B0FFA"/>
    <w:rsid w:val="77F72A6A"/>
    <w:rsid w:val="77FA03F8"/>
    <w:rsid w:val="784F105D"/>
    <w:rsid w:val="78547A9A"/>
    <w:rsid w:val="78A40D9F"/>
    <w:rsid w:val="78C6316F"/>
    <w:rsid w:val="79A46BED"/>
    <w:rsid w:val="7A225FA6"/>
    <w:rsid w:val="7A2B7BFF"/>
    <w:rsid w:val="7B082B46"/>
    <w:rsid w:val="7BC10861"/>
    <w:rsid w:val="7BD45C39"/>
    <w:rsid w:val="7BDF0C60"/>
    <w:rsid w:val="7BEA53B0"/>
    <w:rsid w:val="7C0055C0"/>
    <w:rsid w:val="7C1A0213"/>
    <w:rsid w:val="7CA20C34"/>
    <w:rsid w:val="7CA76CFB"/>
    <w:rsid w:val="7CD75EFA"/>
    <w:rsid w:val="7D43435C"/>
    <w:rsid w:val="7D9C71A1"/>
    <w:rsid w:val="7E6F0520"/>
    <w:rsid w:val="7EE66ACF"/>
    <w:rsid w:val="7F301C59"/>
    <w:rsid w:val="7F345E02"/>
    <w:rsid w:val="7F622A1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6"/>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5"/>
    <w:semiHidden/>
    <w:unhideWhenUsed/>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48"/>
    <w:semiHidden/>
    <w:unhideWhenUsed/>
    <w:qFormat/>
    <w:uiPriority w:val="0"/>
    <w:rPr>
      <w:rFonts w:ascii="宋体"/>
      <w:sz w:val="18"/>
      <w:szCs w:val="18"/>
    </w:rPr>
  </w:style>
  <w:style w:type="paragraph" w:styleId="6">
    <w:name w:val="annotation text"/>
    <w:basedOn w:val="1"/>
    <w:link w:val="40"/>
    <w:qFormat/>
    <w:uiPriority w:val="0"/>
    <w:pPr>
      <w:jc w:val="left"/>
    </w:pPr>
    <w:rPr>
      <w:lang w:val="zh-CN"/>
    </w:rPr>
  </w:style>
  <w:style w:type="paragraph" w:styleId="7">
    <w:name w:val="Body Text"/>
    <w:basedOn w:val="1"/>
    <w:link w:val="47"/>
    <w:unhideWhenUsed/>
    <w:qFormat/>
    <w:uiPriority w:val="0"/>
    <w:pPr>
      <w:spacing w:after="120"/>
    </w:pPr>
  </w:style>
  <w:style w:type="paragraph" w:styleId="8">
    <w:name w:val="Body Text Indent"/>
    <w:basedOn w:val="1"/>
    <w:link w:val="26"/>
    <w:qFormat/>
    <w:uiPriority w:val="0"/>
    <w:pPr>
      <w:ind w:firstLine="640" w:firstLineChars="200"/>
    </w:pPr>
    <w:rPr>
      <w:rFonts w:eastAsia="仿宋_GB2312"/>
      <w:sz w:val="32"/>
      <w:szCs w:val="24"/>
    </w:rPr>
  </w:style>
  <w:style w:type="paragraph" w:styleId="9">
    <w:name w:val="Date"/>
    <w:basedOn w:val="1"/>
    <w:next w:val="1"/>
    <w:link w:val="42"/>
    <w:unhideWhenUsed/>
    <w:qFormat/>
    <w:uiPriority w:val="0"/>
    <w:pPr>
      <w:ind w:left="100" w:leftChars="2500"/>
    </w:pPr>
  </w:style>
  <w:style w:type="paragraph" w:styleId="10">
    <w:name w:val="Body Text Indent 2"/>
    <w:basedOn w:val="1"/>
    <w:link w:val="27"/>
    <w:qFormat/>
    <w:uiPriority w:val="0"/>
    <w:pPr>
      <w:spacing w:after="120" w:line="480" w:lineRule="auto"/>
      <w:ind w:left="420" w:leftChars="200"/>
    </w:pPr>
    <w:rPr>
      <w:szCs w:val="24"/>
    </w:rPr>
  </w:style>
  <w:style w:type="paragraph" w:styleId="11">
    <w:name w:val="Balloon Text"/>
    <w:basedOn w:val="1"/>
    <w:link w:val="28"/>
    <w:semiHidden/>
    <w:qFormat/>
    <w:uiPriority w:val="0"/>
    <w:rPr>
      <w:sz w:val="18"/>
      <w:szCs w:val="18"/>
    </w:rPr>
  </w:style>
  <w:style w:type="paragraph" w:styleId="12">
    <w:name w:val="footer"/>
    <w:basedOn w:val="1"/>
    <w:link w:val="29"/>
    <w:qFormat/>
    <w:uiPriority w:val="99"/>
    <w:pPr>
      <w:tabs>
        <w:tab w:val="center" w:pos="4153"/>
        <w:tab w:val="right" w:pos="8306"/>
      </w:tabs>
      <w:snapToGrid w:val="0"/>
      <w:jc w:val="left"/>
    </w:pPr>
    <w:rPr>
      <w:sz w:val="18"/>
      <w:szCs w:val="18"/>
    </w:rPr>
  </w:style>
  <w:style w:type="paragraph" w:styleId="13">
    <w:name w:val="header"/>
    <w:basedOn w:val="1"/>
    <w:link w:val="30"/>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tabs>
        <w:tab w:val="right" w:leader="dot" w:pos="8296"/>
      </w:tabs>
      <w:spacing w:line="480" w:lineRule="auto"/>
    </w:pPr>
    <w:rPr>
      <w:rFonts w:ascii="Times New Roman" w:hAnsi="Times New Roman"/>
      <w:szCs w:val="20"/>
    </w:r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6">
    <w:name w:val="Title"/>
    <w:basedOn w:val="1"/>
    <w:next w:val="1"/>
    <w:link w:val="31"/>
    <w:qFormat/>
    <w:uiPriority w:val="0"/>
    <w:pPr>
      <w:spacing w:before="240" w:after="60"/>
      <w:jc w:val="center"/>
      <w:outlineLvl w:val="0"/>
    </w:pPr>
    <w:rPr>
      <w:rFonts w:ascii="Cambria" w:hAnsi="Cambria"/>
      <w:b/>
      <w:bCs/>
      <w:sz w:val="32"/>
      <w:szCs w:val="32"/>
    </w:rPr>
  </w:style>
  <w:style w:type="paragraph" w:styleId="17">
    <w:name w:val="annotation subject"/>
    <w:basedOn w:val="6"/>
    <w:next w:val="6"/>
    <w:link w:val="41"/>
    <w:qFormat/>
    <w:uiPriority w:val="0"/>
    <w:rPr>
      <w:b/>
      <w:bCs/>
    </w:rPr>
  </w:style>
  <w:style w:type="character" w:styleId="20">
    <w:name w:val="Strong"/>
    <w:qFormat/>
    <w:uiPriority w:val="0"/>
    <w:rPr>
      <w:rFonts w:cs="Times New Roman"/>
      <w:b/>
    </w:rPr>
  </w:style>
  <w:style w:type="character" w:styleId="21">
    <w:name w:val="page number"/>
    <w:qFormat/>
    <w:uiPriority w:val="0"/>
    <w:rPr>
      <w:rFonts w:cs="Times New Roman"/>
    </w:rPr>
  </w:style>
  <w:style w:type="character" w:styleId="22">
    <w:name w:val="FollowedHyperlink"/>
    <w:qFormat/>
    <w:uiPriority w:val="0"/>
    <w:rPr>
      <w:color w:val="800080"/>
      <w:u w:val="single"/>
    </w:rPr>
  </w:style>
  <w:style w:type="character" w:styleId="23">
    <w:name w:val="Hyperlink"/>
    <w:qFormat/>
    <w:uiPriority w:val="99"/>
    <w:rPr>
      <w:rFonts w:ascii="Verdana" w:hAnsi="Verdana" w:eastAsia="仿宋_GB2312" w:cs="Verdana"/>
      <w:color w:val="0000FF"/>
      <w:kern w:val="0"/>
      <w:sz w:val="24"/>
      <w:u w:val="single"/>
      <w:lang w:eastAsia="en-US"/>
    </w:rPr>
  </w:style>
  <w:style w:type="character" w:styleId="24">
    <w:name w:val="annotation reference"/>
    <w:qFormat/>
    <w:uiPriority w:val="0"/>
    <w:rPr>
      <w:sz w:val="21"/>
      <w:szCs w:val="21"/>
    </w:rPr>
  </w:style>
  <w:style w:type="character" w:customStyle="1" w:styleId="25">
    <w:name w:val="标题 1 字符"/>
    <w:link w:val="2"/>
    <w:qFormat/>
    <w:locked/>
    <w:uiPriority w:val="0"/>
    <w:rPr>
      <w:rFonts w:ascii="Calibri" w:hAnsi="Calibri" w:eastAsia="宋体"/>
      <w:b/>
      <w:bCs/>
      <w:kern w:val="44"/>
      <w:sz w:val="44"/>
      <w:szCs w:val="44"/>
      <w:lang w:val="en-US" w:eastAsia="zh-CN" w:bidi="ar-SA"/>
    </w:rPr>
  </w:style>
  <w:style w:type="character" w:customStyle="1" w:styleId="26">
    <w:name w:val="正文文本缩进 字符"/>
    <w:link w:val="8"/>
    <w:qFormat/>
    <w:locked/>
    <w:uiPriority w:val="0"/>
    <w:rPr>
      <w:rFonts w:eastAsia="仿宋_GB2312"/>
      <w:kern w:val="2"/>
      <w:sz w:val="32"/>
      <w:szCs w:val="24"/>
      <w:lang w:val="en-US" w:eastAsia="zh-CN" w:bidi="ar-SA"/>
    </w:rPr>
  </w:style>
  <w:style w:type="character" w:customStyle="1" w:styleId="27">
    <w:name w:val="正文文本缩进 2 字符"/>
    <w:link w:val="10"/>
    <w:semiHidden/>
    <w:qFormat/>
    <w:locked/>
    <w:uiPriority w:val="0"/>
    <w:rPr>
      <w:rFonts w:eastAsia="宋体"/>
      <w:kern w:val="2"/>
      <w:sz w:val="21"/>
      <w:szCs w:val="24"/>
      <w:lang w:val="en-US" w:eastAsia="zh-CN" w:bidi="ar-SA"/>
    </w:rPr>
  </w:style>
  <w:style w:type="character" w:customStyle="1" w:styleId="28">
    <w:name w:val="批注框文本 字符"/>
    <w:link w:val="11"/>
    <w:semiHidden/>
    <w:qFormat/>
    <w:locked/>
    <w:uiPriority w:val="0"/>
    <w:rPr>
      <w:rFonts w:ascii="Calibri" w:hAnsi="Calibri" w:eastAsia="宋体"/>
      <w:kern w:val="2"/>
      <w:sz w:val="18"/>
      <w:szCs w:val="18"/>
      <w:lang w:val="en-US" w:eastAsia="zh-CN" w:bidi="ar-SA"/>
    </w:rPr>
  </w:style>
  <w:style w:type="character" w:customStyle="1" w:styleId="29">
    <w:name w:val="页脚 字符"/>
    <w:link w:val="12"/>
    <w:qFormat/>
    <w:locked/>
    <w:uiPriority w:val="99"/>
    <w:rPr>
      <w:rFonts w:ascii="Calibri" w:hAnsi="Calibri" w:eastAsia="宋体"/>
      <w:kern w:val="2"/>
      <w:sz w:val="18"/>
      <w:szCs w:val="18"/>
      <w:lang w:val="en-US" w:eastAsia="zh-CN" w:bidi="ar-SA"/>
    </w:rPr>
  </w:style>
  <w:style w:type="character" w:customStyle="1" w:styleId="30">
    <w:name w:val="页眉 字符"/>
    <w:link w:val="13"/>
    <w:qFormat/>
    <w:locked/>
    <w:uiPriority w:val="99"/>
    <w:rPr>
      <w:rFonts w:ascii="Calibri" w:hAnsi="Calibri" w:eastAsia="宋体"/>
      <w:kern w:val="2"/>
      <w:sz w:val="18"/>
      <w:szCs w:val="18"/>
      <w:lang w:val="en-US" w:eastAsia="zh-CN" w:bidi="ar-SA"/>
    </w:rPr>
  </w:style>
  <w:style w:type="character" w:customStyle="1" w:styleId="31">
    <w:name w:val="标题 字符"/>
    <w:link w:val="16"/>
    <w:qFormat/>
    <w:locked/>
    <w:uiPriority w:val="0"/>
    <w:rPr>
      <w:rFonts w:ascii="Cambria" w:hAnsi="Cambria" w:eastAsia="宋体"/>
      <w:b/>
      <w:bCs/>
      <w:kern w:val="2"/>
      <w:sz w:val="32"/>
      <w:szCs w:val="32"/>
      <w:lang w:val="en-US" w:eastAsia="zh-CN" w:bidi="ar-SA"/>
    </w:rPr>
  </w:style>
  <w:style w:type="paragraph" w:customStyle="1" w:styleId="32">
    <w:name w:val="样式 首行缩进:  2 字符"/>
    <w:basedOn w:val="1"/>
    <w:qFormat/>
    <w:uiPriority w:val="0"/>
    <w:pPr>
      <w:spacing w:before="60" w:after="60"/>
      <w:ind w:firstLine="480" w:firstLineChars="200"/>
    </w:pPr>
    <w:rPr>
      <w:rFonts w:ascii="Times New Roman" w:hAnsi="Times New Roman"/>
      <w:sz w:val="24"/>
      <w:szCs w:val="20"/>
    </w:rPr>
  </w:style>
  <w:style w:type="paragraph" w:customStyle="1" w:styleId="3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4">
    <w:name w:val="Char"/>
    <w:basedOn w:val="1"/>
    <w:qFormat/>
    <w:uiPriority w:val="0"/>
    <w:pPr>
      <w:widowControl/>
      <w:spacing w:after="160" w:line="240" w:lineRule="exact"/>
      <w:jc w:val="left"/>
    </w:pPr>
    <w:rPr>
      <w:rFonts w:ascii="Verdana" w:hAnsi="Verdana" w:eastAsia="仿宋_GB2312" w:cs="Verdana"/>
      <w:kern w:val="0"/>
      <w:sz w:val="24"/>
      <w:szCs w:val="20"/>
      <w:lang w:eastAsia="en-US"/>
    </w:rPr>
  </w:style>
  <w:style w:type="paragraph" w:customStyle="1" w:styleId="35">
    <w:name w:val="Char1 Char Char Char Char Char1 Char"/>
    <w:basedOn w:val="1"/>
    <w:qFormat/>
    <w:uiPriority w:val="0"/>
    <w:pPr>
      <w:widowControl/>
      <w:spacing w:after="160" w:line="240" w:lineRule="exact"/>
      <w:jc w:val="left"/>
    </w:pPr>
    <w:rPr>
      <w:rFonts w:ascii="Times New Roman" w:hAnsi="Times New Roman"/>
      <w:szCs w:val="24"/>
    </w:rPr>
  </w:style>
  <w:style w:type="paragraph" w:customStyle="1" w:styleId="36">
    <w:name w:val="Char1"/>
    <w:basedOn w:val="1"/>
    <w:qFormat/>
    <w:uiPriority w:val="0"/>
    <w:pPr>
      <w:widowControl/>
      <w:spacing w:after="160" w:line="240" w:lineRule="exact"/>
      <w:jc w:val="left"/>
    </w:pPr>
    <w:rPr>
      <w:rFonts w:ascii="Verdana" w:hAnsi="Verdana" w:eastAsia="仿宋_GB2312" w:cs="Verdana"/>
      <w:kern w:val="0"/>
      <w:sz w:val="24"/>
      <w:szCs w:val="20"/>
      <w:lang w:eastAsia="en-US"/>
    </w:rPr>
  </w:style>
  <w:style w:type="paragraph" w:customStyle="1" w:styleId="37">
    <w:name w:val="TOC 标题1"/>
    <w:basedOn w:val="2"/>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38">
    <w:name w:val="列出段落1"/>
    <w:basedOn w:val="1"/>
    <w:qFormat/>
    <w:uiPriority w:val="0"/>
    <w:pPr>
      <w:ind w:firstLine="420" w:firstLineChars="200"/>
    </w:pPr>
  </w:style>
  <w:style w:type="character" w:customStyle="1" w:styleId="39">
    <w:name w:val="apple-converted-space"/>
    <w:qFormat/>
    <w:uiPriority w:val="0"/>
    <w:rPr>
      <w:rFonts w:cs="Times New Roman"/>
    </w:rPr>
  </w:style>
  <w:style w:type="character" w:customStyle="1" w:styleId="40">
    <w:name w:val="批注文字 字符"/>
    <w:link w:val="6"/>
    <w:qFormat/>
    <w:uiPriority w:val="0"/>
    <w:rPr>
      <w:rFonts w:ascii="Calibri" w:hAnsi="Calibri"/>
      <w:kern w:val="2"/>
      <w:sz w:val="21"/>
      <w:szCs w:val="22"/>
    </w:rPr>
  </w:style>
  <w:style w:type="character" w:customStyle="1" w:styleId="41">
    <w:name w:val="批注主题 字符"/>
    <w:link w:val="17"/>
    <w:qFormat/>
    <w:uiPriority w:val="0"/>
    <w:rPr>
      <w:rFonts w:ascii="Calibri" w:hAnsi="Calibri"/>
      <w:b/>
      <w:bCs/>
      <w:kern w:val="2"/>
      <w:sz w:val="21"/>
      <w:szCs w:val="22"/>
    </w:rPr>
  </w:style>
  <w:style w:type="character" w:customStyle="1" w:styleId="42">
    <w:name w:val="日期 字符"/>
    <w:basedOn w:val="19"/>
    <w:link w:val="9"/>
    <w:semiHidden/>
    <w:qFormat/>
    <w:uiPriority w:val="0"/>
    <w:rPr>
      <w:rFonts w:ascii="Calibri" w:hAnsi="Calibri"/>
      <w:kern w:val="2"/>
      <w:sz w:val="21"/>
      <w:szCs w:val="22"/>
    </w:rPr>
  </w:style>
  <w:style w:type="paragraph" w:customStyle="1" w:styleId="43">
    <w:name w:val="列出段落2"/>
    <w:basedOn w:val="1"/>
    <w:qFormat/>
    <w:uiPriority w:val="34"/>
    <w:pPr>
      <w:ind w:firstLine="420" w:firstLineChars="200"/>
    </w:pPr>
  </w:style>
  <w:style w:type="paragraph" w:styleId="44">
    <w:name w:val="List Paragraph"/>
    <w:basedOn w:val="1"/>
    <w:qFormat/>
    <w:uiPriority w:val="99"/>
    <w:pPr>
      <w:ind w:firstLine="420" w:firstLineChars="200"/>
    </w:pPr>
  </w:style>
  <w:style w:type="character" w:customStyle="1" w:styleId="45">
    <w:name w:val="标题 3 字符"/>
    <w:basedOn w:val="19"/>
    <w:link w:val="4"/>
    <w:semiHidden/>
    <w:qFormat/>
    <w:uiPriority w:val="0"/>
    <w:rPr>
      <w:rFonts w:ascii="Calibri" w:hAnsi="Calibri"/>
      <w:b/>
      <w:bCs/>
      <w:kern w:val="2"/>
      <w:sz w:val="32"/>
      <w:szCs w:val="32"/>
    </w:rPr>
  </w:style>
  <w:style w:type="character" w:customStyle="1" w:styleId="46">
    <w:name w:val="标题 2 字符"/>
    <w:basedOn w:val="19"/>
    <w:link w:val="3"/>
    <w:semiHidden/>
    <w:qFormat/>
    <w:uiPriority w:val="0"/>
    <w:rPr>
      <w:rFonts w:asciiTheme="majorHAnsi" w:hAnsiTheme="majorHAnsi" w:eastAsiaTheme="majorEastAsia" w:cstheme="majorBidi"/>
      <w:b/>
      <w:bCs/>
      <w:kern w:val="2"/>
      <w:sz w:val="32"/>
      <w:szCs w:val="32"/>
    </w:rPr>
  </w:style>
  <w:style w:type="character" w:customStyle="1" w:styleId="47">
    <w:name w:val="正文文本 字符"/>
    <w:basedOn w:val="19"/>
    <w:link w:val="7"/>
    <w:qFormat/>
    <w:uiPriority w:val="0"/>
    <w:rPr>
      <w:rFonts w:ascii="Calibri" w:hAnsi="Calibri"/>
      <w:kern w:val="2"/>
      <w:sz w:val="21"/>
      <w:szCs w:val="22"/>
    </w:rPr>
  </w:style>
  <w:style w:type="character" w:customStyle="1" w:styleId="48">
    <w:name w:val="文档结构图 字符"/>
    <w:basedOn w:val="19"/>
    <w:link w:val="5"/>
    <w:semiHidden/>
    <w:qFormat/>
    <w:uiPriority w:val="0"/>
    <w:rPr>
      <w:rFonts w:ascii="宋体" w:hAnsi="Calibri"/>
      <w:kern w:val="2"/>
      <w:sz w:val="18"/>
      <w:szCs w:val="18"/>
    </w:rPr>
  </w:style>
  <w:style w:type="table" w:customStyle="1" w:styleId="49">
    <w:name w:val="Table Normal"/>
    <w:semiHidden/>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E8E162-5CEC-4750-BCB8-C9EB7A91C60E}">
  <ds:schemaRefs/>
</ds:datastoreItem>
</file>

<file path=customXml/itemProps3.xml><?xml version="1.0" encoding="utf-8"?>
<ds:datastoreItem xmlns:ds="http://schemas.openxmlformats.org/officeDocument/2006/customXml" ds:itemID="{A0E249A2-8B31-40CB-A096-FFB9A5907EF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29</Pages>
  <Words>2133</Words>
  <Characters>12163</Characters>
  <Lines>101</Lines>
  <Paragraphs>28</Paragraphs>
  <TotalTime>32</TotalTime>
  <ScaleCrop>false</ScaleCrop>
  <LinksUpToDate>false</LinksUpToDate>
  <CharactersWithSpaces>14268</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2021-06-08T09:12:00Z</dcterms:created>
  <dc:creator>User</dc:creator>
  <cp:lastModifiedBy>多年以后</cp:lastModifiedBy>
  <cp:lastPrinted>2021-06-10T01:06:00Z</cp:lastPrinted>
  <dcterms:modified xsi:type="dcterms:W3CDTF">2021-06-10T08:30:05Z</dcterms:modified>
  <dc:title>浙江云开亚美医药科技股份有限公司增资扩股2046</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2D972E66E42643A99B6068B807845BF6</vt:lpwstr>
  </property>
</Properties>
</file>