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color w:val="auto"/>
          <w:sz w:val="30"/>
          <w:szCs w:val="30"/>
        </w:rPr>
      </w:pPr>
      <w:r>
        <w:rPr>
          <w:rFonts w:hint="eastAsia"/>
          <w:b/>
          <w:color w:val="auto"/>
          <w:sz w:val="30"/>
          <w:szCs w:val="30"/>
        </w:rPr>
        <w:t>（预披露项目）浙江海晟药业有限公司10815.7895万</w:t>
      </w:r>
      <w:r>
        <w:rPr>
          <w:rFonts w:hint="eastAsia"/>
          <w:b/>
          <w:color w:val="auto"/>
          <w:sz w:val="30"/>
          <w:szCs w:val="30"/>
          <w:lang w:val="en-US" w:eastAsia="zh-CN"/>
        </w:rPr>
        <w:t>股股权</w:t>
      </w:r>
    </w:p>
    <w:p>
      <w:pPr>
        <w:jc w:val="center"/>
        <w:rPr>
          <w:b/>
          <w:color w:val="auto"/>
          <w:sz w:val="30"/>
          <w:szCs w:val="30"/>
        </w:rPr>
      </w:pPr>
      <w:r>
        <w:rPr>
          <w:rFonts w:hint="eastAsia"/>
          <w:b/>
          <w:color w:val="auto"/>
          <w:sz w:val="30"/>
          <w:szCs w:val="30"/>
        </w:rPr>
        <w:t>转让项目</w:t>
      </w:r>
    </w:p>
    <w:p>
      <w:pPr>
        <w:rPr>
          <w:b/>
          <w:color w:val="auto"/>
          <w:sz w:val="21"/>
          <w:szCs w:val="21"/>
        </w:rPr>
      </w:pPr>
      <w:r>
        <w:rPr>
          <w:rFonts w:hint="eastAsia"/>
          <w:b/>
          <w:color w:val="auto"/>
          <w:sz w:val="21"/>
          <w:szCs w:val="21"/>
        </w:rPr>
        <w:t>一、转让标的基本情况</w:t>
      </w:r>
    </w:p>
    <w:p>
      <w:pPr>
        <w:ind w:firstLine="420" w:firstLineChars="200"/>
        <w:rPr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>浙江海晟药业有限公司（下称“浙江海晟药业”）是一家专注于糖尿病领域的专业化公司。组建于2018年4月，注册资本3亿元，统一社会信用代码为91331002MA2AMRGN3Q，法定代表人白骅；经营范围：药品、医疗器械、化妆品以及食品的研发、生产及销售;生物技术推广服务;货物及技术进出口业务(法律、行政法规禁止经营的项目除外,法律、行政法规规定限制经营的项目取得许可证后方可经营)。(依法须经批准的项目,经相关部门批准后方可开展经营活动)。</w:t>
      </w:r>
    </w:p>
    <w:p>
      <w:pPr>
        <w:rPr>
          <w:b/>
          <w:color w:val="auto"/>
          <w:sz w:val="21"/>
          <w:szCs w:val="21"/>
        </w:rPr>
      </w:pPr>
      <w:r>
        <w:rPr>
          <w:rFonts w:hint="eastAsia"/>
          <w:b/>
          <w:color w:val="auto"/>
          <w:sz w:val="21"/>
          <w:szCs w:val="21"/>
        </w:rPr>
        <w:t>二、转让标的企业的股东结构：</w:t>
      </w:r>
    </w:p>
    <w:tbl>
      <w:tblPr>
        <w:tblStyle w:val="5"/>
        <w:tblW w:w="8782" w:type="dxa"/>
        <w:tblInd w:w="-34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1902"/>
        <w:gridCol w:w="1442"/>
        <w:gridCol w:w="2776"/>
        <w:gridCol w:w="7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0" w:type="dxa"/>
          <w:trHeight w:val="440" w:hRule="atLeast"/>
        </w:trPr>
        <w:tc>
          <w:tcPr>
            <w:tcW w:w="8062" w:type="dxa"/>
            <w:gridSpan w:val="4"/>
            <w:tcBorders>
              <w:left w:val="single" w:color="auto" w:sz="4" w:space="0"/>
              <w:bottom w:val="single" w:color="auto" w:sz="4" w:space="0"/>
              <w:right w:val="doub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 w:val="21"/>
                <w:szCs w:val="21"/>
              </w:rPr>
              <w:t>股东持股情况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0" w:type="dxa"/>
          <w:trHeight w:val="408" w:hRule="atLeast"/>
        </w:trPr>
        <w:tc>
          <w:tcPr>
            <w:tcW w:w="19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 w:val="21"/>
                <w:szCs w:val="21"/>
              </w:rPr>
              <w:t>股 东 名 称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 w:val="21"/>
                <w:szCs w:val="21"/>
              </w:rPr>
              <w:t>股东类型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 w:val="21"/>
                <w:szCs w:val="21"/>
              </w:rPr>
              <w:t>持股比例</w:t>
            </w: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right w:val="doub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 w:val="21"/>
                <w:szCs w:val="21"/>
              </w:rPr>
              <w:t>出资方式及出资数额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0" w:type="dxa"/>
          <w:trHeight w:val="397" w:hRule="atLeast"/>
        </w:trPr>
        <w:tc>
          <w:tcPr>
            <w:tcW w:w="19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浙江海正药业股份有限公司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法人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sz w:val="21"/>
                <w:szCs w:val="21"/>
              </w:rPr>
              <w:t>33.62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%</w:t>
            </w: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right w:val="double" w:color="auto" w:sz="12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以合法持有的相关知识产权评估作价出资/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>10,086.18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20" w:type="dxa"/>
          <w:trHeight w:val="459" w:hRule="atLeast"/>
        </w:trPr>
        <w:tc>
          <w:tcPr>
            <w:tcW w:w="19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海正药业（杭州）有限公司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法人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sz w:val="21"/>
                <w:szCs w:val="21"/>
              </w:rPr>
              <w:t>66.38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%</w:t>
            </w:r>
          </w:p>
        </w:tc>
        <w:tc>
          <w:tcPr>
            <w:tcW w:w="2776" w:type="dxa"/>
            <w:tcBorders>
              <w:top w:val="single" w:color="auto" w:sz="4" w:space="0"/>
              <w:left w:val="single" w:color="auto" w:sz="4" w:space="0"/>
              <w:right w:val="double" w:color="auto" w:sz="12" w:space="0"/>
            </w:tcBorders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以合法持有的海晟药业（杭州）有限公司全部权益评估作价出资/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>19,913.82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78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宋体" w:hAnsi="宋体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 w:val="21"/>
                <w:szCs w:val="21"/>
              </w:rPr>
              <w:t>三、产权转让行为的内部决策及批准情况</w:t>
            </w:r>
          </w:p>
        </w:tc>
      </w:tr>
    </w:tbl>
    <w:p>
      <w:pPr>
        <w:rPr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>内部决策：本次股权转让行为已经必要的内部决策和批准程序，</w:t>
      </w:r>
      <w:bookmarkStart w:id="0" w:name="待定03"/>
      <w:r>
        <w:rPr>
          <w:rFonts w:hint="eastAsia"/>
          <w:color w:val="auto"/>
          <w:sz w:val="21"/>
          <w:szCs w:val="21"/>
        </w:rPr>
        <w:t>本次转让行为已经海正药业2018年第五次临时股东大会批准。</w:t>
      </w:r>
      <w:bookmarkEnd w:id="0"/>
    </w:p>
    <w:p>
      <w:pPr>
        <w:rPr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>批准单位名称：台州市椒江区国有资产管理局</w:t>
      </w:r>
    </w:p>
    <w:p>
      <w:pPr>
        <w:rPr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>批准文号：椒国资【2018】14号</w:t>
      </w:r>
    </w:p>
    <w:p>
      <w:pPr>
        <w:rPr>
          <w:b/>
          <w:color w:val="auto"/>
          <w:sz w:val="21"/>
          <w:szCs w:val="21"/>
        </w:rPr>
      </w:pPr>
      <w:r>
        <w:rPr>
          <w:rFonts w:hint="eastAsia"/>
          <w:b/>
          <w:color w:val="auto"/>
          <w:sz w:val="21"/>
          <w:szCs w:val="21"/>
        </w:rPr>
        <w:t>四、最近年度财务指标：</w:t>
      </w:r>
    </w:p>
    <w:tbl>
      <w:tblPr>
        <w:tblStyle w:val="5"/>
        <w:tblW w:w="8999" w:type="dxa"/>
        <w:jc w:val="center"/>
        <w:tblInd w:w="-15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"/>
        <w:gridCol w:w="1745"/>
        <w:gridCol w:w="109"/>
        <w:gridCol w:w="1731"/>
        <w:gridCol w:w="1089"/>
        <w:gridCol w:w="1011"/>
        <w:gridCol w:w="1677"/>
        <w:gridCol w:w="1319"/>
        <w:gridCol w:w="1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9" w:type="dxa"/>
          <w:cantSplit/>
          <w:trHeight w:val="392" w:hRule="exact"/>
          <w:jc w:val="center"/>
        </w:trPr>
        <w:tc>
          <w:tcPr>
            <w:tcW w:w="1745" w:type="dxa"/>
            <w:vMerge w:val="restart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主要财务指标</w:t>
            </w:r>
          </w:p>
          <w:p>
            <w:pPr>
              <w:ind w:firstLine="0" w:firstLineChars="0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（单位：人民币万元）</w:t>
            </w:r>
          </w:p>
        </w:tc>
        <w:tc>
          <w:tcPr>
            <w:tcW w:w="7095" w:type="dxa"/>
            <w:gridSpan w:val="7"/>
            <w:tcBorders>
              <w:top w:val="single" w:color="auto" w:sz="12" w:space="0"/>
              <w:bottom w:val="single" w:color="auto" w:sz="6" w:space="0"/>
            </w:tcBorders>
            <w:vAlign w:val="center"/>
          </w:tcPr>
          <w:p>
            <w:pPr>
              <w:ind w:firstLine="480"/>
              <w:jc w:val="center"/>
              <w:rPr>
                <w:rFonts w:ascii="宋体" w:hAnsi="宋体"/>
                <w:color w:val="auto"/>
                <w:sz w:val="21"/>
                <w:szCs w:val="21"/>
              </w:rPr>
            </w:pPr>
            <w:bookmarkStart w:id="1" w:name="_GoBack"/>
            <w:bookmarkEnd w:id="1"/>
            <w:r>
              <w:rPr>
                <w:rFonts w:hint="eastAsia" w:ascii="宋体" w:hAnsi="宋体"/>
                <w:color w:val="auto"/>
                <w:sz w:val="21"/>
                <w:szCs w:val="21"/>
              </w:rPr>
              <w:t>以下数据出自企业年度审计报告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9" w:type="dxa"/>
          <w:cantSplit/>
          <w:trHeight w:val="429" w:hRule="exact"/>
          <w:jc w:val="center"/>
        </w:trPr>
        <w:tc>
          <w:tcPr>
            <w:tcW w:w="1745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</w:p>
        </w:tc>
        <w:tc>
          <w:tcPr>
            <w:tcW w:w="184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年度日期</w:t>
            </w:r>
          </w:p>
        </w:tc>
        <w:tc>
          <w:tcPr>
            <w:tcW w:w="210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资产总计</w:t>
            </w:r>
          </w:p>
        </w:tc>
        <w:tc>
          <w:tcPr>
            <w:tcW w:w="167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负债总计</w:t>
            </w:r>
          </w:p>
        </w:tc>
        <w:tc>
          <w:tcPr>
            <w:tcW w:w="147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所有者权益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9" w:type="dxa"/>
          <w:cantSplit/>
          <w:trHeight w:val="429" w:hRule="exact"/>
          <w:jc w:val="center"/>
        </w:trPr>
        <w:tc>
          <w:tcPr>
            <w:tcW w:w="1745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</w:p>
        </w:tc>
        <w:tc>
          <w:tcPr>
            <w:tcW w:w="1840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auto"/>
                <w:sz w:val="21"/>
                <w:szCs w:val="21"/>
                <w:u w:val="single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201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8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年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4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月3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0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日</w:t>
            </w:r>
          </w:p>
        </w:tc>
        <w:tc>
          <w:tcPr>
            <w:tcW w:w="210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color w:val="auto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sz w:val="21"/>
                <w:szCs w:val="21"/>
              </w:rPr>
              <w:t>66,937.65</w:t>
            </w:r>
          </w:p>
        </w:tc>
        <w:tc>
          <w:tcPr>
            <w:tcW w:w="167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color w:val="auto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sz w:val="21"/>
                <w:szCs w:val="21"/>
              </w:rPr>
              <w:t>8,118.22</w:t>
            </w:r>
          </w:p>
        </w:tc>
        <w:tc>
          <w:tcPr>
            <w:tcW w:w="147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color w:val="auto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sz w:val="21"/>
                <w:szCs w:val="21"/>
              </w:rPr>
              <w:t>58,819.43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9" w:type="dxa"/>
          <w:cantSplit/>
          <w:trHeight w:val="429" w:hRule="exact"/>
          <w:jc w:val="center"/>
        </w:trPr>
        <w:tc>
          <w:tcPr>
            <w:tcW w:w="1745" w:type="dxa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</w:p>
        </w:tc>
        <w:tc>
          <w:tcPr>
            <w:tcW w:w="1840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auto"/>
                <w:sz w:val="21"/>
                <w:szCs w:val="21"/>
                <w:u w:val="singl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营业收入</w:t>
            </w:r>
          </w:p>
        </w:tc>
        <w:tc>
          <w:tcPr>
            <w:tcW w:w="1677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利润总额</w:t>
            </w:r>
          </w:p>
        </w:tc>
        <w:tc>
          <w:tcPr>
            <w:tcW w:w="1478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净利润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9" w:type="dxa"/>
          <w:cantSplit/>
          <w:trHeight w:val="429" w:hRule="exact"/>
          <w:jc w:val="center"/>
        </w:trPr>
        <w:tc>
          <w:tcPr>
            <w:tcW w:w="1745" w:type="dxa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</w:p>
        </w:tc>
        <w:tc>
          <w:tcPr>
            <w:tcW w:w="1840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auto"/>
                <w:sz w:val="21"/>
                <w:szCs w:val="21"/>
                <w:u w:val="singl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</w:tcPr>
          <w:p>
            <w:pPr>
              <w:ind w:firstLine="0" w:firstLineChars="0"/>
              <w:jc w:val="center"/>
              <w:rPr>
                <w:rFonts w:ascii="宋体" w:hAnsi="宋体"/>
                <w:color w:val="auto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sz w:val="21"/>
                <w:szCs w:val="21"/>
              </w:rPr>
              <w:t>-9.96</w:t>
            </w:r>
          </w:p>
        </w:tc>
        <w:tc>
          <w:tcPr>
            <w:tcW w:w="1478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</w:tcPr>
          <w:p>
            <w:pPr>
              <w:ind w:firstLine="0" w:firstLineChars="0"/>
              <w:jc w:val="center"/>
              <w:rPr>
                <w:rFonts w:ascii="宋体" w:hAnsi="宋体"/>
                <w:color w:val="auto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sz w:val="21"/>
                <w:szCs w:val="21"/>
              </w:rPr>
              <w:t>-9.96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9" w:type="dxa"/>
          <w:cantSplit/>
          <w:trHeight w:val="429" w:hRule="exact"/>
          <w:jc w:val="center"/>
        </w:trPr>
        <w:tc>
          <w:tcPr>
            <w:tcW w:w="1745" w:type="dxa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</w:p>
        </w:tc>
        <w:tc>
          <w:tcPr>
            <w:tcW w:w="184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审计机构</w:t>
            </w:r>
          </w:p>
        </w:tc>
        <w:tc>
          <w:tcPr>
            <w:tcW w:w="5255" w:type="dxa"/>
            <w:gridSpan w:val="5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天健会计师事务所（特殊普通合伙）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9" w:type="dxa"/>
          <w:cantSplit/>
          <w:trHeight w:val="429" w:hRule="exact"/>
          <w:jc w:val="center"/>
        </w:trPr>
        <w:tc>
          <w:tcPr>
            <w:tcW w:w="1745" w:type="dxa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482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</w:p>
        </w:tc>
        <w:tc>
          <w:tcPr>
            <w:tcW w:w="7095" w:type="dxa"/>
            <w:gridSpan w:val="7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以下数据出自企业财务报表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9" w:type="dxa"/>
          <w:cantSplit/>
          <w:trHeight w:val="429" w:hRule="exact"/>
          <w:jc w:val="center"/>
        </w:trPr>
        <w:tc>
          <w:tcPr>
            <w:tcW w:w="1745" w:type="dxa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480"/>
              <w:jc w:val="center"/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84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报表日期</w:t>
            </w:r>
          </w:p>
        </w:tc>
        <w:tc>
          <w:tcPr>
            <w:tcW w:w="210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资产总计</w:t>
            </w:r>
          </w:p>
        </w:tc>
        <w:tc>
          <w:tcPr>
            <w:tcW w:w="1677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负债总计</w:t>
            </w:r>
          </w:p>
        </w:tc>
        <w:tc>
          <w:tcPr>
            <w:tcW w:w="1478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所有者权益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9" w:type="dxa"/>
          <w:cantSplit/>
          <w:trHeight w:val="641" w:hRule="exact"/>
          <w:jc w:val="center"/>
        </w:trPr>
        <w:tc>
          <w:tcPr>
            <w:tcW w:w="1745" w:type="dxa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480"/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84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 xml:space="preserve">2018 年 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4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月3</w:t>
            </w:r>
            <w:r>
              <w:rPr>
                <w:rFonts w:ascii="宋体" w:hAnsi="宋体"/>
                <w:color w:val="auto"/>
                <w:sz w:val="21"/>
                <w:szCs w:val="21"/>
              </w:rPr>
              <w:t>0</w:t>
            </w:r>
            <w:r>
              <w:rPr>
                <w:rFonts w:hint="eastAsia" w:ascii="宋体" w:hAnsi="宋体"/>
                <w:color w:val="auto"/>
                <w:sz w:val="21"/>
                <w:szCs w:val="21"/>
              </w:rPr>
              <w:t>日</w:t>
            </w:r>
          </w:p>
        </w:tc>
        <w:tc>
          <w:tcPr>
            <w:tcW w:w="210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color w:val="auto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sz w:val="21"/>
                <w:szCs w:val="21"/>
              </w:rPr>
              <w:t>66,937.65</w:t>
            </w:r>
          </w:p>
        </w:tc>
        <w:tc>
          <w:tcPr>
            <w:tcW w:w="1677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color w:val="auto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sz w:val="21"/>
                <w:szCs w:val="21"/>
              </w:rPr>
              <w:t>8,118.22</w:t>
            </w:r>
          </w:p>
        </w:tc>
        <w:tc>
          <w:tcPr>
            <w:tcW w:w="1478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Cs/>
                <w:color w:val="auto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sz w:val="21"/>
                <w:szCs w:val="21"/>
              </w:rPr>
              <w:t>58,819.43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9" w:type="dxa"/>
          <w:cantSplit/>
          <w:trHeight w:val="429" w:hRule="exact"/>
          <w:jc w:val="center"/>
        </w:trPr>
        <w:tc>
          <w:tcPr>
            <w:tcW w:w="1745" w:type="dxa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480"/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84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报表类型</w:t>
            </w:r>
          </w:p>
        </w:tc>
        <w:tc>
          <w:tcPr>
            <w:tcW w:w="210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营业收入</w:t>
            </w:r>
          </w:p>
        </w:tc>
        <w:tc>
          <w:tcPr>
            <w:tcW w:w="1677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利润总额</w:t>
            </w:r>
          </w:p>
        </w:tc>
        <w:tc>
          <w:tcPr>
            <w:tcW w:w="1478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</w:rPr>
              <w:t>净利润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59" w:type="dxa"/>
          <w:cantSplit/>
          <w:trHeight w:val="429" w:hRule="exact"/>
          <w:jc w:val="center"/>
        </w:trPr>
        <w:tc>
          <w:tcPr>
            <w:tcW w:w="1745" w:type="dxa"/>
            <w:vMerge w:val="continue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480"/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84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</w:rPr>
              <w:t>月报表</w:t>
            </w:r>
          </w:p>
        </w:tc>
        <w:tc>
          <w:tcPr>
            <w:tcW w:w="2100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ind w:firstLine="0" w:firstLineChars="0"/>
              <w:jc w:val="center"/>
              <w:rPr>
                <w:rFonts w:ascii="宋体" w:hAnsi="宋体"/>
                <w:color w:val="auto"/>
                <w:sz w:val="21"/>
                <w:szCs w:val="21"/>
              </w:rPr>
            </w:pPr>
          </w:p>
        </w:tc>
        <w:tc>
          <w:tcPr>
            <w:tcW w:w="1677" w:type="dxa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</w:tcPr>
          <w:p>
            <w:pPr>
              <w:ind w:firstLine="0" w:firstLineChars="0"/>
              <w:jc w:val="center"/>
              <w:rPr>
                <w:rFonts w:ascii="宋体" w:hAnsi="宋体"/>
                <w:color w:val="auto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sz w:val="21"/>
                <w:szCs w:val="21"/>
              </w:rPr>
              <w:t>-9.96</w:t>
            </w:r>
          </w:p>
        </w:tc>
        <w:tc>
          <w:tcPr>
            <w:tcW w:w="1478" w:type="dxa"/>
            <w:gridSpan w:val="2"/>
            <w:tcBorders>
              <w:top w:val="single" w:color="auto" w:sz="6" w:space="0"/>
              <w:bottom w:val="single" w:color="auto" w:sz="6" w:space="0"/>
            </w:tcBorders>
            <w:shd w:val="clear" w:color="auto" w:fill="FFFFFF"/>
          </w:tcPr>
          <w:p>
            <w:pPr>
              <w:ind w:firstLine="0" w:firstLineChars="0"/>
              <w:jc w:val="center"/>
              <w:rPr>
                <w:rFonts w:ascii="宋体" w:hAnsi="宋体"/>
                <w:color w:val="auto"/>
                <w:sz w:val="21"/>
                <w:szCs w:val="21"/>
              </w:rPr>
            </w:pPr>
            <w:r>
              <w:rPr>
                <w:rFonts w:ascii="宋体" w:hAnsi="宋体" w:cs="宋体"/>
                <w:color w:val="auto"/>
                <w:sz w:val="21"/>
                <w:szCs w:val="21"/>
              </w:rPr>
              <w:t>-9.96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9" w:type="dxa"/>
          <w:trHeight w:val="557" w:hRule="atLeast"/>
          <w:jc w:val="center"/>
        </w:trPr>
        <w:tc>
          <w:tcPr>
            <w:tcW w:w="2013" w:type="dxa"/>
            <w:gridSpan w:val="3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ascii="仿宋_GB2312" w:eastAsia="仿宋_GB2312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 w:val="21"/>
                <w:szCs w:val="21"/>
              </w:rPr>
              <w:t>中介机构</w:t>
            </w:r>
          </w:p>
        </w:tc>
        <w:tc>
          <w:tcPr>
            <w:tcW w:w="2820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仿宋_GB2312" w:eastAsia="仿宋_GB2312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 w:val="21"/>
                <w:szCs w:val="21"/>
              </w:rPr>
              <w:t>律 师 事 务 所</w:t>
            </w:r>
          </w:p>
        </w:tc>
        <w:tc>
          <w:tcPr>
            <w:tcW w:w="4007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ascii="仿宋_GB2312" w:eastAsia="仿宋_GB2312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锦天城律师事务所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9" w:type="dxa"/>
          <w:trHeight w:val="529" w:hRule="atLeast"/>
          <w:jc w:val="center"/>
        </w:trPr>
        <w:tc>
          <w:tcPr>
            <w:tcW w:w="2013" w:type="dxa"/>
            <w:gridSpan w:val="3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ascii="仿宋_GB2312" w:eastAsia="仿宋_GB2312"/>
                <w:b/>
                <w:color w:val="auto"/>
                <w:sz w:val="21"/>
                <w:szCs w:val="21"/>
              </w:rPr>
            </w:pPr>
          </w:p>
        </w:tc>
        <w:tc>
          <w:tcPr>
            <w:tcW w:w="2820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仿宋_GB2312" w:eastAsia="仿宋_GB2312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 w:val="21"/>
                <w:szCs w:val="21"/>
              </w:rPr>
              <w:t>会 计 师 事 务 所</w:t>
            </w:r>
          </w:p>
        </w:tc>
        <w:tc>
          <w:tcPr>
            <w:tcW w:w="4007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ascii="仿宋_GB2312" w:eastAsia="仿宋_GB2312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天健会计师事务所（特殊普通合伙）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9" w:type="dxa"/>
          <w:trHeight w:val="492" w:hRule="atLeast"/>
          <w:jc w:val="center"/>
        </w:trPr>
        <w:tc>
          <w:tcPr>
            <w:tcW w:w="2013" w:type="dxa"/>
            <w:gridSpan w:val="3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ascii="仿宋_GB2312" w:eastAsia="仿宋_GB2312"/>
                <w:b/>
                <w:color w:val="auto"/>
                <w:sz w:val="21"/>
                <w:szCs w:val="21"/>
              </w:rPr>
            </w:pPr>
          </w:p>
        </w:tc>
        <w:tc>
          <w:tcPr>
            <w:tcW w:w="2820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仿宋_GB2312" w:eastAsia="仿宋_GB2312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 w:val="21"/>
                <w:szCs w:val="21"/>
              </w:rPr>
              <w:t>评 估 事 务 所</w:t>
            </w:r>
          </w:p>
        </w:tc>
        <w:tc>
          <w:tcPr>
            <w:tcW w:w="4007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ascii="仿宋_GB2312" w:eastAsia="仿宋_GB2312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中京民信（北京）资产评估有限公司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9" w:type="dxa"/>
          <w:trHeight w:val="572" w:hRule="atLeast"/>
          <w:jc w:val="center"/>
        </w:trPr>
        <w:tc>
          <w:tcPr>
            <w:tcW w:w="2013" w:type="dxa"/>
            <w:gridSpan w:val="3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 w:val="21"/>
                <w:szCs w:val="21"/>
              </w:rPr>
              <w:t>资产评估核准</w:t>
            </w:r>
          </w:p>
          <w:p>
            <w:pPr>
              <w:ind w:firstLine="0" w:firstLineChars="0"/>
              <w:jc w:val="center"/>
              <w:rPr>
                <w:rFonts w:ascii="仿宋_GB2312" w:eastAsia="仿宋_GB2312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 w:val="21"/>
                <w:szCs w:val="21"/>
              </w:rPr>
              <w:t>或备案情况</w:t>
            </w:r>
          </w:p>
        </w:tc>
        <w:tc>
          <w:tcPr>
            <w:tcW w:w="2820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仿宋_GB2312" w:eastAsia="仿宋_GB2312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 w:val="21"/>
                <w:szCs w:val="21"/>
              </w:rPr>
              <w:t>评 估 基 准 日</w:t>
            </w:r>
          </w:p>
        </w:tc>
        <w:tc>
          <w:tcPr>
            <w:tcW w:w="4007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ascii="仿宋_GB2312" w:eastAsia="仿宋_GB2312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201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>8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年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>4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月</w:t>
            </w:r>
            <w:r>
              <w:rPr>
                <w:rFonts w:ascii="宋体" w:hAnsi="宋体" w:cs="宋体"/>
                <w:color w:val="auto"/>
                <w:sz w:val="21"/>
                <w:szCs w:val="21"/>
              </w:rPr>
              <w:t>30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9" w:type="dxa"/>
          <w:trHeight w:val="777" w:hRule="atLeast"/>
          <w:jc w:val="center"/>
        </w:trPr>
        <w:tc>
          <w:tcPr>
            <w:tcW w:w="2013" w:type="dxa"/>
            <w:gridSpan w:val="3"/>
            <w:vMerge w:val="continue"/>
            <w:vAlign w:val="center"/>
          </w:tcPr>
          <w:p>
            <w:pPr>
              <w:ind w:firstLine="0" w:firstLineChars="0"/>
              <w:jc w:val="center"/>
              <w:rPr>
                <w:rFonts w:ascii="仿宋_GB2312" w:eastAsia="仿宋_GB2312"/>
                <w:b/>
                <w:color w:val="auto"/>
                <w:sz w:val="21"/>
                <w:szCs w:val="21"/>
              </w:rPr>
            </w:pPr>
          </w:p>
        </w:tc>
        <w:tc>
          <w:tcPr>
            <w:tcW w:w="2820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rFonts w:ascii="仿宋_GB2312" w:eastAsia="仿宋_GB2312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color w:val="auto"/>
                <w:sz w:val="21"/>
                <w:szCs w:val="21"/>
              </w:rPr>
              <w:t>评估核准（备案）机构</w:t>
            </w:r>
          </w:p>
        </w:tc>
        <w:tc>
          <w:tcPr>
            <w:tcW w:w="4007" w:type="dxa"/>
            <w:gridSpan w:val="3"/>
            <w:vAlign w:val="center"/>
          </w:tcPr>
          <w:p>
            <w:pPr>
              <w:ind w:firstLine="0" w:firstLineChars="0"/>
              <w:jc w:val="center"/>
              <w:rPr>
                <w:rFonts w:ascii="宋体" w:hAnsi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椒江区国资局</w:t>
            </w:r>
          </w:p>
          <w:p>
            <w:pPr>
              <w:ind w:firstLine="0" w:firstLineChars="0"/>
              <w:jc w:val="center"/>
              <w:rPr>
                <w:rFonts w:ascii="仿宋_GB2312" w:eastAsia="仿宋_GB2312"/>
                <w:b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t>核准□ 备案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</w:rPr>
              <w:sym w:font="Wingdings 2" w:char="0052"/>
            </w:r>
          </w:p>
        </w:tc>
      </w:tr>
    </w:tbl>
    <w:p>
      <w:pPr>
        <w:rPr>
          <w:color w:val="auto"/>
          <w:sz w:val="21"/>
          <w:szCs w:val="21"/>
        </w:rPr>
      </w:pPr>
    </w:p>
    <w:p>
      <w:pPr>
        <w:rPr>
          <w:b/>
          <w:color w:val="auto"/>
          <w:sz w:val="21"/>
          <w:szCs w:val="21"/>
        </w:rPr>
      </w:pPr>
      <w:r>
        <w:rPr>
          <w:rFonts w:hint="eastAsia"/>
          <w:b/>
          <w:color w:val="auto"/>
          <w:sz w:val="21"/>
          <w:szCs w:val="21"/>
        </w:rPr>
        <w:t>五、对意向方的要求：</w:t>
      </w:r>
    </w:p>
    <w:p>
      <w:pPr>
        <w:widowControl/>
        <w:shd w:val="clear" w:color="auto" w:fill="FFFFFF"/>
        <w:spacing w:line="375" w:lineRule="atLeast"/>
        <w:ind w:firstLine="630" w:firstLineChars="300"/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本次股权转让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预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公告发布的同时，标的公司浙江海晟药业有限公司同步发布增资项目公告（台交所挂〔2018〕30号）,竞买人资格条件、交易条件、与转让相关的其他条件以增资公告为准，本转让项目不单独接受竞买人办理受让意向登记手续，竞买人须满足“浙江海晟药业有限公司增资项目”的资格条件，并承诺接受所有增资条件，成为增资项目的意向投资方。</w:t>
      </w:r>
    </w:p>
    <w:p>
      <w:pPr>
        <w:widowControl/>
        <w:shd w:val="clear" w:color="auto" w:fill="FFFFFF"/>
        <w:spacing w:line="375" w:lineRule="atLeast"/>
        <w:jc w:val="left"/>
        <w:rPr>
          <w:rFonts w:ascii="宋体" w:hAnsi="宋体" w:eastAsia="宋体" w:cs="宋体"/>
          <w:color w:val="auto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六、信息预披露期限：201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年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11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月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日至201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年1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月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28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日。</w:t>
      </w:r>
    </w:p>
    <w:p>
      <w:pPr>
        <w:widowControl/>
        <w:shd w:val="clear" w:color="auto" w:fill="FFFFFF"/>
        <w:spacing w:line="375" w:lineRule="atLeast"/>
        <w:jc w:val="left"/>
        <w:rPr>
          <w:rFonts w:ascii="宋体" w:hAnsi="宋体" w:eastAsia="宋体" w:cs="宋体"/>
          <w:color w:val="auto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七、联系方式：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      委托方：</w:t>
      </w:r>
      <w:r>
        <w:rPr>
          <w:rFonts w:hint="eastAsia" w:ascii="宋体" w:hAnsi="宋体" w:cs="宋体"/>
          <w:bCs/>
          <w:color w:val="auto"/>
          <w:sz w:val="21"/>
          <w:szCs w:val="21"/>
        </w:rPr>
        <w:t>浙江海晟药业有限公司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         胡先生 </w:t>
      </w:r>
      <w:r>
        <w:rPr>
          <w:rFonts w:ascii="Microsoft YaHei UI" w:hAnsi="Microsoft YaHei UI" w:eastAsia="Microsoft YaHei UI"/>
          <w:color w:val="auto"/>
          <w:sz w:val="21"/>
          <w:szCs w:val="21"/>
          <w:shd w:val="clear" w:color="auto" w:fill="FFFFFF"/>
        </w:rPr>
        <w:t>0576-88827811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br w:type="textWrapping"/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      产交所：潘女士 0576-88685180</w:t>
      </w:r>
    </w:p>
    <w:p>
      <w:pPr>
        <w:rPr>
          <w:color w:val="auto"/>
          <w:sz w:val="21"/>
          <w:szCs w:val="21"/>
        </w:rPr>
      </w:pPr>
    </w:p>
    <w:p>
      <w:pPr>
        <w:rPr>
          <w:color w:val="auto"/>
          <w:sz w:val="21"/>
          <w:szCs w:val="21"/>
        </w:rPr>
      </w:pPr>
    </w:p>
    <w:p>
      <w:pPr>
        <w:rPr>
          <w:color w:val="auto"/>
          <w:sz w:val="21"/>
          <w:szCs w:val="21"/>
        </w:rPr>
      </w:pPr>
    </w:p>
    <w:p>
      <w:pPr>
        <w:rPr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 xml:space="preserve">                                                     台州市产权交易所有限公司</w:t>
      </w:r>
    </w:p>
    <w:p>
      <w:pPr>
        <w:rPr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 xml:space="preserve">                                                      二O一</w:t>
      </w:r>
      <w:r>
        <w:rPr>
          <w:rFonts w:hint="eastAsia"/>
          <w:color w:val="auto"/>
          <w:sz w:val="21"/>
          <w:szCs w:val="21"/>
          <w:lang w:val="en-US" w:eastAsia="zh-CN"/>
        </w:rPr>
        <w:t>八</w:t>
      </w:r>
      <w:r>
        <w:rPr>
          <w:rFonts w:hint="eastAsia"/>
          <w:color w:val="auto"/>
          <w:sz w:val="21"/>
          <w:szCs w:val="21"/>
        </w:rPr>
        <w:t>年十</w:t>
      </w:r>
      <w:r>
        <w:rPr>
          <w:rFonts w:hint="eastAsia"/>
          <w:color w:val="auto"/>
          <w:sz w:val="21"/>
          <w:szCs w:val="21"/>
          <w:lang w:val="en-US" w:eastAsia="zh-CN"/>
        </w:rPr>
        <w:t>一</w:t>
      </w:r>
      <w:r>
        <w:rPr>
          <w:rFonts w:hint="eastAsia"/>
          <w:color w:val="auto"/>
          <w:sz w:val="21"/>
          <w:szCs w:val="21"/>
        </w:rPr>
        <w:t>月</w:t>
      </w:r>
      <w:r>
        <w:rPr>
          <w:rFonts w:hint="eastAsia"/>
          <w:color w:val="auto"/>
          <w:sz w:val="21"/>
          <w:szCs w:val="21"/>
          <w:lang w:val="en-US" w:eastAsia="zh-CN"/>
        </w:rPr>
        <w:t>一</w:t>
      </w:r>
      <w:r>
        <w:rPr>
          <w:rFonts w:hint="eastAsia"/>
          <w:color w:val="auto"/>
          <w:sz w:val="21"/>
          <w:szCs w:val="21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icrosoft YaHei UI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4F"/>
    <w:rsid w:val="000535BF"/>
    <w:rsid w:val="00132367"/>
    <w:rsid w:val="002621C1"/>
    <w:rsid w:val="002B2CFB"/>
    <w:rsid w:val="002B42D0"/>
    <w:rsid w:val="003323A1"/>
    <w:rsid w:val="003564DE"/>
    <w:rsid w:val="003A16FE"/>
    <w:rsid w:val="003F6107"/>
    <w:rsid w:val="004E534F"/>
    <w:rsid w:val="004F7557"/>
    <w:rsid w:val="00520D60"/>
    <w:rsid w:val="0056777E"/>
    <w:rsid w:val="00656C3B"/>
    <w:rsid w:val="006C635E"/>
    <w:rsid w:val="00763140"/>
    <w:rsid w:val="00812E31"/>
    <w:rsid w:val="00841E82"/>
    <w:rsid w:val="008528E9"/>
    <w:rsid w:val="00A70CA8"/>
    <w:rsid w:val="00A73B7E"/>
    <w:rsid w:val="00AB60D2"/>
    <w:rsid w:val="00B53E30"/>
    <w:rsid w:val="00CA52D9"/>
    <w:rsid w:val="00D91B2D"/>
    <w:rsid w:val="00E16DAE"/>
    <w:rsid w:val="00EA0A38"/>
    <w:rsid w:val="00F6332E"/>
    <w:rsid w:val="024D7E92"/>
    <w:rsid w:val="064F7FDE"/>
    <w:rsid w:val="06C5747D"/>
    <w:rsid w:val="0C81047F"/>
    <w:rsid w:val="0D9C4D61"/>
    <w:rsid w:val="14016919"/>
    <w:rsid w:val="1A513B39"/>
    <w:rsid w:val="1C084A26"/>
    <w:rsid w:val="29470C4B"/>
    <w:rsid w:val="33213B3F"/>
    <w:rsid w:val="332E57CA"/>
    <w:rsid w:val="35961721"/>
    <w:rsid w:val="390C2EA7"/>
    <w:rsid w:val="432B4270"/>
    <w:rsid w:val="46BD3797"/>
    <w:rsid w:val="471177D3"/>
    <w:rsid w:val="496D2154"/>
    <w:rsid w:val="4FF409EF"/>
    <w:rsid w:val="53EB7888"/>
    <w:rsid w:val="5A6273EF"/>
    <w:rsid w:val="5AE75217"/>
    <w:rsid w:val="6A70611C"/>
    <w:rsid w:val="6B156F51"/>
    <w:rsid w:val="71186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217</Words>
  <Characters>1239</Characters>
  <Lines>10</Lines>
  <Paragraphs>2</Paragraphs>
  <TotalTime>0</TotalTime>
  <ScaleCrop>false</ScaleCrop>
  <LinksUpToDate>false</LinksUpToDate>
  <CharactersWithSpaces>1454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2016-12-20T03:04:00Z</dcterms:created>
  <dc:creator>china</dc:creator>
  <cp:lastModifiedBy>多年以后</cp:lastModifiedBy>
  <dcterms:modified xsi:type="dcterms:W3CDTF">2018-10-31T10:13:33Z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