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（预披露项目）浙江海正宣泰医药有限公司51%股权</w:t>
      </w: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转让项目</w:t>
      </w:r>
    </w:p>
    <w:p>
      <w:pPr>
        <w:rPr>
          <w:b/>
          <w:szCs w:val="21"/>
        </w:rPr>
      </w:pPr>
    </w:p>
    <w:p>
      <w:pPr>
        <w:rPr>
          <w:b/>
          <w:szCs w:val="21"/>
        </w:rPr>
      </w:pPr>
      <w:r>
        <w:rPr>
          <w:rFonts w:hint="eastAsia"/>
          <w:b/>
          <w:szCs w:val="21"/>
        </w:rPr>
        <w:t>一、转让标的基本情况</w:t>
      </w:r>
    </w:p>
    <w:p>
      <w:pPr>
        <w:ind w:firstLine="420" w:firstLineChars="200"/>
        <w:rPr>
          <w:bCs/>
          <w:szCs w:val="21"/>
        </w:rPr>
      </w:pPr>
      <w:bookmarkStart w:id="0" w:name="_Hlk12373269"/>
      <w:bookmarkStart w:id="1" w:name="_Hlk12372237"/>
      <w:r>
        <w:rPr>
          <w:rFonts w:hint="eastAsia"/>
          <w:bCs/>
          <w:szCs w:val="21"/>
        </w:rPr>
        <w:t>浙江海正宣泰医药有限公司（下称“海正宣泰”）是一家专注于药物技术研发的公司。组建于2013年9月，注册资本1000万元，统一社会信用代码为913301833219432960，法定代表人慈晓红；经营范围：</w:t>
      </w:r>
      <w:bookmarkEnd w:id="0"/>
      <w:r>
        <w:rPr>
          <w:rFonts w:hint="eastAsia"/>
          <w:bCs/>
          <w:szCs w:val="21"/>
        </w:rPr>
        <w:t>药品的技术开发、技术成果转让、技术咨询及技术服务；货物及技术进出口服务（法律、行政法规禁止经营的项目除外，法律、行政法规限制经营的项目取得许可证后方可经营）。</w:t>
      </w:r>
    </w:p>
    <w:p>
      <w:pPr>
        <w:ind w:firstLine="420" w:firstLineChars="200"/>
        <w:rPr>
          <w:bCs/>
          <w:szCs w:val="21"/>
        </w:rPr>
      </w:pPr>
    </w:p>
    <w:bookmarkEnd w:id="1"/>
    <w:p>
      <w:pPr>
        <w:rPr>
          <w:b/>
          <w:szCs w:val="21"/>
        </w:rPr>
      </w:pPr>
      <w:r>
        <w:rPr>
          <w:rFonts w:hint="eastAsia"/>
          <w:b/>
          <w:szCs w:val="21"/>
        </w:rPr>
        <w:t>二、转让标的企业的股东结构</w:t>
      </w:r>
    </w:p>
    <w:tbl>
      <w:tblPr>
        <w:tblStyle w:val="9"/>
        <w:tblW w:w="8062" w:type="dxa"/>
        <w:tblInd w:w="0" w:type="dxa"/>
        <w:tblBorders>
          <w:top w:val="single" w:color="BEBEBE" w:themeColor="background1" w:themeShade="BF" w:sz="4" w:space="0"/>
          <w:left w:val="single" w:color="BEBEBE" w:themeColor="background1" w:themeShade="BF" w:sz="4" w:space="0"/>
          <w:bottom w:val="single" w:color="BEBEBE" w:themeColor="background1" w:themeShade="BF" w:sz="4" w:space="0"/>
          <w:right w:val="single" w:color="BEBEBE" w:themeColor="background1" w:themeShade="BF" w:sz="4" w:space="0"/>
          <w:insideH w:val="single" w:color="BEBEBE" w:themeColor="background1" w:themeShade="BF" w:sz="4" w:space="0"/>
          <w:insideV w:val="single" w:color="BEBEBE" w:themeColor="background1" w:themeShade="B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1902"/>
        <w:gridCol w:w="1442"/>
        <w:gridCol w:w="2776"/>
      </w:tblGrid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06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股东持股情况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9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股 东 名 称</w:t>
            </w:r>
          </w:p>
        </w:tc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股东类型</w:t>
            </w:r>
          </w:p>
        </w:tc>
        <w:tc>
          <w:tcPr>
            <w:tcW w:w="14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持股比例</w:t>
            </w:r>
          </w:p>
        </w:tc>
        <w:tc>
          <w:tcPr>
            <w:tcW w:w="27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出资方式及出资数额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9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海正药业（杭州）有限公司</w:t>
            </w:r>
          </w:p>
        </w:tc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法人</w:t>
            </w:r>
          </w:p>
        </w:tc>
        <w:tc>
          <w:tcPr>
            <w:tcW w:w="14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51%</w:t>
            </w:r>
          </w:p>
        </w:tc>
        <w:tc>
          <w:tcPr>
            <w:tcW w:w="27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货币出资510万元</w:t>
            </w:r>
          </w:p>
        </w:tc>
      </w:tr>
      <w:tr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9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上海宣泰医药科技有限公司</w:t>
            </w:r>
          </w:p>
        </w:tc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法人</w:t>
            </w:r>
          </w:p>
        </w:tc>
        <w:tc>
          <w:tcPr>
            <w:tcW w:w="14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49%</w:t>
            </w:r>
          </w:p>
        </w:tc>
        <w:tc>
          <w:tcPr>
            <w:tcW w:w="27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货币出资490万元</w:t>
            </w:r>
          </w:p>
        </w:tc>
      </w:tr>
    </w:tbl>
    <w:p>
      <w:pPr>
        <w:rPr>
          <w:rFonts w:ascii="宋体" w:hAnsi="宋体" w:cs="宋体"/>
          <w:b/>
          <w:szCs w:val="21"/>
        </w:rPr>
      </w:pPr>
    </w:p>
    <w:p>
      <w:pPr>
        <w:rPr>
          <w:szCs w:val="21"/>
        </w:rPr>
      </w:pPr>
      <w:r>
        <w:rPr>
          <w:rFonts w:hint="eastAsia" w:ascii="宋体" w:hAnsi="宋体" w:cs="宋体"/>
          <w:b/>
          <w:szCs w:val="21"/>
        </w:rPr>
        <w:t>三、产权转让行为的内部决策及批准情况</w:t>
      </w:r>
    </w:p>
    <w:p>
      <w:pPr>
        <w:rPr>
          <w:szCs w:val="21"/>
        </w:rPr>
      </w:pPr>
      <w:r>
        <w:rPr>
          <w:rFonts w:hint="eastAsia"/>
          <w:szCs w:val="21"/>
        </w:rPr>
        <w:t>内部决策：本次股权转让行为已经必要的内部决策和批准程序，</w:t>
      </w:r>
      <w:bookmarkStart w:id="2" w:name="待定03"/>
      <w:r>
        <w:rPr>
          <w:rFonts w:hint="eastAsia"/>
          <w:szCs w:val="21"/>
        </w:rPr>
        <w:t>本次转让行为已经海正药业董事会审议批准。</w:t>
      </w:r>
      <w:bookmarkEnd w:id="2"/>
    </w:p>
    <w:p>
      <w:pPr>
        <w:rPr>
          <w:szCs w:val="21"/>
        </w:rPr>
      </w:pPr>
      <w:r>
        <w:rPr>
          <w:rFonts w:hint="eastAsia"/>
          <w:szCs w:val="21"/>
        </w:rPr>
        <w:t>批准单位名称：</w:t>
      </w:r>
      <w:r>
        <w:rPr>
          <w:rFonts w:hint="eastAsia" w:ascii="宋体" w:hAnsi="宋体" w:cs="宋体"/>
        </w:rPr>
        <w:t>浙江海正药业股份有限公司董事会</w:t>
      </w:r>
    </w:p>
    <w:p>
      <w:pPr>
        <w:ind w:left="1365" w:hanging="1365" w:hangingChars="650"/>
        <w:rPr>
          <w:rFonts w:ascii="宋体" w:hAnsi="宋体" w:cs="宋体"/>
        </w:rPr>
      </w:pPr>
      <w:r>
        <w:rPr>
          <w:rFonts w:hint="eastAsia" w:ascii="宋体" w:hAnsi="宋体" w:cs="宋体"/>
        </w:rPr>
        <w:t>出资监管单位名称：浙江海正药业股份有限公司</w:t>
      </w:r>
    </w:p>
    <w:p>
      <w:pPr>
        <w:ind w:left="1365" w:hanging="1365" w:hangingChars="650"/>
        <w:rPr>
          <w:rFonts w:ascii="宋体" w:hAnsi="宋体" w:cs="宋体"/>
        </w:rPr>
      </w:pPr>
    </w:p>
    <w:p>
      <w:pPr>
        <w:numPr>
          <w:ilvl w:val="0"/>
          <w:numId w:val="1"/>
        </w:numPr>
        <w:rPr>
          <w:b/>
          <w:szCs w:val="21"/>
        </w:rPr>
      </w:pPr>
      <w:r>
        <w:rPr>
          <w:rFonts w:hint="eastAsia"/>
          <w:b/>
          <w:szCs w:val="21"/>
        </w:rPr>
        <w:t>最近年度财务指标：</w:t>
      </w:r>
    </w:p>
    <w:tbl>
      <w:tblPr>
        <w:tblStyle w:val="5"/>
        <w:tblW w:w="9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1"/>
        <w:gridCol w:w="1840"/>
        <w:gridCol w:w="1862"/>
        <w:gridCol w:w="1701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96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主要财务指标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（单位：人民币元）</w:t>
            </w:r>
          </w:p>
        </w:tc>
        <w:tc>
          <w:tcPr>
            <w:tcW w:w="7095" w:type="dxa"/>
            <w:gridSpan w:val="4"/>
            <w:vAlign w:val="center"/>
          </w:tcPr>
          <w:p>
            <w:pPr>
              <w:ind w:firstLine="48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以下数据出自2019年1-8月审计报告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961" w:type="dxa"/>
            <w:vMerge w:val="continue"/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0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年度日期</w:t>
            </w:r>
          </w:p>
        </w:tc>
        <w:tc>
          <w:tcPr>
            <w:tcW w:w="186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资产总计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负债总计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所有者权益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961" w:type="dxa"/>
            <w:vMerge w:val="continue"/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2019.8.31</w:t>
            </w:r>
          </w:p>
        </w:tc>
        <w:tc>
          <w:tcPr>
            <w:tcW w:w="1862" w:type="dxa"/>
            <w:vAlign w:val="center"/>
          </w:tcPr>
          <w:p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40,088,919.13</w:t>
            </w:r>
          </w:p>
        </w:tc>
        <w:tc>
          <w:tcPr>
            <w:tcW w:w="1701" w:type="dxa"/>
            <w:vAlign w:val="center"/>
          </w:tcPr>
          <w:p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60,522,569.63</w:t>
            </w:r>
          </w:p>
        </w:tc>
        <w:tc>
          <w:tcPr>
            <w:tcW w:w="1692" w:type="dxa"/>
            <w:vAlign w:val="center"/>
          </w:tcPr>
          <w:p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-20,433,650.50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961" w:type="dxa"/>
            <w:vMerge w:val="continue"/>
            <w:shd w:val="clear" w:color="auto" w:fill="auto"/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  <w:u w:val="single"/>
              </w:rPr>
            </w:pPr>
          </w:p>
        </w:tc>
        <w:tc>
          <w:tcPr>
            <w:tcW w:w="186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营业收入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利润总额</w:t>
            </w:r>
          </w:p>
        </w:tc>
        <w:tc>
          <w:tcPr>
            <w:tcW w:w="169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净利润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961" w:type="dxa"/>
            <w:vMerge w:val="continue"/>
            <w:shd w:val="clear" w:color="auto" w:fill="auto"/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  <w:u w:val="single"/>
              </w:rPr>
            </w:pPr>
          </w:p>
        </w:tc>
        <w:tc>
          <w:tcPr>
            <w:tcW w:w="1862" w:type="dxa"/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-1,200,567.32</w:t>
            </w:r>
          </w:p>
        </w:tc>
        <w:tc>
          <w:tcPr>
            <w:tcW w:w="1692" w:type="dxa"/>
            <w:shd w:val="clear" w:color="auto" w:fill="FFFFFF"/>
            <w:vAlign w:val="center"/>
          </w:tcPr>
          <w:p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-1,200,567.32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961" w:type="dxa"/>
            <w:vMerge w:val="continue"/>
            <w:shd w:val="clear" w:color="auto" w:fill="auto"/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审计机构</w:t>
            </w:r>
          </w:p>
        </w:tc>
        <w:tc>
          <w:tcPr>
            <w:tcW w:w="5255" w:type="dxa"/>
            <w:gridSpan w:val="3"/>
            <w:shd w:val="clear" w:color="auto" w:fill="FFFFFF"/>
            <w:vAlign w:val="center"/>
          </w:tcPr>
          <w:p>
            <w:pPr>
              <w:ind w:firstLine="420" w:firstLineChars="20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中兴财光华会计师事务所（特殊普通合伙）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961" w:type="dxa"/>
            <w:vMerge w:val="continue"/>
            <w:shd w:val="clear" w:color="auto" w:fill="auto"/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095" w:type="dxa"/>
            <w:gridSpan w:val="4"/>
            <w:shd w:val="clear" w:color="auto" w:fill="FFFFFF"/>
            <w:vAlign w:val="center"/>
          </w:tcPr>
          <w:p>
            <w:pPr>
              <w:ind w:firstLine="422" w:firstLineChars="20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以下数据出自企业财务报表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961" w:type="dxa"/>
            <w:vMerge w:val="continue"/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报表日期</w:t>
            </w:r>
          </w:p>
        </w:tc>
        <w:tc>
          <w:tcPr>
            <w:tcW w:w="186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资产总计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负债总计</w:t>
            </w:r>
          </w:p>
        </w:tc>
        <w:tc>
          <w:tcPr>
            <w:tcW w:w="169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所有者权益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961" w:type="dxa"/>
            <w:vMerge w:val="continue"/>
            <w:shd w:val="clear" w:color="auto" w:fill="auto"/>
            <w:vAlign w:val="center"/>
          </w:tcPr>
          <w:p>
            <w:pPr>
              <w:ind w:firstLine="480"/>
              <w:rPr>
                <w:rFonts w:ascii="宋体" w:hAnsi="宋体"/>
                <w:szCs w:val="21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2019.8.31</w:t>
            </w:r>
          </w:p>
        </w:tc>
        <w:tc>
          <w:tcPr>
            <w:tcW w:w="1862" w:type="dxa"/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40,088,919.13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60,522,569.63</w:t>
            </w:r>
          </w:p>
        </w:tc>
        <w:tc>
          <w:tcPr>
            <w:tcW w:w="1692" w:type="dxa"/>
            <w:shd w:val="clear" w:color="auto" w:fill="FFFFFF"/>
            <w:vAlign w:val="center"/>
          </w:tcPr>
          <w:p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-20,433,650.50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961" w:type="dxa"/>
            <w:vMerge w:val="continue"/>
            <w:shd w:val="clear" w:color="auto" w:fill="auto"/>
            <w:vAlign w:val="center"/>
          </w:tcPr>
          <w:p>
            <w:pPr>
              <w:ind w:firstLine="480"/>
              <w:rPr>
                <w:rFonts w:ascii="宋体" w:hAnsi="宋体"/>
                <w:szCs w:val="21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报表类型</w:t>
            </w:r>
          </w:p>
        </w:tc>
        <w:tc>
          <w:tcPr>
            <w:tcW w:w="186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营业收入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利润总额</w:t>
            </w:r>
          </w:p>
        </w:tc>
        <w:tc>
          <w:tcPr>
            <w:tcW w:w="169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净利润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961" w:type="dxa"/>
            <w:vMerge w:val="continue"/>
            <w:shd w:val="clear" w:color="auto" w:fill="auto"/>
            <w:vAlign w:val="center"/>
          </w:tcPr>
          <w:p>
            <w:pPr>
              <w:ind w:firstLine="480"/>
              <w:rPr>
                <w:rFonts w:ascii="宋体" w:hAnsi="宋体"/>
                <w:szCs w:val="21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中期报表</w:t>
            </w:r>
          </w:p>
        </w:tc>
        <w:tc>
          <w:tcPr>
            <w:tcW w:w="1862" w:type="dxa"/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-1,200,567.32</w:t>
            </w:r>
          </w:p>
        </w:tc>
        <w:tc>
          <w:tcPr>
            <w:tcW w:w="1692" w:type="dxa"/>
            <w:shd w:val="clear" w:color="auto" w:fill="FFFFFF"/>
            <w:vAlign w:val="center"/>
          </w:tcPr>
          <w:p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-1,200,567.32</w:t>
            </w:r>
          </w:p>
        </w:tc>
      </w:tr>
    </w:tbl>
    <w:p>
      <w:pPr>
        <w:jc w:val="center"/>
        <w:rPr>
          <w:rFonts w:ascii="宋体" w:hAnsi="宋体" w:cs="宋体"/>
          <w:szCs w:val="21"/>
        </w:rPr>
      </w:pPr>
    </w:p>
    <w:p>
      <w:pPr>
        <w:rPr>
          <w:szCs w:val="21"/>
        </w:rPr>
      </w:pPr>
    </w:p>
    <w:tbl>
      <w:tblPr>
        <w:tblStyle w:val="5"/>
        <w:tblpPr w:leftFromText="180" w:rightFromText="180" w:vertAnchor="text" w:horzAnchor="page" w:tblpX="1449" w:tblpY="308"/>
        <w:tblOverlap w:val="never"/>
        <w:tblW w:w="9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3501"/>
        <w:gridCol w:w="4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89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bookmarkStart w:id="3" w:name="待定22" w:colFirst="1" w:colLast="2"/>
            <w:r>
              <w:rPr>
                <w:rFonts w:hint="eastAsia" w:ascii="宋体" w:hAnsi="宋体" w:cs="宋体"/>
                <w:b/>
                <w:szCs w:val="21"/>
              </w:rPr>
              <w:t>中介机构</w:t>
            </w:r>
          </w:p>
        </w:tc>
        <w:tc>
          <w:tcPr>
            <w:tcW w:w="3501" w:type="dxa"/>
            <w:vAlign w:val="center"/>
          </w:tcPr>
          <w:p>
            <w:pPr>
              <w:ind w:firstLine="422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律 师 事 务 所</w:t>
            </w:r>
          </w:p>
        </w:tc>
        <w:tc>
          <w:tcPr>
            <w:tcW w:w="4350" w:type="dxa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北京康达（杭州）律师事务所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89" w:type="dxa"/>
            <w:vMerge w:val="continue"/>
            <w:vAlign w:val="center"/>
          </w:tcPr>
          <w:p>
            <w:pPr>
              <w:ind w:firstLine="422"/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3501" w:type="dxa"/>
            <w:vAlign w:val="center"/>
          </w:tcPr>
          <w:p>
            <w:pPr>
              <w:ind w:firstLine="422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会 计 师 事 务 所</w:t>
            </w:r>
          </w:p>
        </w:tc>
        <w:tc>
          <w:tcPr>
            <w:tcW w:w="435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中兴财光华会计师事务所（特殊普通合伙）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89" w:type="dxa"/>
            <w:vMerge w:val="continue"/>
            <w:vAlign w:val="center"/>
          </w:tcPr>
          <w:p>
            <w:pPr>
              <w:ind w:firstLine="422"/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3501" w:type="dxa"/>
            <w:vAlign w:val="center"/>
          </w:tcPr>
          <w:p>
            <w:pPr>
              <w:ind w:firstLine="422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评 估 事 务 所</w:t>
            </w:r>
          </w:p>
        </w:tc>
        <w:tc>
          <w:tcPr>
            <w:tcW w:w="435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银信资产评估有限公司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89" w:type="dxa"/>
            <w:vMerge w:val="continue"/>
            <w:vAlign w:val="center"/>
          </w:tcPr>
          <w:p>
            <w:pPr>
              <w:ind w:firstLine="422"/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3501" w:type="dxa"/>
            <w:vAlign w:val="center"/>
          </w:tcPr>
          <w:p>
            <w:pPr>
              <w:ind w:firstLine="422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评 估 基 准 日</w:t>
            </w:r>
          </w:p>
        </w:tc>
        <w:tc>
          <w:tcPr>
            <w:tcW w:w="4350" w:type="dxa"/>
            <w:vAlign w:val="center"/>
          </w:tcPr>
          <w:p>
            <w:pPr>
              <w:ind w:firstLine="42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2019年8月31日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89" w:type="dxa"/>
            <w:vMerge w:val="continue"/>
            <w:vAlign w:val="center"/>
          </w:tcPr>
          <w:p>
            <w:pPr>
              <w:ind w:firstLine="422"/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3501" w:type="dxa"/>
            <w:vAlign w:val="center"/>
          </w:tcPr>
          <w:p>
            <w:pPr>
              <w:ind w:firstLine="422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评估核准（备案）机构</w:t>
            </w:r>
          </w:p>
        </w:tc>
        <w:tc>
          <w:tcPr>
            <w:tcW w:w="4350" w:type="dxa"/>
            <w:vAlign w:val="center"/>
          </w:tcPr>
          <w:p>
            <w:pPr>
              <w:ind w:firstLine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台州市椒江区国资委</w:t>
            </w:r>
          </w:p>
          <w:p>
            <w:pPr>
              <w:ind w:firstLine="42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核准□  备案</w:t>
            </w:r>
            <w:r>
              <w:rPr>
                <w:rFonts w:hint="eastAsia" w:ascii="宋体" w:hAnsi="宋体" w:cs="宋体"/>
                <w:szCs w:val="21"/>
              </w:rPr>
              <w:sym w:font="Wingdings 2" w:char="0052"/>
            </w:r>
          </w:p>
        </w:tc>
      </w:tr>
    </w:tbl>
    <w:p>
      <w:pPr>
        <w:rPr>
          <w:szCs w:val="21"/>
        </w:rPr>
      </w:pPr>
    </w:p>
    <w:p>
      <w:pPr>
        <w:rPr>
          <w:b/>
          <w:szCs w:val="21"/>
        </w:rPr>
      </w:pPr>
      <w:r>
        <w:rPr>
          <w:rFonts w:hint="eastAsia"/>
          <w:b/>
          <w:szCs w:val="21"/>
        </w:rPr>
        <w:t>五、对意向方的要求：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 w:eastAsia="宋体" w:cs="宋体"/>
          <w:kern w:val="0"/>
          <w:szCs w:val="21"/>
        </w:rPr>
        <w:t>（1）</w:t>
      </w:r>
      <w:bookmarkStart w:id="4" w:name="_Hlk9530446"/>
      <w:bookmarkStart w:id="5" w:name="_Hlk497643561"/>
      <w:bookmarkStart w:id="6" w:name="_Hlk9510541"/>
      <w:r>
        <w:rPr>
          <w:rFonts w:hint="eastAsia" w:ascii="宋体" w:hAnsi="宋体" w:eastAsia="宋体" w:cs="宋体"/>
          <w:kern w:val="0"/>
          <w:szCs w:val="21"/>
        </w:rPr>
        <w:t>具有良好的商业信用及支付能力的境内外企业或其他组织。</w:t>
      </w:r>
    </w:p>
    <w:bookmarkEnd w:id="4"/>
    <w:bookmarkEnd w:id="5"/>
    <w:bookmarkEnd w:id="6"/>
    <w:p>
      <w:pPr>
        <w:widowControl/>
        <w:shd w:val="clear" w:color="auto" w:fill="FFFFFF"/>
        <w:spacing w:line="375" w:lineRule="atLeast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（2）意向投资者承诺海正宣泰继续履行已签订的重大合同，包括盐酸二甲双胍缓释片、富马酸喹硫平缓释片2个药品文号转让协议等。</w:t>
      </w:r>
      <w:bookmarkStart w:id="7" w:name="_GoBack"/>
      <w:bookmarkEnd w:id="7"/>
    </w:p>
    <w:p>
      <w:pPr>
        <w:widowControl/>
        <w:shd w:val="clear" w:color="auto" w:fill="FFFFFF"/>
        <w:spacing w:line="375" w:lineRule="atLeast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（3）本项目不接受联合体摘牌。</w:t>
      </w:r>
    </w:p>
    <w:p>
      <w:pPr>
        <w:widowControl/>
        <w:shd w:val="clear" w:color="auto" w:fill="FFFFFF"/>
        <w:spacing w:line="375" w:lineRule="atLeast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kern w:val="0"/>
          <w:szCs w:val="21"/>
        </w:rPr>
        <w:t>六、信息预披露期限：</w:t>
      </w:r>
      <w:r>
        <w:rPr>
          <w:rFonts w:hint="eastAsia" w:ascii="宋体" w:hAnsi="宋体" w:eastAsia="宋体" w:cs="宋体"/>
          <w:kern w:val="0"/>
          <w:szCs w:val="21"/>
        </w:rPr>
        <w:t>2019年10月31日至2019年11月27日。</w:t>
      </w:r>
    </w:p>
    <w:p>
      <w:pPr>
        <w:widowControl/>
        <w:shd w:val="clear" w:color="auto" w:fill="FFFFFF"/>
        <w:spacing w:line="375" w:lineRule="atLeast"/>
        <w:jc w:val="left"/>
        <w:rPr>
          <w:rFonts w:ascii="宋体" w:hAnsi="宋体" w:eastAsia="宋体" w:cs="宋体"/>
          <w:b/>
          <w:bCs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kern w:val="0"/>
          <w:szCs w:val="21"/>
        </w:rPr>
        <w:t>七、联系方式：</w:t>
      </w:r>
    </w:p>
    <w:p>
      <w:pPr>
        <w:widowControl/>
        <w:shd w:val="clear" w:color="auto" w:fill="FFFFFF"/>
        <w:spacing w:line="375" w:lineRule="atLeast"/>
        <w:jc w:val="left"/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委托方：海正药业（杭州）有限公司</w:t>
      </w:r>
    </w:p>
    <w:p>
      <w:pPr>
        <w:widowControl/>
        <w:shd w:val="clear" w:color="auto" w:fill="FFFFFF"/>
        <w:spacing w:line="375" w:lineRule="atLeast"/>
        <w:jc w:val="left"/>
        <w:rPr>
          <w:rFonts w:hint="default" w:ascii="宋体" w:hAnsi="宋体" w:cs="宋体" w:eastAsiaTheme="minorEastAsia"/>
          <w:bCs/>
          <w:szCs w:val="21"/>
          <w:lang w:val="en-US" w:eastAsia="zh-CN"/>
        </w:rPr>
      </w:pPr>
      <w:r>
        <w:rPr>
          <w:rFonts w:hint="eastAsia" w:ascii="宋体" w:hAnsi="宋体" w:cs="宋体"/>
          <w:bCs/>
          <w:szCs w:val="21"/>
          <w:lang w:val="en-US" w:eastAsia="zh-CN"/>
        </w:rPr>
        <w:t>胡</w:t>
      </w:r>
      <w:r>
        <w:rPr>
          <w:rFonts w:hint="eastAsia" w:ascii="宋体" w:hAnsi="宋体" w:cs="宋体"/>
          <w:bCs/>
          <w:szCs w:val="21"/>
        </w:rPr>
        <w:t>先生</w:t>
      </w:r>
      <w:r>
        <w:rPr>
          <w:rFonts w:hint="eastAsia" w:ascii="宋体" w:hAnsi="宋体" w:cs="宋体"/>
          <w:bCs/>
          <w:szCs w:val="21"/>
          <w:lang w:eastAsia="zh-CN"/>
        </w:rPr>
        <w:t>：</w:t>
      </w:r>
      <w:r>
        <w:rPr>
          <w:rFonts w:hint="eastAsia" w:ascii="宋体" w:hAnsi="宋体" w:cs="宋体"/>
          <w:bCs/>
          <w:szCs w:val="21"/>
        </w:rPr>
        <w:t>0576-888278</w:t>
      </w:r>
      <w:r>
        <w:rPr>
          <w:rFonts w:hint="eastAsia" w:ascii="宋体" w:hAnsi="宋体" w:cs="宋体"/>
          <w:bCs/>
          <w:szCs w:val="21"/>
          <w:lang w:val="en-US" w:eastAsia="zh-CN"/>
        </w:rPr>
        <w:t>08</w:t>
      </w:r>
    </w:p>
    <w:p>
      <w:pPr>
        <w:widowControl/>
        <w:shd w:val="clear" w:color="auto" w:fill="FFFFFF"/>
        <w:spacing w:line="375" w:lineRule="atLeast"/>
        <w:jc w:val="left"/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产交所：潘女士0576-88685180</w:t>
      </w: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                                                     台州市产权交易所有限公司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                                                      二O一九年十月三十一日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E564CC"/>
    <w:multiLevelType w:val="singleLevel"/>
    <w:tmpl w:val="72E564C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E534F"/>
    <w:rsid w:val="000535BF"/>
    <w:rsid w:val="000E3C85"/>
    <w:rsid w:val="00132367"/>
    <w:rsid w:val="0018105B"/>
    <w:rsid w:val="002621C1"/>
    <w:rsid w:val="002B2CFB"/>
    <w:rsid w:val="002B42D0"/>
    <w:rsid w:val="00303D83"/>
    <w:rsid w:val="003323A1"/>
    <w:rsid w:val="00345E2A"/>
    <w:rsid w:val="00347CB7"/>
    <w:rsid w:val="003564DE"/>
    <w:rsid w:val="00383F69"/>
    <w:rsid w:val="003A16FE"/>
    <w:rsid w:val="003C5C72"/>
    <w:rsid w:val="003F6107"/>
    <w:rsid w:val="004A404D"/>
    <w:rsid w:val="004E534F"/>
    <w:rsid w:val="004F1776"/>
    <w:rsid w:val="004F7557"/>
    <w:rsid w:val="00520D60"/>
    <w:rsid w:val="0056777E"/>
    <w:rsid w:val="00582667"/>
    <w:rsid w:val="005A28F5"/>
    <w:rsid w:val="00656C3B"/>
    <w:rsid w:val="0068625E"/>
    <w:rsid w:val="006C635E"/>
    <w:rsid w:val="006F4B3F"/>
    <w:rsid w:val="00763140"/>
    <w:rsid w:val="00812E31"/>
    <w:rsid w:val="00841E82"/>
    <w:rsid w:val="008528E9"/>
    <w:rsid w:val="008C454F"/>
    <w:rsid w:val="00962733"/>
    <w:rsid w:val="00994B03"/>
    <w:rsid w:val="009A0EC4"/>
    <w:rsid w:val="00A47545"/>
    <w:rsid w:val="00A70CA8"/>
    <w:rsid w:val="00A73B7E"/>
    <w:rsid w:val="00AB60D2"/>
    <w:rsid w:val="00AD6D89"/>
    <w:rsid w:val="00B31224"/>
    <w:rsid w:val="00B343FA"/>
    <w:rsid w:val="00B53E30"/>
    <w:rsid w:val="00C129D0"/>
    <w:rsid w:val="00CA11C9"/>
    <w:rsid w:val="00CA52D9"/>
    <w:rsid w:val="00D22E51"/>
    <w:rsid w:val="00D435FC"/>
    <w:rsid w:val="00D448EB"/>
    <w:rsid w:val="00D91B2D"/>
    <w:rsid w:val="00DE791A"/>
    <w:rsid w:val="00E16DAE"/>
    <w:rsid w:val="00EA0A38"/>
    <w:rsid w:val="00F6332E"/>
    <w:rsid w:val="024D7E92"/>
    <w:rsid w:val="064F7FDE"/>
    <w:rsid w:val="06C5747D"/>
    <w:rsid w:val="0C81047F"/>
    <w:rsid w:val="0D9C4D61"/>
    <w:rsid w:val="14016919"/>
    <w:rsid w:val="14722AF0"/>
    <w:rsid w:val="1765333F"/>
    <w:rsid w:val="1C084A26"/>
    <w:rsid w:val="1D282DB1"/>
    <w:rsid w:val="29470C4B"/>
    <w:rsid w:val="3078466C"/>
    <w:rsid w:val="33213B3F"/>
    <w:rsid w:val="332E3F2C"/>
    <w:rsid w:val="332E57CA"/>
    <w:rsid w:val="35961721"/>
    <w:rsid w:val="390C2EA7"/>
    <w:rsid w:val="3C162802"/>
    <w:rsid w:val="407F7246"/>
    <w:rsid w:val="432B4270"/>
    <w:rsid w:val="46BD3797"/>
    <w:rsid w:val="471177D3"/>
    <w:rsid w:val="496D2154"/>
    <w:rsid w:val="4FF409EF"/>
    <w:rsid w:val="53EB7888"/>
    <w:rsid w:val="58EF616F"/>
    <w:rsid w:val="5A6273EF"/>
    <w:rsid w:val="5AE75217"/>
    <w:rsid w:val="69E75A1A"/>
    <w:rsid w:val="6A590F39"/>
    <w:rsid w:val="6A70611C"/>
    <w:rsid w:val="6B156F51"/>
    <w:rsid w:val="711869B7"/>
    <w:rsid w:val="727C6551"/>
    <w:rsid w:val="73C533B9"/>
    <w:rsid w:val="759E7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table" w:customStyle="1" w:styleId="9">
    <w:name w:val="网格型浅色1"/>
    <w:basedOn w:val="5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200</Words>
  <Characters>1144</Characters>
  <Lines>9</Lines>
  <Paragraphs>2</Paragraphs>
  <TotalTime>16</TotalTime>
  <ScaleCrop>false</ScaleCrop>
  <LinksUpToDate>false</LinksUpToDate>
  <CharactersWithSpaces>1342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2018-10-31T10:13:00Z</dcterms:created>
  <dc:creator>china</dc:creator>
  <cp:lastModifiedBy>多年以后</cp:lastModifiedBy>
  <cp:lastPrinted>2019-10-28T06:25:00Z</cp:lastPrinted>
  <dcterms:modified xsi:type="dcterms:W3CDTF">2019-10-30T23:48:54Z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