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spacing w:line="360" w:lineRule="auto"/>
        <w:jc w:val="center"/>
        <w:rPr>
          <w:rFonts w:ascii="黑体" w:eastAsia="黑体"/>
          <w:b/>
          <w:spacing w:val="4"/>
          <w:sz w:val="46"/>
          <w:szCs w:val="46"/>
          <w:highlight w:val="none"/>
        </w:rPr>
      </w:pPr>
      <w:bookmarkStart w:id="0" w:name="_Hlk527636170"/>
      <w:r>
        <w:rPr>
          <w:rFonts w:hint="eastAsia" w:ascii="黑体" w:eastAsia="黑体"/>
          <w:b/>
          <w:spacing w:val="4"/>
          <w:sz w:val="46"/>
          <w:szCs w:val="46"/>
          <w:highlight w:val="none"/>
        </w:rPr>
        <w:t>浙江海正生物材料股份有限公司</w:t>
      </w:r>
    </w:p>
    <w:p>
      <w:pPr>
        <w:spacing w:line="360" w:lineRule="auto"/>
        <w:jc w:val="center"/>
        <w:rPr>
          <w:rFonts w:hint="eastAsia" w:ascii="黑体" w:eastAsia="黑体"/>
          <w:b/>
          <w:spacing w:val="4"/>
          <w:sz w:val="46"/>
          <w:szCs w:val="46"/>
          <w:highlight w:val="none"/>
          <w:lang w:eastAsia="zh-CN"/>
        </w:rPr>
      </w:pPr>
      <w:r>
        <w:rPr>
          <w:rFonts w:hint="eastAsia" w:ascii="黑体" w:eastAsia="黑体"/>
          <w:b/>
          <w:spacing w:val="4"/>
          <w:sz w:val="46"/>
          <w:szCs w:val="46"/>
          <w:highlight w:val="none"/>
        </w:rPr>
        <w:t>新增</w:t>
      </w:r>
      <w:r>
        <w:rPr>
          <w:rFonts w:hint="eastAsia" w:ascii="黑体" w:eastAsia="黑体"/>
          <w:b/>
          <w:spacing w:val="4"/>
          <w:sz w:val="46"/>
          <w:szCs w:val="46"/>
          <w:highlight w:val="none"/>
          <w:lang w:val="en-US" w:eastAsia="zh-CN"/>
        </w:rPr>
        <w:t>10,457,516</w:t>
      </w:r>
      <w:bookmarkEnd w:id="0"/>
      <w:r>
        <w:rPr>
          <w:rFonts w:hint="eastAsia" w:ascii="黑体" w:eastAsia="黑体"/>
          <w:b/>
          <w:spacing w:val="4"/>
          <w:sz w:val="46"/>
          <w:szCs w:val="46"/>
          <w:highlight w:val="none"/>
          <w:lang w:eastAsia="zh-CN"/>
        </w:rPr>
        <w:t>股</w:t>
      </w:r>
    </w:p>
    <w:p>
      <w:pPr>
        <w:rPr>
          <w:highlight w:val="none"/>
        </w:rPr>
      </w:pPr>
    </w:p>
    <w:p>
      <w:pPr>
        <w:rPr>
          <w:highlight w:val="none"/>
        </w:rPr>
      </w:pPr>
    </w:p>
    <w:p>
      <w:pPr>
        <w:spacing w:line="360" w:lineRule="auto"/>
        <w:jc w:val="center"/>
        <w:rPr>
          <w:rFonts w:ascii="黑体" w:eastAsia="黑体"/>
          <w:b/>
          <w:spacing w:val="4"/>
          <w:sz w:val="46"/>
          <w:szCs w:val="46"/>
          <w:highlight w:val="none"/>
        </w:rPr>
      </w:pPr>
    </w:p>
    <w:p>
      <w:pPr>
        <w:spacing w:line="360" w:lineRule="auto"/>
        <w:jc w:val="center"/>
        <w:rPr>
          <w:rFonts w:ascii="黑体" w:eastAsia="黑体"/>
          <w:b/>
          <w:sz w:val="2"/>
          <w:szCs w:val="52"/>
          <w:highlight w:val="none"/>
        </w:rPr>
      </w:pPr>
    </w:p>
    <w:p>
      <w:pPr>
        <w:spacing w:line="360" w:lineRule="auto"/>
        <w:jc w:val="center"/>
        <w:rPr>
          <w:rFonts w:ascii="黑体" w:eastAsia="黑体"/>
          <w:b/>
          <w:sz w:val="68"/>
          <w:szCs w:val="52"/>
          <w:highlight w:val="none"/>
        </w:rPr>
      </w:pPr>
      <w:r>
        <w:rPr>
          <w:rFonts w:hint="eastAsia" w:ascii="黑体" w:eastAsia="黑体"/>
          <w:b/>
          <w:sz w:val="68"/>
          <w:szCs w:val="52"/>
          <w:highlight w:val="none"/>
        </w:rPr>
        <w:t>增资文件</w:t>
      </w:r>
    </w:p>
    <w:p>
      <w:pPr>
        <w:spacing w:line="360" w:lineRule="auto"/>
        <w:jc w:val="center"/>
        <w:rPr>
          <w:rFonts w:ascii="黑体" w:hAnsi="宋体" w:eastAsia="黑体"/>
          <w:b/>
          <w:sz w:val="32"/>
          <w:szCs w:val="32"/>
          <w:highlight w:val="none"/>
        </w:rPr>
      </w:pPr>
    </w:p>
    <w:p>
      <w:pPr>
        <w:spacing w:line="360" w:lineRule="auto"/>
        <w:jc w:val="center"/>
        <w:rPr>
          <w:rFonts w:ascii="黑体" w:hAnsi="宋体" w:eastAsia="黑体"/>
          <w:b/>
          <w:sz w:val="32"/>
          <w:szCs w:val="32"/>
          <w:highlight w:val="none"/>
        </w:rPr>
      </w:pPr>
    </w:p>
    <w:p>
      <w:pPr>
        <w:spacing w:line="360" w:lineRule="auto"/>
        <w:jc w:val="center"/>
        <w:rPr>
          <w:rFonts w:ascii="黑体" w:hAnsi="宋体" w:eastAsia="黑体"/>
          <w:b/>
          <w:sz w:val="32"/>
          <w:szCs w:val="32"/>
          <w:highlight w:val="none"/>
        </w:rPr>
      </w:pPr>
      <w:r>
        <w:rPr>
          <w:rFonts w:hint="eastAsia" w:ascii="黑体" w:hAnsi="宋体" w:eastAsia="黑体"/>
          <w:b/>
          <w:sz w:val="32"/>
          <w:szCs w:val="32"/>
          <w:highlight w:val="none"/>
        </w:rPr>
        <w:t>台交所挂〔2020〕</w:t>
      </w:r>
      <w:r>
        <w:rPr>
          <w:rFonts w:hint="eastAsia" w:ascii="黑体" w:hAnsi="宋体" w:eastAsia="黑体"/>
          <w:b/>
          <w:sz w:val="32"/>
          <w:szCs w:val="32"/>
          <w:highlight w:val="none"/>
          <w:lang w:val="en-US" w:eastAsia="zh-CN"/>
        </w:rPr>
        <w:t>16</w:t>
      </w:r>
      <w:r>
        <w:rPr>
          <w:rFonts w:hint="eastAsia" w:ascii="黑体" w:hAnsi="宋体" w:eastAsia="黑体"/>
          <w:b/>
          <w:sz w:val="32"/>
          <w:szCs w:val="32"/>
          <w:highlight w:val="none"/>
        </w:rPr>
        <w:t>号</w:t>
      </w: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rFonts w:hint="eastAsia"/>
          <w:highlight w:val="none"/>
        </w:rPr>
      </w:pPr>
    </w:p>
    <w:p>
      <w:pPr>
        <w:rPr>
          <w:rFonts w:hint="eastAsia"/>
          <w:highlight w:val="none"/>
        </w:rPr>
      </w:pPr>
    </w:p>
    <w:p>
      <w:pPr>
        <w:rPr>
          <w:rFonts w:hint="eastAsia"/>
          <w:highlight w:val="none"/>
        </w:rPr>
      </w:pPr>
    </w:p>
    <w:p>
      <w:pPr>
        <w:rPr>
          <w:highlight w:val="none"/>
        </w:rPr>
      </w:pPr>
    </w:p>
    <w:p>
      <w:pPr>
        <w:rPr>
          <w:highlight w:val="none"/>
        </w:rPr>
      </w:pPr>
    </w:p>
    <w:p>
      <w:pPr>
        <w:rPr>
          <w:highlight w:val="none"/>
        </w:rPr>
      </w:pPr>
    </w:p>
    <w:p>
      <w:pPr>
        <w:ind w:left="-540" w:leftChars="-257" w:right="-693" w:rightChars="-330"/>
        <w:rPr>
          <w:b/>
          <w:sz w:val="18"/>
          <w:highlight w:val="none"/>
        </w:rPr>
      </w:pPr>
      <w:r>
        <w:rPr>
          <w:rFonts w:hint="eastAsia"/>
          <w:b/>
          <w:sz w:val="18"/>
          <w:highlight w:val="none"/>
        </w:rPr>
        <w:t>◎台州市产权交易所有限公司◎地址：台州市市府大道</w:t>
      </w:r>
      <w:r>
        <w:rPr>
          <w:b/>
          <w:sz w:val="18"/>
          <w:highlight w:val="none"/>
        </w:rPr>
        <w:t>777</w:t>
      </w:r>
      <w:r>
        <w:rPr>
          <w:rFonts w:hint="eastAsia"/>
          <w:b/>
          <w:sz w:val="18"/>
          <w:highlight w:val="none"/>
        </w:rPr>
        <w:t>号浙江民泰商业银行五楼◎电话：</w:t>
      </w:r>
      <w:r>
        <w:rPr>
          <w:b/>
          <w:sz w:val="18"/>
          <w:highlight w:val="none"/>
        </w:rPr>
        <w:t xml:space="preserve"> 88685180</w:t>
      </w:r>
      <w:r>
        <w:rPr>
          <w:rFonts w:hint="eastAsia"/>
          <w:b/>
          <w:sz w:val="18"/>
          <w:highlight w:val="none"/>
        </w:rPr>
        <w:t xml:space="preserve">   </w:t>
      </w:r>
      <w:r>
        <w:rPr>
          <w:b/>
          <w:sz w:val="18"/>
          <w:highlight w:val="none"/>
        </w:rPr>
        <w:t>88685177</w:t>
      </w:r>
      <w:r>
        <w:rPr>
          <w:rFonts w:hint="eastAsia"/>
          <w:b/>
          <w:sz w:val="18"/>
          <w:highlight w:val="none"/>
        </w:rPr>
        <w:t>◎</w:t>
      </w:r>
    </w:p>
    <w:p>
      <w:pPr>
        <w:ind w:left="-540" w:leftChars="-257" w:right="-693" w:rightChars="-330"/>
        <w:rPr>
          <w:b/>
          <w:sz w:val="18"/>
          <w:szCs w:val="18"/>
          <w:highlight w:val="none"/>
        </w:rPr>
      </w:pPr>
      <w:r>
        <w:rPr>
          <w:rFonts w:hint="eastAsia"/>
          <w:b/>
          <w:sz w:val="18"/>
          <w:highlight w:val="none"/>
        </w:rPr>
        <w:t>网址：</w:t>
      </w:r>
      <w:r>
        <w:rPr>
          <w:highlight w:val="none"/>
        </w:rPr>
        <w:fldChar w:fldCharType="begin"/>
      </w:r>
      <w:r>
        <w:rPr>
          <w:highlight w:val="none"/>
        </w:rPr>
        <w:instrText xml:space="preserve"> HYPERLINK "http://www.tzpre.com" </w:instrText>
      </w:r>
      <w:r>
        <w:rPr>
          <w:highlight w:val="none"/>
        </w:rPr>
        <w:fldChar w:fldCharType="separate"/>
      </w:r>
      <w:r>
        <w:rPr>
          <w:rStyle w:val="23"/>
          <w:rFonts w:ascii="Calibri" w:hAnsi="Calibri"/>
          <w:b/>
          <w:color w:val="auto"/>
          <w:kern w:val="2"/>
          <w:sz w:val="18"/>
          <w:highlight w:val="none"/>
          <w:lang w:eastAsia="zh-CN"/>
        </w:rPr>
        <w:t>www.tzpre.com</w:t>
      </w:r>
      <w:r>
        <w:rPr>
          <w:rStyle w:val="23"/>
          <w:rFonts w:ascii="Calibri" w:hAnsi="Calibri"/>
          <w:b/>
          <w:color w:val="auto"/>
          <w:kern w:val="2"/>
          <w:sz w:val="18"/>
          <w:highlight w:val="none"/>
          <w:lang w:eastAsia="zh-CN"/>
        </w:rPr>
        <w:fldChar w:fldCharType="end"/>
      </w:r>
    </w:p>
    <w:p>
      <w:pPr>
        <w:widowControl/>
        <w:jc w:val="left"/>
        <w:rPr>
          <w:b/>
          <w:sz w:val="18"/>
          <w:szCs w:val="18"/>
          <w:highlight w:val="none"/>
        </w:rPr>
      </w:pPr>
      <w:r>
        <w:rPr>
          <w:b/>
          <w:sz w:val="18"/>
          <w:szCs w:val="18"/>
          <w:highlight w:val="none"/>
        </w:rPr>
        <w:br w:type="page"/>
      </w:r>
    </w:p>
    <w:p>
      <w:pPr>
        <w:ind w:left="-540" w:leftChars="-257" w:right="-693" w:rightChars="-330"/>
        <w:rPr>
          <w:b/>
          <w:sz w:val="18"/>
          <w:szCs w:val="18"/>
          <w:highlight w:val="none"/>
        </w:rPr>
      </w:pPr>
    </w:p>
    <w:p>
      <w:pPr>
        <w:pStyle w:val="37"/>
        <w:jc w:val="center"/>
        <w:rPr>
          <w:color w:val="auto"/>
          <w:sz w:val="52"/>
          <w:szCs w:val="52"/>
          <w:highlight w:val="none"/>
        </w:rPr>
      </w:pPr>
      <w:r>
        <w:rPr>
          <w:rFonts w:hint="eastAsia"/>
          <w:color w:val="auto"/>
          <w:sz w:val="52"/>
          <w:szCs w:val="52"/>
          <w:highlight w:val="none"/>
          <w:lang w:val="zh-CN"/>
        </w:rPr>
        <w:t>目  录</w:t>
      </w:r>
    </w:p>
    <w:p>
      <w:pPr>
        <w:pStyle w:val="14"/>
        <w:rPr>
          <w:rFonts w:asciiTheme="minorHAnsi" w:hAnsiTheme="minorHAnsi" w:eastAsiaTheme="minorEastAsia" w:cstheme="minorBidi"/>
          <w:szCs w:val="22"/>
          <w:highlight w:val="none"/>
        </w:rPr>
      </w:pPr>
      <w:r>
        <w:rPr>
          <w:rStyle w:val="23"/>
          <w:color w:val="auto"/>
          <w:sz w:val="32"/>
          <w:highlight w:val="none"/>
        </w:rPr>
        <w:fldChar w:fldCharType="begin"/>
      </w:r>
      <w:r>
        <w:rPr>
          <w:rStyle w:val="23"/>
          <w:color w:val="auto"/>
          <w:sz w:val="32"/>
          <w:szCs w:val="32"/>
          <w:highlight w:val="none"/>
        </w:rPr>
        <w:instrText xml:space="preserve"> TOC \o "1-3" \h \z \u </w:instrText>
      </w:r>
      <w:r>
        <w:rPr>
          <w:rStyle w:val="23"/>
          <w:color w:val="auto"/>
          <w:sz w:val="32"/>
          <w:highlight w:val="none"/>
        </w:rPr>
        <w:fldChar w:fldCharType="separate"/>
      </w:r>
      <w:r>
        <w:rPr>
          <w:highlight w:val="none"/>
        </w:rPr>
        <w:fldChar w:fldCharType="begin"/>
      </w:r>
      <w:r>
        <w:rPr>
          <w:highlight w:val="none"/>
        </w:rPr>
        <w:instrText xml:space="preserve"> HYPERLINK \l "_Toc48252217" </w:instrText>
      </w:r>
      <w:r>
        <w:rPr>
          <w:highlight w:val="none"/>
        </w:rPr>
        <w:fldChar w:fldCharType="separate"/>
      </w:r>
      <w:r>
        <w:rPr>
          <w:rStyle w:val="23"/>
          <w:highlight w:val="none"/>
        </w:rPr>
        <w:t>增资公告</w:t>
      </w:r>
      <w:r>
        <w:rPr>
          <w:highlight w:val="none"/>
        </w:rPr>
        <w:tab/>
      </w:r>
      <w:r>
        <w:rPr>
          <w:highlight w:val="none"/>
        </w:rPr>
        <w:fldChar w:fldCharType="begin"/>
      </w:r>
      <w:r>
        <w:rPr>
          <w:highlight w:val="none"/>
        </w:rPr>
        <w:instrText xml:space="preserve"> PAGEREF _Toc48252217 \h </w:instrText>
      </w:r>
      <w:r>
        <w:rPr>
          <w:highlight w:val="none"/>
        </w:rPr>
        <w:fldChar w:fldCharType="separate"/>
      </w:r>
      <w:r>
        <w:rPr>
          <w:highlight w:val="none"/>
        </w:rPr>
        <w:t>3</w:t>
      </w:r>
      <w:r>
        <w:rPr>
          <w:highlight w:val="none"/>
        </w:rPr>
        <w:fldChar w:fldCharType="end"/>
      </w:r>
      <w:r>
        <w:rPr>
          <w:highlight w:val="none"/>
        </w:rPr>
        <w:fldChar w:fldCharType="end"/>
      </w:r>
    </w:p>
    <w:p>
      <w:pPr>
        <w:pStyle w:val="14"/>
        <w:rPr>
          <w:rFonts w:asciiTheme="minorHAnsi" w:hAnsiTheme="minorHAnsi" w:eastAsiaTheme="minorEastAsia" w:cstheme="minorBidi"/>
          <w:szCs w:val="22"/>
          <w:highlight w:val="none"/>
        </w:rPr>
      </w:pPr>
      <w:r>
        <w:rPr>
          <w:highlight w:val="none"/>
        </w:rPr>
        <w:fldChar w:fldCharType="begin"/>
      </w:r>
      <w:r>
        <w:rPr>
          <w:highlight w:val="none"/>
        </w:rPr>
        <w:instrText xml:space="preserve"> HYPERLINK \l "_Toc48252218" </w:instrText>
      </w:r>
      <w:r>
        <w:rPr>
          <w:highlight w:val="none"/>
        </w:rPr>
        <w:fldChar w:fldCharType="separate"/>
      </w:r>
      <w:r>
        <w:rPr>
          <w:rStyle w:val="23"/>
          <w:highlight w:val="none"/>
        </w:rPr>
        <w:t>增资扩股投资申请书</w:t>
      </w:r>
      <w:r>
        <w:rPr>
          <w:highlight w:val="none"/>
        </w:rPr>
        <w:tab/>
      </w:r>
      <w:r>
        <w:rPr>
          <w:highlight w:val="none"/>
        </w:rPr>
        <w:fldChar w:fldCharType="begin"/>
      </w:r>
      <w:r>
        <w:rPr>
          <w:highlight w:val="none"/>
        </w:rPr>
        <w:instrText xml:space="preserve"> PAGEREF _Toc48252218 \h </w:instrText>
      </w:r>
      <w:r>
        <w:rPr>
          <w:highlight w:val="none"/>
        </w:rPr>
        <w:fldChar w:fldCharType="separate"/>
      </w:r>
      <w:r>
        <w:rPr>
          <w:highlight w:val="none"/>
        </w:rPr>
        <w:t>13</w:t>
      </w:r>
      <w:r>
        <w:rPr>
          <w:highlight w:val="none"/>
        </w:rPr>
        <w:fldChar w:fldCharType="end"/>
      </w:r>
      <w:r>
        <w:rPr>
          <w:highlight w:val="none"/>
        </w:rPr>
        <w:fldChar w:fldCharType="end"/>
      </w:r>
    </w:p>
    <w:p>
      <w:pPr>
        <w:pStyle w:val="14"/>
        <w:rPr>
          <w:rFonts w:asciiTheme="minorHAnsi" w:hAnsiTheme="minorHAnsi" w:eastAsiaTheme="minorEastAsia" w:cstheme="minorBidi"/>
          <w:szCs w:val="22"/>
          <w:highlight w:val="none"/>
        </w:rPr>
      </w:pPr>
      <w:r>
        <w:rPr>
          <w:highlight w:val="none"/>
        </w:rPr>
        <w:fldChar w:fldCharType="begin"/>
      </w:r>
      <w:r>
        <w:rPr>
          <w:highlight w:val="none"/>
        </w:rPr>
        <w:instrText xml:space="preserve"> HYPERLINK \l "_Toc48252219" </w:instrText>
      </w:r>
      <w:r>
        <w:rPr>
          <w:highlight w:val="none"/>
        </w:rPr>
        <w:fldChar w:fldCharType="separate"/>
      </w:r>
      <w:r>
        <w:rPr>
          <w:rStyle w:val="23"/>
          <w:highlight w:val="none"/>
        </w:rPr>
        <w:t>认购风险告知书</w:t>
      </w:r>
      <w:r>
        <w:rPr>
          <w:highlight w:val="none"/>
        </w:rPr>
        <w:tab/>
      </w:r>
      <w:r>
        <w:rPr>
          <w:highlight w:val="none"/>
        </w:rPr>
        <w:fldChar w:fldCharType="begin"/>
      </w:r>
      <w:r>
        <w:rPr>
          <w:highlight w:val="none"/>
        </w:rPr>
        <w:instrText xml:space="preserve"> PAGEREF _Toc48252219 \h </w:instrText>
      </w:r>
      <w:r>
        <w:rPr>
          <w:highlight w:val="none"/>
        </w:rPr>
        <w:fldChar w:fldCharType="separate"/>
      </w:r>
      <w:r>
        <w:rPr>
          <w:highlight w:val="none"/>
        </w:rPr>
        <w:t>17</w:t>
      </w:r>
      <w:r>
        <w:rPr>
          <w:highlight w:val="none"/>
        </w:rPr>
        <w:fldChar w:fldCharType="end"/>
      </w:r>
      <w:r>
        <w:rPr>
          <w:highlight w:val="none"/>
        </w:rPr>
        <w:fldChar w:fldCharType="end"/>
      </w:r>
    </w:p>
    <w:p>
      <w:pPr>
        <w:pStyle w:val="14"/>
        <w:rPr>
          <w:rFonts w:asciiTheme="minorHAnsi" w:hAnsiTheme="minorHAnsi" w:eastAsiaTheme="minorEastAsia" w:cstheme="minorBidi"/>
          <w:szCs w:val="22"/>
          <w:highlight w:val="none"/>
        </w:rPr>
      </w:pPr>
      <w:r>
        <w:rPr>
          <w:highlight w:val="none"/>
        </w:rPr>
        <w:fldChar w:fldCharType="begin"/>
      </w:r>
      <w:r>
        <w:rPr>
          <w:highlight w:val="none"/>
        </w:rPr>
        <w:instrText xml:space="preserve"> HYPERLINK \l "_Toc48252220" </w:instrText>
      </w:r>
      <w:r>
        <w:rPr>
          <w:highlight w:val="none"/>
        </w:rPr>
        <w:fldChar w:fldCharType="separate"/>
      </w:r>
      <w:r>
        <w:rPr>
          <w:rStyle w:val="23"/>
          <w:highlight w:val="none"/>
        </w:rPr>
        <w:t>意向投资方资格确认通知书</w:t>
      </w:r>
      <w:r>
        <w:rPr>
          <w:highlight w:val="none"/>
        </w:rPr>
        <w:tab/>
      </w:r>
      <w:r>
        <w:rPr>
          <w:highlight w:val="none"/>
        </w:rPr>
        <w:fldChar w:fldCharType="begin"/>
      </w:r>
      <w:r>
        <w:rPr>
          <w:highlight w:val="none"/>
        </w:rPr>
        <w:instrText xml:space="preserve"> PAGEREF _Toc48252220 \h </w:instrText>
      </w:r>
      <w:r>
        <w:rPr>
          <w:highlight w:val="none"/>
        </w:rPr>
        <w:fldChar w:fldCharType="separate"/>
      </w:r>
      <w:r>
        <w:rPr>
          <w:highlight w:val="none"/>
        </w:rPr>
        <w:t>19</w:t>
      </w:r>
      <w:r>
        <w:rPr>
          <w:highlight w:val="none"/>
        </w:rPr>
        <w:fldChar w:fldCharType="end"/>
      </w:r>
      <w:r>
        <w:rPr>
          <w:highlight w:val="none"/>
        </w:rPr>
        <w:fldChar w:fldCharType="end"/>
      </w:r>
    </w:p>
    <w:p>
      <w:pPr>
        <w:pStyle w:val="14"/>
        <w:rPr>
          <w:rFonts w:asciiTheme="minorHAnsi" w:hAnsiTheme="minorHAnsi" w:eastAsiaTheme="minorEastAsia" w:cstheme="minorBidi"/>
          <w:szCs w:val="22"/>
          <w:highlight w:val="none"/>
        </w:rPr>
      </w:pPr>
      <w:r>
        <w:rPr>
          <w:highlight w:val="none"/>
        </w:rPr>
        <w:fldChar w:fldCharType="begin"/>
      </w:r>
      <w:r>
        <w:rPr>
          <w:highlight w:val="none"/>
        </w:rPr>
        <w:instrText xml:space="preserve"> HYPERLINK \l "_Toc48252221" </w:instrText>
      </w:r>
      <w:r>
        <w:rPr>
          <w:highlight w:val="none"/>
        </w:rPr>
        <w:fldChar w:fldCharType="separate"/>
      </w:r>
      <w:r>
        <w:rPr>
          <w:rStyle w:val="23"/>
          <w:highlight w:val="none"/>
        </w:rPr>
        <w:t>增资认购报价单</w:t>
      </w:r>
      <w:r>
        <w:rPr>
          <w:highlight w:val="none"/>
        </w:rPr>
        <w:tab/>
      </w:r>
      <w:r>
        <w:rPr>
          <w:highlight w:val="none"/>
        </w:rPr>
        <w:fldChar w:fldCharType="begin"/>
      </w:r>
      <w:r>
        <w:rPr>
          <w:highlight w:val="none"/>
        </w:rPr>
        <w:instrText xml:space="preserve"> PAGEREF _Toc48252221 \h </w:instrText>
      </w:r>
      <w:r>
        <w:rPr>
          <w:highlight w:val="none"/>
        </w:rPr>
        <w:fldChar w:fldCharType="separate"/>
      </w:r>
      <w:r>
        <w:rPr>
          <w:highlight w:val="none"/>
        </w:rPr>
        <w:t>20</w:t>
      </w:r>
      <w:r>
        <w:rPr>
          <w:highlight w:val="none"/>
        </w:rPr>
        <w:fldChar w:fldCharType="end"/>
      </w:r>
      <w:r>
        <w:rPr>
          <w:highlight w:val="none"/>
        </w:rPr>
        <w:fldChar w:fldCharType="end"/>
      </w:r>
    </w:p>
    <w:p>
      <w:pPr>
        <w:pStyle w:val="14"/>
        <w:rPr>
          <w:rFonts w:asciiTheme="minorHAnsi" w:hAnsiTheme="minorHAnsi" w:eastAsiaTheme="minorEastAsia" w:cstheme="minorBidi"/>
          <w:szCs w:val="22"/>
          <w:highlight w:val="none"/>
        </w:rPr>
      </w:pPr>
      <w:r>
        <w:rPr>
          <w:highlight w:val="none"/>
        </w:rPr>
        <w:fldChar w:fldCharType="begin"/>
      </w:r>
      <w:r>
        <w:rPr>
          <w:highlight w:val="none"/>
        </w:rPr>
        <w:instrText xml:space="preserve"> HYPERLINK \l "_Toc48252222" </w:instrText>
      </w:r>
      <w:r>
        <w:rPr>
          <w:highlight w:val="none"/>
        </w:rPr>
        <w:fldChar w:fldCharType="separate"/>
      </w:r>
      <w:r>
        <w:rPr>
          <w:rStyle w:val="23"/>
          <w:highlight w:val="none"/>
        </w:rPr>
        <w:t>网络竞价规则</w:t>
      </w:r>
      <w:r>
        <w:rPr>
          <w:highlight w:val="none"/>
        </w:rPr>
        <w:tab/>
      </w:r>
      <w:r>
        <w:rPr>
          <w:highlight w:val="none"/>
        </w:rPr>
        <w:fldChar w:fldCharType="begin"/>
      </w:r>
      <w:r>
        <w:rPr>
          <w:highlight w:val="none"/>
        </w:rPr>
        <w:instrText xml:space="preserve"> PAGEREF _Toc48252222 \h </w:instrText>
      </w:r>
      <w:r>
        <w:rPr>
          <w:highlight w:val="none"/>
        </w:rPr>
        <w:fldChar w:fldCharType="separate"/>
      </w:r>
      <w:r>
        <w:rPr>
          <w:highlight w:val="none"/>
        </w:rPr>
        <w:t>21</w:t>
      </w:r>
      <w:r>
        <w:rPr>
          <w:highlight w:val="none"/>
        </w:rPr>
        <w:fldChar w:fldCharType="end"/>
      </w:r>
      <w:r>
        <w:rPr>
          <w:highlight w:val="none"/>
        </w:rPr>
        <w:fldChar w:fldCharType="end"/>
      </w:r>
    </w:p>
    <w:p>
      <w:pPr>
        <w:pStyle w:val="14"/>
        <w:rPr>
          <w:rFonts w:asciiTheme="minorHAnsi" w:hAnsiTheme="minorHAnsi" w:eastAsiaTheme="minorEastAsia" w:cstheme="minorBidi"/>
          <w:szCs w:val="22"/>
          <w:highlight w:val="none"/>
        </w:rPr>
      </w:pPr>
      <w:r>
        <w:rPr>
          <w:highlight w:val="none"/>
        </w:rPr>
        <w:fldChar w:fldCharType="begin"/>
      </w:r>
      <w:r>
        <w:rPr>
          <w:highlight w:val="none"/>
        </w:rPr>
        <w:instrText xml:space="preserve"> HYPERLINK \l "_Toc48252223" </w:instrText>
      </w:r>
      <w:r>
        <w:rPr>
          <w:highlight w:val="none"/>
        </w:rPr>
        <w:fldChar w:fldCharType="separate"/>
      </w:r>
      <w:r>
        <w:rPr>
          <w:rStyle w:val="23"/>
          <w:highlight w:val="none"/>
        </w:rPr>
        <w:t>增资确认书</w:t>
      </w:r>
      <w:r>
        <w:rPr>
          <w:highlight w:val="none"/>
        </w:rPr>
        <w:tab/>
      </w:r>
      <w:r>
        <w:rPr>
          <w:highlight w:val="none"/>
        </w:rPr>
        <w:fldChar w:fldCharType="begin"/>
      </w:r>
      <w:r>
        <w:rPr>
          <w:highlight w:val="none"/>
        </w:rPr>
        <w:instrText xml:space="preserve"> PAGEREF _Toc48252223 \h </w:instrText>
      </w:r>
      <w:r>
        <w:rPr>
          <w:highlight w:val="none"/>
        </w:rPr>
        <w:fldChar w:fldCharType="separate"/>
      </w:r>
      <w:r>
        <w:rPr>
          <w:highlight w:val="none"/>
        </w:rPr>
        <w:t>24</w:t>
      </w:r>
      <w:r>
        <w:rPr>
          <w:highlight w:val="none"/>
        </w:rPr>
        <w:fldChar w:fldCharType="end"/>
      </w:r>
      <w:r>
        <w:rPr>
          <w:highlight w:val="none"/>
        </w:rPr>
        <w:fldChar w:fldCharType="end"/>
      </w:r>
    </w:p>
    <w:p>
      <w:pPr>
        <w:pStyle w:val="14"/>
        <w:rPr>
          <w:rFonts w:asciiTheme="minorHAnsi" w:hAnsiTheme="minorHAnsi" w:eastAsiaTheme="minorEastAsia" w:cstheme="minorBidi"/>
          <w:szCs w:val="22"/>
          <w:highlight w:val="none"/>
        </w:rPr>
      </w:pPr>
      <w:r>
        <w:rPr>
          <w:highlight w:val="none"/>
        </w:rPr>
        <w:fldChar w:fldCharType="begin"/>
      </w:r>
      <w:r>
        <w:rPr>
          <w:highlight w:val="none"/>
        </w:rPr>
        <w:instrText xml:space="preserve"> HYPERLINK \l "_Toc48252224" </w:instrText>
      </w:r>
      <w:r>
        <w:rPr>
          <w:highlight w:val="none"/>
        </w:rPr>
        <w:fldChar w:fldCharType="separate"/>
      </w:r>
      <w:r>
        <w:rPr>
          <w:rStyle w:val="23"/>
          <w:rFonts w:ascii="宋体" w:hAnsi="宋体" w:cs="宋体"/>
          <w:highlight w:val="none"/>
        </w:rPr>
        <w:t>增资扩股协议</w:t>
      </w:r>
      <w:r>
        <w:rPr>
          <w:highlight w:val="none"/>
        </w:rPr>
        <w:tab/>
      </w:r>
      <w:r>
        <w:rPr>
          <w:highlight w:val="none"/>
        </w:rPr>
        <w:fldChar w:fldCharType="begin"/>
      </w:r>
      <w:r>
        <w:rPr>
          <w:highlight w:val="none"/>
        </w:rPr>
        <w:instrText xml:space="preserve"> PAGEREF _Toc48252224 \h </w:instrText>
      </w:r>
      <w:r>
        <w:rPr>
          <w:highlight w:val="none"/>
        </w:rPr>
        <w:fldChar w:fldCharType="separate"/>
      </w:r>
      <w:r>
        <w:rPr>
          <w:highlight w:val="none"/>
        </w:rPr>
        <w:t>26</w:t>
      </w:r>
      <w:r>
        <w:rPr>
          <w:highlight w:val="none"/>
        </w:rPr>
        <w:fldChar w:fldCharType="end"/>
      </w:r>
      <w:r>
        <w:rPr>
          <w:highlight w:val="none"/>
        </w:rPr>
        <w:fldChar w:fldCharType="end"/>
      </w:r>
    </w:p>
    <w:p>
      <w:pPr>
        <w:pStyle w:val="14"/>
        <w:spacing w:before="100" w:beforeAutospacing="1" w:after="100" w:afterAutospacing="1" w:line="360" w:lineRule="auto"/>
        <w:rPr>
          <w:highlight w:val="none"/>
        </w:rPr>
      </w:pPr>
      <w:r>
        <w:rPr>
          <w:szCs w:val="32"/>
          <w:highlight w:val="none"/>
        </w:rPr>
        <w:fldChar w:fldCharType="end"/>
      </w:r>
    </w:p>
    <w:p>
      <w:pPr>
        <w:widowControl/>
        <w:jc w:val="both"/>
        <w:rPr>
          <w:sz w:val="32"/>
          <w:szCs w:val="32"/>
          <w:highlight w:val="none"/>
        </w:rPr>
      </w:pPr>
    </w:p>
    <w:p>
      <w:pPr>
        <w:widowControl/>
        <w:jc w:val="both"/>
        <w:rPr>
          <w:sz w:val="32"/>
          <w:szCs w:val="32"/>
          <w:highlight w:val="none"/>
        </w:rPr>
      </w:pPr>
    </w:p>
    <w:p>
      <w:pPr>
        <w:widowControl/>
        <w:jc w:val="both"/>
        <w:rPr>
          <w:sz w:val="32"/>
          <w:szCs w:val="32"/>
          <w:highlight w:val="none"/>
        </w:rPr>
      </w:pPr>
    </w:p>
    <w:p>
      <w:pPr>
        <w:widowControl/>
        <w:jc w:val="both"/>
        <w:rPr>
          <w:sz w:val="32"/>
          <w:szCs w:val="32"/>
          <w:highlight w:val="none"/>
        </w:rPr>
      </w:pPr>
    </w:p>
    <w:p>
      <w:pPr>
        <w:widowControl/>
        <w:jc w:val="both"/>
        <w:rPr>
          <w:sz w:val="32"/>
          <w:szCs w:val="32"/>
          <w:highlight w:val="none"/>
        </w:rPr>
      </w:pPr>
    </w:p>
    <w:p>
      <w:pPr>
        <w:widowControl/>
        <w:jc w:val="both"/>
        <w:rPr>
          <w:sz w:val="32"/>
          <w:szCs w:val="32"/>
          <w:highlight w:val="none"/>
        </w:rPr>
      </w:pPr>
    </w:p>
    <w:p>
      <w:pPr>
        <w:widowControl/>
        <w:jc w:val="both"/>
        <w:rPr>
          <w:sz w:val="32"/>
          <w:szCs w:val="32"/>
          <w:highlight w:val="none"/>
        </w:rPr>
      </w:pPr>
    </w:p>
    <w:p>
      <w:pPr>
        <w:widowControl/>
        <w:jc w:val="both"/>
        <w:rPr>
          <w:sz w:val="32"/>
          <w:szCs w:val="32"/>
          <w:highlight w:val="none"/>
        </w:rPr>
      </w:pPr>
    </w:p>
    <w:p>
      <w:pPr>
        <w:widowControl/>
        <w:jc w:val="both"/>
        <w:rPr>
          <w:sz w:val="32"/>
          <w:szCs w:val="32"/>
          <w:highlight w:val="none"/>
        </w:rPr>
      </w:pPr>
    </w:p>
    <w:p>
      <w:pPr>
        <w:widowControl/>
        <w:jc w:val="both"/>
        <w:rPr>
          <w:sz w:val="32"/>
          <w:szCs w:val="32"/>
          <w:highlight w:val="none"/>
        </w:rPr>
      </w:pPr>
    </w:p>
    <w:p>
      <w:pPr>
        <w:widowControl/>
        <w:jc w:val="center"/>
        <w:rPr>
          <w:sz w:val="32"/>
          <w:szCs w:val="32"/>
          <w:highlight w:val="none"/>
        </w:rPr>
      </w:pPr>
      <w:bookmarkStart w:id="1" w:name="_Toc48252217"/>
      <w:r>
        <w:rPr>
          <w:rFonts w:hint="eastAsia"/>
          <w:sz w:val="32"/>
          <w:szCs w:val="32"/>
          <w:highlight w:val="none"/>
        </w:rPr>
        <w:t>增资公告</w:t>
      </w:r>
      <w:bookmarkEnd w:id="1"/>
    </w:p>
    <w:p>
      <w:pPr>
        <w:spacing w:line="500" w:lineRule="atLeast"/>
        <w:jc w:val="center"/>
        <w:rPr>
          <w:rFonts w:ascii="宋体" w:hAnsi="宋体" w:cs="Tahoma"/>
          <w:bCs/>
          <w:kern w:val="0"/>
          <w:sz w:val="24"/>
          <w:highlight w:val="none"/>
        </w:rPr>
      </w:pPr>
      <w:r>
        <w:rPr>
          <w:rFonts w:hint="eastAsia" w:ascii="宋体" w:hAnsi="宋体" w:cs="Tahoma"/>
          <w:bCs/>
          <w:kern w:val="0"/>
          <w:sz w:val="24"/>
          <w:highlight w:val="none"/>
        </w:rPr>
        <w:t>台交所挂【2020】</w:t>
      </w:r>
      <w:r>
        <w:rPr>
          <w:rFonts w:hint="eastAsia" w:ascii="宋体" w:hAnsi="宋体" w:cs="Tahoma"/>
          <w:bCs/>
          <w:kern w:val="0"/>
          <w:sz w:val="24"/>
          <w:highlight w:val="none"/>
          <w:lang w:val="en-US" w:eastAsia="zh-CN"/>
        </w:rPr>
        <w:t>16</w:t>
      </w:r>
      <w:r>
        <w:rPr>
          <w:rFonts w:hint="eastAsia" w:ascii="宋体" w:hAnsi="宋体" w:cs="Tahoma"/>
          <w:bCs/>
          <w:kern w:val="0"/>
          <w:sz w:val="24"/>
          <w:highlight w:val="none"/>
        </w:rPr>
        <w:t>号</w:t>
      </w:r>
    </w:p>
    <w:p>
      <w:pPr>
        <w:spacing w:line="480" w:lineRule="atLeast"/>
        <w:ind w:right="105" w:rightChars="50" w:firstLine="480" w:firstLineChars="200"/>
        <w:rPr>
          <w:rFonts w:ascii="宋体" w:hAnsi="宋体"/>
          <w:sz w:val="24"/>
          <w:szCs w:val="24"/>
          <w:highlight w:val="none"/>
        </w:rPr>
      </w:pPr>
      <w:r>
        <w:rPr>
          <w:rFonts w:hint="eastAsia" w:ascii="宋体" w:hAnsi="宋体"/>
          <w:sz w:val="24"/>
          <w:szCs w:val="24"/>
          <w:highlight w:val="none"/>
        </w:rPr>
        <w:t>受有关单位委托，通过挂牌方式对浙江海正生物材料股份有限公司新增</w:t>
      </w:r>
      <w:r>
        <w:rPr>
          <w:rFonts w:hint="eastAsia" w:ascii="宋体" w:hAnsi="宋体"/>
          <w:sz w:val="24"/>
          <w:szCs w:val="24"/>
          <w:highlight w:val="none"/>
          <w:lang w:val="en-US" w:eastAsia="zh-CN"/>
        </w:rPr>
        <w:t>10,457,516</w:t>
      </w:r>
      <w:r>
        <w:rPr>
          <w:rFonts w:hint="eastAsia" w:ascii="宋体" w:hAnsi="宋体"/>
          <w:sz w:val="24"/>
          <w:szCs w:val="24"/>
          <w:highlight w:val="none"/>
          <w:lang w:eastAsia="zh-CN"/>
        </w:rPr>
        <w:t>股</w:t>
      </w:r>
      <w:r>
        <w:rPr>
          <w:rFonts w:hint="eastAsia" w:ascii="宋体" w:hAnsi="宋体"/>
          <w:sz w:val="24"/>
          <w:szCs w:val="24"/>
          <w:highlight w:val="none"/>
        </w:rPr>
        <w:t>项目公开引进一家投资方（</w:t>
      </w:r>
      <w:r>
        <w:rPr>
          <w:rFonts w:hint="eastAsia" w:cs="宋体"/>
          <w:sz w:val="24"/>
          <w:highlight w:val="none"/>
        </w:rPr>
        <w:t>不接受竞标联合投资体</w:t>
      </w:r>
      <w:r>
        <w:rPr>
          <w:rFonts w:hint="eastAsia" w:ascii="宋体" w:hAnsi="宋体"/>
          <w:sz w:val="24"/>
          <w:szCs w:val="24"/>
          <w:highlight w:val="none"/>
        </w:rPr>
        <w:t>），具体事宜公告如下：</w:t>
      </w:r>
    </w:p>
    <w:p>
      <w:pPr>
        <w:spacing w:line="480" w:lineRule="atLeast"/>
        <w:ind w:right="105" w:rightChars="50" w:firstLine="480" w:firstLineChars="200"/>
        <w:jc w:val="left"/>
        <w:rPr>
          <w:rFonts w:ascii="宋体" w:hAnsi="宋体"/>
          <w:sz w:val="24"/>
          <w:szCs w:val="24"/>
          <w:highlight w:val="none"/>
        </w:rPr>
      </w:pPr>
      <w:r>
        <w:rPr>
          <w:rFonts w:hint="eastAsia" w:ascii="宋体" w:hAnsi="宋体"/>
          <w:sz w:val="24"/>
          <w:szCs w:val="24"/>
          <w:highlight w:val="none"/>
        </w:rPr>
        <w:t>一、标的、底价及保证金</w:t>
      </w:r>
    </w:p>
    <w:p>
      <w:pPr>
        <w:spacing w:line="480" w:lineRule="atLeast"/>
        <w:ind w:right="105" w:rightChars="50" w:firstLine="480" w:firstLineChars="200"/>
        <w:jc w:val="left"/>
        <w:rPr>
          <w:rFonts w:ascii="宋体" w:hAnsi="宋体"/>
          <w:sz w:val="24"/>
          <w:szCs w:val="24"/>
          <w:highlight w:val="none"/>
        </w:rPr>
      </w:pPr>
      <w:r>
        <w:rPr>
          <w:rFonts w:hint="eastAsia" w:ascii="宋体" w:hAnsi="宋体"/>
          <w:sz w:val="24"/>
          <w:szCs w:val="24"/>
          <w:highlight w:val="none"/>
        </w:rPr>
        <w:t>本次增资标的为浙江海正生物材料股份有限公司新增</w:t>
      </w:r>
      <w:bookmarkStart w:id="2" w:name="_Hlk527706025"/>
      <w:r>
        <w:rPr>
          <w:rFonts w:hint="eastAsia" w:ascii="宋体" w:hAnsi="宋体"/>
          <w:sz w:val="24"/>
          <w:szCs w:val="24"/>
          <w:highlight w:val="none"/>
          <w:lang w:val="en-US" w:eastAsia="zh-CN"/>
        </w:rPr>
        <w:t>10,457,516</w:t>
      </w:r>
      <w:bookmarkEnd w:id="2"/>
      <w:r>
        <w:rPr>
          <w:rFonts w:hint="eastAsia" w:ascii="宋体" w:hAnsi="宋体"/>
          <w:sz w:val="24"/>
          <w:szCs w:val="24"/>
          <w:highlight w:val="none"/>
          <w:lang w:eastAsia="zh-CN"/>
        </w:rPr>
        <w:t>股</w:t>
      </w:r>
      <w:r>
        <w:rPr>
          <w:rFonts w:hint="eastAsia" w:ascii="宋体" w:hAnsi="宋体"/>
          <w:sz w:val="24"/>
          <w:szCs w:val="24"/>
          <w:highlight w:val="none"/>
        </w:rPr>
        <w:t>，每股价格不低于</w:t>
      </w:r>
      <w:r>
        <w:rPr>
          <w:rFonts w:hint="eastAsia" w:ascii="宋体" w:hAnsi="宋体"/>
          <w:kern w:val="0"/>
          <w:sz w:val="24"/>
          <w:highlight w:val="none"/>
        </w:rPr>
        <w:t>7.65</w:t>
      </w:r>
      <w:r>
        <w:rPr>
          <w:rFonts w:hint="eastAsia" w:ascii="宋体" w:hAnsi="宋体"/>
          <w:sz w:val="24"/>
          <w:szCs w:val="24"/>
          <w:highlight w:val="none"/>
        </w:rPr>
        <w:t>元人民币，总投资额不低</w:t>
      </w:r>
      <w:r>
        <w:rPr>
          <w:rFonts w:hint="eastAsia" w:ascii="宋体" w:hAnsi="宋体"/>
          <w:sz w:val="24"/>
          <w:highlight w:val="none"/>
        </w:rPr>
        <w:t>于</w:t>
      </w:r>
      <w:r>
        <w:rPr>
          <w:rFonts w:hint="eastAsia" w:ascii="宋体" w:hAnsi="宋体"/>
          <w:kern w:val="0"/>
          <w:sz w:val="24"/>
          <w:highlight w:val="none"/>
          <w:lang w:val="en-US" w:eastAsia="zh-CN"/>
        </w:rPr>
        <w:t>80,000,000.00</w:t>
      </w:r>
      <w:r>
        <w:rPr>
          <w:rFonts w:hint="eastAsia" w:ascii="宋体" w:hAnsi="宋体"/>
          <w:kern w:val="0"/>
          <w:sz w:val="24"/>
          <w:highlight w:val="none"/>
        </w:rPr>
        <w:t>元</w:t>
      </w:r>
      <w:r>
        <w:rPr>
          <w:rFonts w:hint="eastAsia" w:ascii="宋体" w:hAnsi="宋体"/>
          <w:sz w:val="24"/>
          <w:szCs w:val="24"/>
          <w:highlight w:val="none"/>
        </w:rPr>
        <w:t>人民币，报名时交</w:t>
      </w:r>
      <w:r>
        <w:rPr>
          <w:rFonts w:hint="eastAsia" w:ascii="宋体" w:hAnsi="宋体"/>
          <w:sz w:val="24"/>
          <w:highlight w:val="none"/>
        </w:rPr>
        <w:t>纳</w:t>
      </w:r>
      <w:r>
        <w:rPr>
          <w:rFonts w:hint="eastAsia" w:ascii="宋体" w:hAnsi="宋体" w:cs="Tahoma"/>
          <w:bCs/>
          <w:kern w:val="0"/>
          <w:sz w:val="24"/>
          <w:highlight w:val="none"/>
          <w:lang w:val="en-US" w:eastAsia="zh-CN"/>
        </w:rPr>
        <w:t>24,000,000.00</w:t>
      </w:r>
      <w:r>
        <w:rPr>
          <w:rFonts w:hint="eastAsia" w:ascii="宋体" w:hAnsi="宋体" w:cs="Tahoma"/>
          <w:bCs/>
          <w:kern w:val="0"/>
          <w:sz w:val="24"/>
          <w:highlight w:val="none"/>
        </w:rPr>
        <w:t>元</w:t>
      </w:r>
      <w:r>
        <w:rPr>
          <w:rFonts w:hint="eastAsia" w:ascii="宋体" w:hAnsi="宋体" w:cs="Tahoma"/>
          <w:bCs/>
          <w:kern w:val="0"/>
          <w:sz w:val="24"/>
          <w:highlight w:val="none"/>
          <w:lang w:val="en-US" w:eastAsia="zh-CN"/>
        </w:rPr>
        <w:t>人民币</w:t>
      </w:r>
      <w:r>
        <w:rPr>
          <w:rFonts w:hint="eastAsia" w:ascii="宋体" w:hAnsi="宋体"/>
          <w:sz w:val="24"/>
          <w:szCs w:val="24"/>
          <w:highlight w:val="none"/>
        </w:rPr>
        <w:t>竞买保证金。</w:t>
      </w:r>
    </w:p>
    <w:p>
      <w:pPr>
        <w:spacing w:line="480" w:lineRule="atLeast"/>
        <w:ind w:right="105" w:rightChars="50" w:firstLine="480" w:firstLineChars="200"/>
        <w:jc w:val="left"/>
        <w:rPr>
          <w:rFonts w:ascii="宋体" w:hAnsi="宋体"/>
          <w:sz w:val="24"/>
          <w:szCs w:val="24"/>
          <w:highlight w:val="none"/>
        </w:rPr>
      </w:pPr>
      <w:r>
        <w:rPr>
          <w:rFonts w:hint="eastAsia" w:ascii="宋体" w:hAnsi="宋体"/>
          <w:sz w:val="24"/>
          <w:highlight w:val="none"/>
        </w:rPr>
        <w:t>二、增资方式：</w:t>
      </w:r>
      <w:r>
        <w:rPr>
          <w:rFonts w:hint="eastAsia" w:ascii="宋体" w:hAnsi="宋体"/>
          <w:sz w:val="24"/>
          <w:szCs w:val="24"/>
          <w:highlight w:val="none"/>
        </w:rPr>
        <w:t>报名截止日仅一家报名的，经确认后由该投资方进行</w:t>
      </w:r>
      <w:r>
        <w:rPr>
          <w:rFonts w:ascii="宋体" w:hAnsi="宋体"/>
          <w:sz w:val="24"/>
          <w:szCs w:val="24"/>
          <w:highlight w:val="none"/>
        </w:rPr>
        <w:t>投资</w:t>
      </w:r>
      <w:r>
        <w:rPr>
          <w:rFonts w:hint="eastAsia" w:ascii="宋体" w:hAnsi="宋体"/>
          <w:sz w:val="24"/>
          <w:szCs w:val="24"/>
          <w:highlight w:val="none"/>
        </w:rPr>
        <w:t>；有两家或两家以上的，</w:t>
      </w:r>
      <w:r>
        <w:rPr>
          <w:rFonts w:hint="eastAsia" w:cs="宋体"/>
          <w:sz w:val="24"/>
          <w:highlight w:val="none"/>
        </w:rPr>
        <w:t>将</w:t>
      </w:r>
      <w:r>
        <w:rPr>
          <w:rFonts w:hint="eastAsia"/>
          <w:sz w:val="24"/>
          <w:highlight w:val="none"/>
        </w:rPr>
        <w:t>采取网络竞价方式确定</w:t>
      </w:r>
      <w:r>
        <w:rPr>
          <w:rFonts w:hint="eastAsia" w:cs="宋体"/>
          <w:sz w:val="24"/>
          <w:highlight w:val="none"/>
        </w:rPr>
        <w:t>最终投资</w:t>
      </w:r>
      <w:r>
        <w:rPr>
          <w:rFonts w:hint="eastAsia" w:cs="宋体"/>
          <w:sz w:val="24"/>
          <w:highlight w:val="none"/>
          <w:lang w:val="en-US" w:eastAsia="zh-CN"/>
        </w:rPr>
        <w:t>方</w:t>
      </w:r>
      <w:r>
        <w:rPr>
          <w:rFonts w:hint="eastAsia" w:cs="宋体"/>
          <w:sz w:val="24"/>
          <w:highlight w:val="none"/>
        </w:rPr>
        <w:t>及其认购价格</w:t>
      </w:r>
      <w:r>
        <w:rPr>
          <w:rFonts w:hint="eastAsia" w:ascii="宋体" w:hAnsi="宋体"/>
          <w:sz w:val="24"/>
          <w:szCs w:val="24"/>
          <w:highlight w:val="none"/>
        </w:rPr>
        <w:t>。</w:t>
      </w:r>
    </w:p>
    <w:p>
      <w:pPr>
        <w:pStyle w:val="44"/>
        <w:numPr>
          <w:ilvl w:val="255"/>
          <w:numId w:val="0"/>
        </w:numPr>
        <w:spacing w:line="500" w:lineRule="atLeast"/>
        <w:ind w:left="480"/>
        <w:rPr>
          <w:rFonts w:ascii="宋体" w:hAnsi="宋体"/>
          <w:sz w:val="24"/>
          <w:szCs w:val="24"/>
          <w:highlight w:val="none"/>
        </w:rPr>
      </w:pPr>
      <w:r>
        <w:rPr>
          <w:rFonts w:hint="eastAsia" w:ascii="宋体" w:hAnsi="宋体"/>
          <w:sz w:val="24"/>
          <w:highlight w:val="none"/>
        </w:rPr>
        <w:t>三、付款方式</w:t>
      </w:r>
    </w:p>
    <w:p>
      <w:pPr>
        <w:spacing w:line="480" w:lineRule="atLeast"/>
        <w:ind w:right="105" w:rightChars="50" w:firstLine="480" w:firstLineChars="200"/>
        <w:jc w:val="left"/>
        <w:rPr>
          <w:rFonts w:ascii="宋体" w:hAnsi="宋体"/>
          <w:sz w:val="24"/>
          <w:szCs w:val="24"/>
          <w:highlight w:val="none"/>
        </w:rPr>
      </w:pPr>
      <w:r>
        <w:rPr>
          <w:rFonts w:hint="eastAsia" w:ascii="宋体" w:hAnsi="宋体"/>
          <w:sz w:val="24"/>
          <w:szCs w:val="24"/>
          <w:highlight w:val="none"/>
        </w:rPr>
        <w:t>投资方</w:t>
      </w:r>
      <w:r>
        <w:rPr>
          <w:rFonts w:hint="eastAsia" w:ascii="宋体" w:hAnsi="宋体"/>
          <w:sz w:val="24"/>
          <w:szCs w:val="24"/>
          <w:highlight w:val="none"/>
          <w:lang w:eastAsia="zh-CN"/>
        </w:rPr>
        <w:t>应在签署</w:t>
      </w:r>
      <w:r>
        <w:rPr>
          <w:rFonts w:hint="eastAsia" w:ascii="宋体" w:hAnsi="宋体"/>
          <w:sz w:val="24"/>
          <w:szCs w:val="24"/>
          <w:highlight w:val="none"/>
        </w:rPr>
        <w:t>《</w:t>
      </w:r>
      <w:r>
        <w:rPr>
          <w:rFonts w:hint="eastAsia" w:ascii="宋体" w:hAnsi="宋体"/>
          <w:sz w:val="24"/>
          <w:szCs w:val="24"/>
          <w:highlight w:val="none"/>
          <w:lang w:eastAsia="zh-CN"/>
        </w:rPr>
        <w:t>浙江海正生物材料股份有限公司</w:t>
      </w:r>
      <w:r>
        <w:rPr>
          <w:rFonts w:hint="eastAsia" w:ascii="宋体" w:hAnsi="宋体"/>
          <w:sz w:val="24"/>
          <w:szCs w:val="24"/>
          <w:highlight w:val="none"/>
        </w:rPr>
        <w:t>增资扩股协议》</w:t>
      </w:r>
      <w:r>
        <w:rPr>
          <w:rFonts w:hint="eastAsia" w:ascii="宋体" w:hAnsi="宋体"/>
          <w:sz w:val="24"/>
          <w:szCs w:val="24"/>
          <w:highlight w:val="none"/>
          <w:lang w:eastAsia="zh-CN"/>
        </w:rPr>
        <w:t>后</w:t>
      </w:r>
      <w:r>
        <w:rPr>
          <w:rFonts w:hint="eastAsia" w:ascii="宋体" w:hAnsi="宋体"/>
          <w:sz w:val="24"/>
          <w:szCs w:val="24"/>
          <w:highlight w:val="none"/>
          <w:lang w:val="en-US" w:eastAsia="zh-CN"/>
        </w:rPr>
        <w:t>10</w:t>
      </w:r>
      <w:r>
        <w:rPr>
          <w:rFonts w:hint="eastAsia" w:ascii="宋体" w:hAnsi="宋体"/>
          <w:sz w:val="24"/>
          <w:szCs w:val="24"/>
          <w:highlight w:val="none"/>
        </w:rPr>
        <w:t>个工作日内一次性支付全部</w:t>
      </w:r>
      <w:r>
        <w:rPr>
          <w:rFonts w:hint="eastAsia" w:ascii="宋体" w:hAnsi="宋体"/>
          <w:sz w:val="24"/>
          <w:szCs w:val="24"/>
          <w:highlight w:val="none"/>
          <w:lang w:eastAsia="zh-CN"/>
        </w:rPr>
        <w:t>剩余增</w:t>
      </w:r>
      <w:r>
        <w:rPr>
          <w:rFonts w:hint="eastAsia" w:ascii="宋体" w:hAnsi="宋体"/>
          <w:sz w:val="24"/>
          <w:szCs w:val="24"/>
          <w:highlight w:val="none"/>
        </w:rPr>
        <w:t>资款</w:t>
      </w:r>
      <w:r>
        <w:rPr>
          <w:rFonts w:hint="eastAsia" w:ascii="宋体" w:hAnsi="宋体"/>
          <w:sz w:val="24"/>
          <w:szCs w:val="24"/>
          <w:highlight w:val="none"/>
          <w:lang w:eastAsia="zh-CN"/>
        </w:rPr>
        <w:t>（投资方先期汇入台州市产权交易所有限公司</w:t>
      </w:r>
      <w:r>
        <w:rPr>
          <w:rFonts w:hint="eastAsia" w:ascii="宋体" w:hAnsi="宋体"/>
          <w:sz w:val="24"/>
          <w:szCs w:val="24"/>
          <w:highlight w:val="none"/>
          <w:lang w:val="en-US" w:eastAsia="zh-CN"/>
        </w:rPr>
        <w:t>账户</w:t>
      </w:r>
      <w:r>
        <w:rPr>
          <w:rFonts w:hint="eastAsia" w:ascii="宋体" w:hAnsi="宋体"/>
          <w:sz w:val="24"/>
          <w:szCs w:val="24"/>
          <w:highlight w:val="none"/>
          <w:lang w:eastAsia="zh-CN"/>
        </w:rPr>
        <w:t>的竞买保证金应转为</w:t>
      </w:r>
      <w:r>
        <w:rPr>
          <w:rFonts w:hint="eastAsia" w:ascii="宋体" w:hAnsi="宋体"/>
          <w:sz w:val="24"/>
          <w:szCs w:val="24"/>
          <w:highlight w:val="none"/>
          <w:lang w:val="en-US" w:eastAsia="zh-CN"/>
        </w:rPr>
        <w:t>等</w:t>
      </w:r>
      <w:r>
        <w:rPr>
          <w:rFonts w:hint="eastAsia" w:ascii="宋体" w:hAnsi="宋体"/>
          <w:sz w:val="24"/>
          <w:szCs w:val="24"/>
          <w:highlight w:val="none"/>
          <w:lang w:eastAsia="zh-CN"/>
        </w:rPr>
        <w:t>额增资款）</w:t>
      </w:r>
      <w:r>
        <w:rPr>
          <w:rFonts w:hint="eastAsia" w:ascii="宋体" w:hAnsi="宋体"/>
          <w:sz w:val="24"/>
          <w:szCs w:val="24"/>
          <w:highlight w:val="none"/>
        </w:rPr>
        <w:t>。</w:t>
      </w:r>
    </w:p>
    <w:p>
      <w:pPr>
        <w:spacing w:line="480" w:lineRule="atLeast"/>
        <w:ind w:right="105" w:rightChars="50" w:firstLine="480" w:firstLineChars="200"/>
        <w:jc w:val="left"/>
        <w:rPr>
          <w:rFonts w:ascii="宋体" w:hAnsi="宋体"/>
          <w:sz w:val="24"/>
          <w:szCs w:val="24"/>
          <w:highlight w:val="none"/>
        </w:rPr>
      </w:pPr>
      <w:r>
        <w:rPr>
          <w:rFonts w:hint="eastAsia" w:ascii="宋体" w:hAnsi="宋体"/>
          <w:sz w:val="24"/>
          <w:szCs w:val="24"/>
          <w:highlight w:val="none"/>
        </w:rPr>
        <w:t>四、投资方条件</w:t>
      </w:r>
    </w:p>
    <w:p>
      <w:pPr>
        <w:widowControl/>
        <w:spacing w:line="480" w:lineRule="atLeast"/>
        <w:ind w:right="105" w:rightChars="50" w:firstLine="480" w:firstLineChars="200"/>
        <w:rPr>
          <w:rFonts w:hint="eastAsia" w:ascii="宋体" w:hAnsi="宋体" w:eastAsia="宋体" w:cs="Times New Roman"/>
          <w:sz w:val="24"/>
          <w:szCs w:val="24"/>
          <w:highlight w:val="none"/>
          <w:lang w:eastAsia="zh-CN"/>
        </w:rPr>
      </w:pPr>
      <w:r>
        <w:rPr>
          <w:rFonts w:hint="eastAsia" w:ascii="宋体" w:hAnsi="宋体" w:eastAsia="宋体" w:cs="Times New Roman"/>
          <w:sz w:val="24"/>
          <w:szCs w:val="24"/>
          <w:highlight w:val="none"/>
          <w:lang w:eastAsia="zh-CN"/>
        </w:rPr>
        <w:t>意向投资方为根据中国证券基金业协会的相关规定完成备案的基金（须提供登记证明文件或以中国证券投资基金业协会网站查询结果为准），且须同时满足以下条件：</w:t>
      </w:r>
    </w:p>
    <w:p>
      <w:pPr>
        <w:widowControl/>
        <w:spacing w:line="480" w:lineRule="atLeast"/>
        <w:ind w:right="105" w:rightChars="50" w:firstLine="480" w:firstLineChars="200"/>
        <w:rPr>
          <w:rFonts w:hint="eastAsia" w:ascii="宋体" w:hAnsi="宋体" w:eastAsia="宋体" w:cs="Times New Roman"/>
          <w:kern w:val="2"/>
          <w:sz w:val="24"/>
          <w:szCs w:val="24"/>
          <w:highlight w:val="none"/>
        </w:rPr>
      </w:pPr>
      <w:r>
        <w:rPr>
          <w:rFonts w:hint="eastAsia" w:ascii="宋体" w:hAnsi="宋体" w:eastAsia="宋体" w:cs="Times New Roman"/>
          <w:kern w:val="2"/>
          <w:sz w:val="24"/>
          <w:szCs w:val="24"/>
          <w:highlight w:val="none"/>
        </w:rPr>
        <w:t>1、意向投资方具有良好的商业信誉、良好的财务状况和支付能力、无重大违法违规行为。</w:t>
      </w:r>
    </w:p>
    <w:p>
      <w:pPr>
        <w:widowControl/>
        <w:spacing w:line="480" w:lineRule="atLeast"/>
        <w:ind w:right="105" w:rightChars="50" w:firstLine="480" w:firstLineChars="200"/>
        <w:rPr>
          <w:rFonts w:hint="eastAsia" w:ascii="宋体" w:hAnsi="宋体" w:eastAsia="宋体" w:cs="Times New Roman"/>
          <w:kern w:val="2"/>
          <w:sz w:val="24"/>
          <w:szCs w:val="24"/>
          <w:highlight w:val="none"/>
        </w:rPr>
      </w:pPr>
      <w:r>
        <w:rPr>
          <w:rFonts w:hint="eastAsia" w:ascii="宋体" w:hAnsi="宋体" w:eastAsia="宋体" w:cs="Times New Roman"/>
          <w:kern w:val="2"/>
          <w:sz w:val="24"/>
          <w:szCs w:val="24"/>
          <w:highlight w:val="none"/>
        </w:rPr>
        <w:t>2、意向投资方及其控制的企业不得与挂牌标的公司存在同业竞争关系。</w:t>
      </w:r>
    </w:p>
    <w:p>
      <w:pPr>
        <w:widowControl/>
        <w:spacing w:line="480" w:lineRule="atLeast"/>
        <w:ind w:right="105" w:rightChars="50" w:firstLine="480" w:firstLineChars="200"/>
        <w:rPr>
          <w:rFonts w:hint="eastAsia" w:ascii="宋体" w:hAnsi="宋体" w:eastAsia="宋体" w:cs="Times New Roman"/>
          <w:kern w:val="2"/>
          <w:sz w:val="24"/>
          <w:szCs w:val="24"/>
          <w:highlight w:val="none"/>
        </w:rPr>
      </w:pPr>
      <w:r>
        <w:rPr>
          <w:rFonts w:hint="eastAsia" w:ascii="宋体" w:hAnsi="宋体" w:cs="Times New Roman"/>
          <w:kern w:val="2"/>
          <w:sz w:val="24"/>
          <w:szCs w:val="24"/>
          <w:highlight w:val="none"/>
          <w:lang w:val="en-US" w:eastAsia="zh-CN"/>
        </w:rPr>
        <w:t>3</w:t>
      </w:r>
      <w:r>
        <w:rPr>
          <w:rFonts w:hint="eastAsia" w:ascii="宋体" w:hAnsi="宋体" w:eastAsia="宋体" w:cs="Times New Roman"/>
          <w:kern w:val="2"/>
          <w:sz w:val="24"/>
          <w:szCs w:val="24"/>
          <w:highlight w:val="none"/>
        </w:rPr>
        <w:t>、意向投资方为单一主体，不存在以联合体形式参与增资的情形。</w:t>
      </w:r>
    </w:p>
    <w:p>
      <w:pPr>
        <w:widowControl/>
        <w:spacing w:line="480" w:lineRule="atLeast"/>
        <w:ind w:right="105" w:rightChars="50" w:firstLine="480" w:firstLineChars="200"/>
        <w:rPr>
          <w:rFonts w:hint="eastAsia" w:ascii="宋体" w:hAnsi="宋体" w:eastAsia="宋体" w:cs="Times New Roman"/>
          <w:kern w:val="2"/>
          <w:sz w:val="24"/>
          <w:szCs w:val="24"/>
          <w:highlight w:val="none"/>
          <w:lang w:eastAsia="zh-CN"/>
        </w:rPr>
      </w:pPr>
      <w:r>
        <w:rPr>
          <w:rFonts w:hint="eastAsia" w:ascii="宋体" w:hAnsi="宋体" w:cs="Times New Roman"/>
          <w:kern w:val="2"/>
          <w:sz w:val="24"/>
          <w:szCs w:val="24"/>
          <w:highlight w:val="none"/>
          <w:lang w:val="en-US" w:eastAsia="zh-CN"/>
        </w:rPr>
        <w:t>4、</w:t>
      </w:r>
      <w:r>
        <w:rPr>
          <w:rFonts w:hint="eastAsia" w:ascii="宋体" w:hAnsi="宋体" w:eastAsia="宋体" w:cs="Times New Roman"/>
          <w:kern w:val="2"/>
          <w:sz w:val="24"/>
          <w:szCs w:val="24"/>
          <w:highlight w:val="none"/>
        </w:rPr>
        <w:t>基金已完成两家或以上材料行业企业投资</w:t>
      </w:r>
      <w:r>
        <w:rPr>
          <w:rFonts w:hint="eastAsia" w:ascii="宋体" w:hAnsi="宋体" w:cs="Times New Roman"/>
          <w:kern w:val="2"/>
          <w:sz w:val="24"/>
          <w:szCs w:val="24"/>
          <w:highlight w:val="none"/>
          <w:lang w:eastAsia="zh-CN"/>
        </w:rPr>
        <w:t>。</w:t>
      </w:r>
    </w:p>
    <w:p>
      <w:pPr>
        <w:widowControl/>
        <w:spacing w:line="480" w:lineRule="atLeast"/>
        <w:ind w:right="105" w:rightChars="50" w:firstLine="480" w:firstLineChars="200"/>
        <w:rPr>
          <w:rFonts w:hint="eastAsia" w:ascii="宋体" w:hAnsi="宋体" w:eastAsia="宋体" w:cs="Times New Roman"/>
          <w:kern w:val="2"/>
          <w:sz w:val="24"/>
          <w:szCs w:val="24"/>
          <w:highlight w:val="none"/>
        </w:rPr>
      </w:pPr>
      <w:r>
        <w:rPr>
          <w:rFonts w:hint="eastAsia" w:ascii="宋体" w:hAnsi="宋体" w:cs="Times New Roman"/>
          <w:kern w:val="2"/>
          <w:sz w:val="24"/>
          <w:szCs w:val="24"/>
          <w:highlight w:val="none"/>
          <w:lang w:val="en-US" w:eastAsia="zh-CN"/>
        </w:rPr>
        <w:t>5、</w:t>
      </w:r>
      <w:r>
        <w:rPr>
          <w:rFonts w:hint="eastAsia" w:ascii="宋体" w:hAnsi="宋体" w:eastAsia="宋体" w:cs="Times New Roman"/>
          <w:kern w:val="2"/>
          <w:sz w:val="24"/>
          <w:szCs w:val="24"/>
          <w:highlight w:val="none"/>
        </w:rPr>
        <w:t>基金已投资公司中至少有一家已递交IPO申请并获得受理</w:t>
      </w:r>
      <w:r>
        <w:rPr>
          <w:rFonts w:hint="eastAsia" w:ascii="宋体" w:hAnsi="宋体" w:cs="Times New Roman"/>
          <w:kern w:val="2"/>
          <w:sz w:val="24"/>
          <w:szCs w:val="24"/>
          <w:highlight w:val="none"/>
          <w:lang w:val="en-US" w:eastAsia="zh-CN"/>
        </w:rPr>
        <w:t>。</w:t>
      </w:r>
    </w:p>
    <w:p>
      <w:pPr>
        <w:widowControl/>
        <w:spacing w:line="480" w:lineRule="atLeast"/>
        <w:ind w:right="105" w:rightChars="50" w:firstLine="480" w:firstLineChars="200"/>
        <w:rPr>
          <w:rFonts w:hint="eastAsia" w:ascii="宋体" w:hAnsi="宋体" w:eastAsia="宋体" w:cs="Times New Roman"/>
          <w:kern w:val="2"/>
          <w:sz w:val="24"/>
          <w:szCs w:val="24"/>
          <w:highlight w:val="none"/>
        </w:rPr>
      </w:pPr>
      <w:r>
        <w:rPr>
          <w:rFonts w:hint="eastAsia" w:ascii="宋体" w:hAnsi="宋体" w:cs="Times New Roman"/>
          <w:kern w:val="2"/>
          <w:sz w:val="24"/>
          <w:szCs w:val="24"/>
          <w:highlight w:val="none"/>
          <w:lang w:val="en-US" w:eastAsia="zh-CN"/>
        </w:rPr>
        <w:t>6、</w:t>
      </w:r>
      <w:r>
        <w:rPr>
          <w:rFonts w:hint="eastAsia" w:ascii="宋体" w:hAnsi="宋体" w:eastAsia="宋体" w:cs="Times New Roman"/>
          <w:kern w:val="2"/>
          <w:sz w:val="24"/>
          <w:szCs w:val="24"/>
          <w:highlight w:val="none"/>
        </w:rPr>
        <w:t>基金管理人有能力和资源为融资方提供产业和研发资源的多方面支持，主要股东（持股比例不低于33%）或主要股东的实际控制人须同时包括：</w:t>
      </w:r>
    </w:p>
    <w:p>
      <w:pPr>
        <w:widowControl/>
        <w:spacing w:line="480" w:lineRule="atLeast"/>
        <w:ind w:right="105" w:rightChars="50" w:firstLine="480" w:firstLineChars="200"/>
        <w:rPr>
          <w:rFonts w:hint="eastAsia" w:ascii="宋体" w:hAnsi="宋体" w:eastAsia="宋体" w:cs="Times New Roman"/>
          <w:kern w:val="2"/>
          <w:sz w:val="24"/>
          <w:szCs w:val="24"/>
          <w:highlight w:val="none"/>
        </w:rPr>
      </w:pPr>
      <w:r>
        <w:rPr>
          <w:rFonts w:hint="eastAsia" w:ascii="宋体" w:hAnsi="宋体" w:eastAsia="宋体" w:cs="Times New Roman"/>
          <w:kern w:val="2"/>
          <w:sz w:val="24"/>
          <w:szCs w:val="24"/>
          <w:highlight w:val="none"/>
        </w:rPr>
        <w:t>Ⅰ</w:t>
      </w:r>
      <w:r>
        <w:rPr>
          <w:rFonts w:hint="eastAsia" w:ascii="宋体" w:hAnsi="宋体" w:eastAsia="宋体" w:cs="Times New Roman"/>
          <w:kern w:val="2"/>
          <w:sz w:val="24"/>
          <w:szCs w:val="24"/>
          <w:highlight w:val="none"/>
          <w:lang w:val="en-US" w:eastAsia="zh-CN"/>
        </w:rPr>
        <w:t>.</w:t>
      </w:r>
      <w:r>
        <w:rPr>
          <w:rFonts w:hint="eastAsia" w:ascii="宋体" w:hAnsi="宋体" w:eastAsia="宋体" w:cs="Times New Roman"/>
          <w:kern w:val="2"/>
          <w:sz w:val="24"/>
          <w:szCs w:val="24"/>
          <w:highlight w:val="none"/>
        </w:rPr>
        <w:t>世界500强企业且排名在100名内（以《财富》杂志2019年公布的榜单为准），注册地在中国大陆，注册资本不低于400亿元人民币，2019年销售额不低于5000亿人民币，且在材料领域有广泛的产业布局和运营管理经验，具备为融资方提供产业支持的资源和能力</w:t>
      </w:r>
      <w:r>
        <w:rPr>
          <w:rFonts w:hint="eastAsia" w:ascii="宋体" w:hAnsi="宋体" w:cs="Times New Roman"/>
          <w:kern w:val="2"/>
          <w:sz w:val="24"/>
          <w:szCs w:val="24"/>
          <w:highlight w:val="none"/>
          <w:lang w:val="en-US" w:eastAsia="zh-CN"/>
        </w:rPr>
        <w:t>。</w:t>
      </w:r>
    </w:p>
    <w:p>
      <w:pPr>
        <w:widowControl/>
        <w:spacing w:line="480" w:lineRule="atLeast"/>
        <w:ind w:right="105" w:rightChars="50" w:firstLine="480" w:firstLineChars="200"/>
        <w:rPr>
          <w:rFonts w:hint="eastAsia" w:ascii="宋体" w:hAnsi="宋体" w:eastAsia="宋体" w:cs="Times New Roman"/>
          <w:kern w:val="2"/>
          <w:sz w:val="24"/>
          <w:szCs w:val="24"/>
          <w:highlight w:val="none"/>
        </w:rPr>
      </w:pPr>
      <w:r>
        <w:rPr>
          <w:rFonts w:hint="eastAsia" w:ascii="宋体" w:hAnsi="宋体" w:eastAsia="宋体" w:cs="Times New Roman"/>
          <w:kern w:val="2"/>
          <w:sz w:val="24"/>
          <w:szCs w:val="24"/>
          <w:highlight w:val="none"/>
        </w:rPr>
        <w:t>Ⅱ</w:t>
      </w:r>
      <w:r>
        <w:rPr>
          <w:rFonts w:hint="eastAsia" w:ascii="宋体" w:hAnsi="宋体" w:eastAsia="宋体" w:cs="Times New Roman"/>
          <w:kern w:val="2"/>
          <w:sz w:val="24"/>
          <w:szCs w:val="24"/>
          <w:highlight w:val="none"/>
          <w:lang w:val="en-US" w:eastAsia="zh-CN"/>
        </w:rPr>
        <w:t>.</w:t>
      </w:r>
      <w:r>
        <w:rPr>
          <w:rFonts w:hint="eastAsia" w:ascii="宋体" w:hAnsi="宋体" w:eastAsia="宋体" w:cs="Times New Roman"/>
          <w:kern w:val="2"/>
          <w:sz w:val="24"/>
          <w:szCs w:val="24"/>
          <w:highlight w:val="none"/>
        </w:rPr>
        <w:t>国内知名院校（以教育部2017年公布的</w:t>
      </w:r>
      <w:r>
        <w:rPr>
          <w:rFonts w:hint="eastAsia" w:ascii="宋体" w:hAnsi="宋体" w:eastAsia="宋体" w:cs="Times New Roman"/>
          <w:kern w:val="2"/>
          <w:sz w:val="24"/>
          <w:szCs w:val="24"/>
          <w:highlight w:val="none"/>
        </w:rPr>
        <w:fldChar w:fldCharType="begin"/>
      </w:r>
      <w:r>
        <w:rPr>
          <w:rFonts w:hint="eastAsia" w:ascii="宋体" w:hAnsi="宋体" w:eastAsia="宋体" w:cs="Times New Roman"/>
          <w:kern w:val="2"/>
          <w:sz w:val="24"/>
          <w:szCs w:val="24"/>
          <w:highlight w:val="none"/>
        </w:rPr>
        <w:instrText xml:space="preserve"> HYPERLINK "http://www.moe.gov.cn/srcsite/A22/moe_843/201709/W020170921369558197676.docx" \t "_blank" </w:instrText>
      </w:r>
      <w:r>
        <w:rPr>
          <w:rFonts w:hint="eastAsia" w:ascii="宋体" w:hAnsi="宋体" w:eastAsia="宋体" w:cs="Times New Roman"/>
          <w:kern w:val="2"/>
          <w:sz w:val="24"/>
          <w:szCs w:val="24"/>
          <w:highlight w:val="none"/>
        </w:rPr>
        <w:fldChar w:fldCharType="separate"/>
      </w:r>
      <w:r>
        <w:rPr>
          <w:rFonts w:hint="eastAsia" w:ascii="宋体" w:hAnsi="宋体" w:eastAsia="宋体" w:cs="Times New Roman"/>
          <w:kern w:val="2"/>
          <w:sz w:val="24"/>
          <w:szCs w:val="24"/>
          <w:highlight w:val="none"/>
        </w:rPr>
        <w:t>“双一流”建设高校名单</w:t>
      </w:r>
      <w:r>
        <w:rPr>
          <w:rFonts w:hint="eastAsia" w:ascii="宋体" w:hAnsi="宋体" w:eastAsia="宋体" w:cs="Times New Roman"/>
          <w:kern w:val="2"/>
          <w:sz w:val="24"/>
          <w:szCs w:val="24"/>
          <w:highlight w:val="none"/>
        </w:rPr>
        <w:fldChar w:fldCharType="end"/>
      </w:r>
      <w:r>
        <w:rPr>
          <w:rFonts w:hint="eastAsia" w:ascii="宋体" w:hAnsi="宋体" w:eastAsia="宋体" w:cs="Times New Roman"/>
          <w:kern w:val="2"/>
          <w:sz w:val="24"/>
          <w:szCs w:val="24"/>
          <w:highlight w:val="none"/>
        </w:rPr>
        <w:t>为准），具备为融资方提供高水平研发资源支持的能力</w:t>
      </w:r>
      <w:r>
        <w:rPr>
          <w:rFonts w:hint="eastAsia" w:ascii="宋体" w:hAnsi="宋体" w:cs="Times New Roman"/>
          <w:kern w:val="2"/>
          <w:sz w:val="24"/>
          <w:szCs w:val="24"/>
          <w:highlight w:val="none"/>
          <w:lang w:val="en-US" w:eastAsia="zh-CN"/>
        </w:rPr>
        <w:t>。</w:t>
      </w:r>
    </w:p>
    <w:p>
      <w:pPr>
        <w:widowControl/>
        <w:spacing w:line="480" w:lineRule="atLeast"/>
        <w:ind w:right="105" w:rightChars="50" w:firstLine="480" w:firstLineChars="200"/>
        <w:rPr>
          <w:rFonts w:hint="eastAsia" w:ascii="宋体" w:hAnsi="宋体" w:eastAsia="宋体" w:cs="Times New Roman"/>
          <w:kern w:val="2"/>
          <w:sz w:val="24"/>
          <w:szCs w:val="24"/>
          <w:highlight w:val="none"/>
        </w:rPr>
      </w:pPr>
      <w:r>
        <w:rPr>
          <w:rFonts w:hint="eastAsia" w:ascii="宋体" w:hAnsi="宋体" w:cs="Times New Roman"/>
          <w:kern w:val="2"/>
          <w:sz w:val="24"/>
          <w:szCs w:val="24"/>
          <w:highlight w:val="none"/>
          <w:lang w:val="en-US" w:eastAsia="zh-CN"/>
        </w:rPr>
        <w:t>7、</w:t>
      </w:r>
      <w:r>
        <w:rPr>
          <w:rFonts w:hint="eastAsia" w:ascii="宋体" w:hAnsi="宋体" w:eastAsia="宋体" w:cs="Times New Roman"/>
          <w:kern w:val="2"/>
          <w:sz w:val="24"/>
          <w:szCs w:val="24"/>
          <w:highlight w:val="none"/>
        </w:rPr>
        <w:t xml:space="preserve">基金出资人中包括以材料为主营业务（以工商登记的经营范围为准）的有限合伙人 </w:t>
      </w:r>
      <w:r>
        <w:rPr>
          <w:rFonts w:hint="eastAsia" w:ascii="宋体" w:hAnsi="宋体" w:cs="Times New Roman"/>
          <w:kern w:val="2"/>
          <w:sz w:val="24"/>
          <w:szCs w:val="24"/>
          <w:highlight w:val="none"/>
          <w:lang w:val="en-US" w:eastAsia="zh-CN"/>
        </w:rPr>
        <w:t>。</w:t>
      </w:r>
    </w:p>
    <w:p>
      <w:pPr>
        <w:numPr>
          <w:ilvl w:val="-1"/>
          <w:numId w:val="0"/>
        </w:numPr>
        <w:spacing w:line="480" w:lineRule="atLeast"/>
        <w:ind w:right="105" w:rightChars="50" w:firstLine="480" w:firstLineChars="200"/>
        <w:rPr>
          <w:rFonts w:hint="eastAsia" w:ascii="宋体" w:hAnsi="宋体" w:eastAsia="宋体" w:cs="Times New Roman"/>
          <w:kern w:val="2"/>
          <w:sz w:val="24"/>
          <w:szCs w:val="24"/>
          <w:highlight w:val="none"/>
          <w:lang w:eastAsia="zh-CN"/>
        </w:rPr>
      </w:pPr>
      <w:r>
        <w:rPr>
          <w:rFonts w:hint="eastAsia" w:ascii="宋体" w:hAnsi="宋体" w:cs="Times New Roman"/>
          <w:kern w:val="2"/>
          <w:sz w:val="24"/>
          <w:szCs w:val="24"/>
          <w:highlight w:val="none"/>
          <w:lang w:val="en-US" w:eastAsia="zh-CN"/>
        </w:rPr>
        <w:t>8、</w:t>
      </w:r>
      <w:r>
        <w:rPr>
          <w:rFonts w:hint="eastAsia" w:ascii="宋体" w:hAnsi="宋体" w:eastAsia="宋体" w:cs="Times New Roman"/>
          <w:kern w:val="2"/>
          <w:sz w:val="24"/>
          <w:szCs w:val="24"/>
          <w:highlight w:val="none"/>
        </w:rPr>
        <w:t>基金不存在分级收益等结构化安排，其合伙人不存在委托持股、契约型私募基金、信托计划、资产管理计划等情形</w:t>
      </w:r>
      <w:r>
        <w:rPr>
          <w:rFonts w:hint="eastAsia" w:ascii="宋体" w:hAnsi="宋体" w:eastAsia="宋体" w:cs="Times New Roman"/>
          <w:kern w:val="2"/>
          <w:sz w:val="24"/>
          <w:szCs w:val="24"/>
          <w:highlight w:val="none"/>
          <w:lang w:eastAsia="zh-CN"/>
        </w:rPr>
        <w:t>。</w:t>
      </w:r>
    </w:p>
    <w:p>
      <w:pPr>
        <w:numPr>
          <w:ilvl w:val="255"/>
          <w:numId w:val="0"/>
        </w:numPr>
        <w:spacing w:line="360" w:lineRule="auto"/>
        <w:ind w:firstLine="480" w:firstLineChars="200"/>
        <w:jc w:val="left"/>
        <w:rPr>
          <w:rFonts w:ascii="宋体" w:hAnsi="宋体"/>
          <w:sz w:val="24"/>
          <w:szCs w:val="24"/>
          <w:highlight w:val="none"/>
        </w:rPr>
      </w:pPr>
      <w:r>
        <w:rPr>
          <w:rFonts w:hint="eastAsia" w:ascii="宋体" w:hAnsi="宋体"/>
          <w:sz w:val="24"/>
          <w:szCs w:val="24"/>
          <w:highlight w:val="none"/>
        </w:rPr>
        <w:t>五、报名须知</w:t>
      </w:r>
    </w:p>
    <w:p>
      <w:pPr>
        <w:spacing w:line="480" w:lineRule="atLeast"/>
        <w:ind w:right="105" w:rightChars="50" w:firstLine="480" w:firstLineChars="200"/>
        <w:jc w:val="left"/>
        <w:rPr>
          <w:rFonts w:ascii="宋体" w:hAnsi="宋体"/>
          <w:sz w:val="24"/>
          <w:szCs w:val="24"/>
          <w:highlight w:val="none"/>
        </w:rPr>
      </w:pPr>
      <w:r>
        <w:rPr>
          <w:rFonts w:hint="eastAsia" w:ascii="宋体" w:hAnsi="宋体"/>
          <w:sz w:val="24"/>
          <w:szCs w:val="24"/>
          <w:highlight w:val="none"/>
        </w:rPr>
        <w:t>1、</w:t>
      </w:r>
      <w:r>
        <w:rPr>
          <w:rFonts w:hint="eastAsia" w:ascii="宋体" w:hAnsi="宋体"/>
          <w:sz w:val="24"/>
          <w:szCs w:val="24"/>
          <w:highlight w:val="none"/>
          <w:lang w:val="en-US" w:eastAsia="zh-CN"/>
        </w:rPr>
        <w:t>意向</w:t>
      </w:r>
      <w:r>
        <w:rPr>
          <w:rFonts w:hint="eastAsia" w:ascii="宋体" w:hAnsi="宋体"/>
          <w:sz w:val="24"/>
          <w:szCs w:val="24"/>
          <w:highlight w:val="none"/>
        </w:rPr>
        <w:t>投资方认购金额不低于</w:t>
      </w:r>
      <w:r>
        <w:rPr>
          <w:rFonts w:hint="eastAsia" w:ascii="宋体" w:hAnsi="宋体"/>
          <w:sz w:val="24"/>
          <w:szCs w:val="24"/>
          <w:highlight w:val="none"/>
          <w:lang w:val="en-US" w:eastAsia="zh-CN"/>
        </w:rPr>
        <w:t>80,000,000.00</w:t>
      </w:r>
      <w:r>
        <w:rPr>
          <w:rFonts w:hint="eastAsia" w:ascii="宋体" w:hAnsi="宋体"/>
          <w:sz w:val="24"/>
          <w:szCs w:val="24"/>
          <w:highlight w:val="none"/>
        </w:rPr>
        <w:t>元人民币。</w:t>
      </w:r>
    </w:p>
    <w:p>
      <w:pPr>
        <w:spacing w:line="480" w:lineRule="atLeast"/>
        <w:ind w:right="105" w:rightChars="50" w:firstLine="480" w:firstLineChars="200"/>
        <w:jc w:val="left"/>
        <w:rPr>
          <w:rFonts w:ascii="宋体" w:hAnsi="宋体"/>
          <w:sz w:val="24"/>
          <w:highlight w:val="none"/>
        </w:rPr>
      </w:pPr>
      <w:r>
        <w:rPr>
          <w:rFonts w:hint="eastAsia" w:ascii="宋体" w:hAnsi="宋体"/>
          <w:sz w:val="24"/>
          <w:szCs w:val="24"/>
          <w:highlight w:val="none"/>
        </w:rPr>
        <w:t>2、</w:t>
      </w:r>
      <w:r>
        <w:rPr>
          <w:rFonts w:hint="eastAsia" w:ascii="宋体" w:hAnsi="宋体"/>
          <w:sz w:val="24"/>
          <w:highlight w:val="none"/>
        </w:rPr>
        <w:t>浙江海正生物材料股份有限公司原股东</w:t>
      </w:r>
      <w:r>
        <w:rPr>
          <w:rFonts w:hint="eastAsia" w:ascii="宋体" w:hAnsi="宋体"/>
          <w:sz w:val="24"/>
          <w:highlight w:val="none"/>
          <w:lang w:val="en-US" w:eastAsia="zh-CN"/>
        </w:rPr>
        <w:t>享有同比例增资权利</w:t>
      </w:r>
      <w:r>
        <w:rPr>
          <w:rFonts w:hint="eastAsia" w:ascii="宋体" w:hAnsi="宋体"/>
          <w:sz w:val="24"/>
          <w:highlight w:val="none"/>
        </w:rPr>
        <w:t>，</w:t>
      </w:r>
      <w:r>
        <w:rPr>
          <w:rFonts w:hint="eastAsia" w:ascii="宋体" w:hAnsi="宋体"/>
          <w:sz w:val="24"/>
          <w:highlight w:val="none"/>
          <w:lang w:eastAsia="zh-CN"/>
        </w:rPr>
        <w:t>浙江海正生物材料股份有限公司员工</w:t>
      </w:r>
      <w:r>
        <w:rPr>
          <w:rFonts w:hint="eastAsia" w:ascii="宋体" w:hAnsi="宋体"/>
          <w:sz w:val="24"/>
          <w:highlight w:val="none"/>
          <w:lang w:val="en-US" w:eastAsia="zh-CN"/>
        </w:rPr>
        <w:t>持股平台</w:t>
      </w:r>
      <w:r>
        <w:rPr>
          <w:rFonts w:hint="eastAsia" w:ascii="宋体" w:hAnsi="宋体"/>
          <w:sz w:val="24"/>
          <w:highlight w:val="none"/>
          <w:lang w:eastAsia="zh-CN"/>
        </w:rPr>
        <w:t>同步增资，增资</w:t>
      </w:r>
      <w:r>
        <w:rPr>
          <w:rFonts w:hint="eastAsia" w:ascii="宋体" w:hAnsi="宋体"/>
          <w:sz w:val="24"/>
          <w:highlight w:val="none"/>
        </w:rPr>
        <w:t>认购价格为本次</w:t>
      </w:r>
      <w:r>
        <w:rPr>
          <w:rFonts w:hint="eastAsia" w:ascii="宋体" w:hAnsi="宋体"/>
          <w:sz w:val="24"/>
          <w:highlight w:val="none"/>
          <w:lang w:val="en-US" w:eastAsia="zh-CN"/>
        </w:rPr>
        <w:t>挂牌</w:t>
      </w:r>
      <w:r>
        <w:rPr>
          <w:rFonts w:hint="eastAsia" w:ascii="宋体" w:hAnsi="宋体"/>
          <w:sz w:val="24"/>
          <w:highlight w:val="none"/>
          <w:lang w:eastAsia="zh-CN"/>
        </w:rPr>
        <w:t>成交价</w:t>
      </w:r>
      <w:r>
        <w:rPr>
          <w:rFonts w:hint="eastAsia" w:ascii="宋体" w:hAnsi="宋体"/>
          <w:sz w:val="24"/>
          <w:highlight w:val="none"/>
        </w:rPr>
        <w:t>。</w:t>
      </w:r>
    </w:p>
    <w:p>
      <w:pPr>
        <w:spacing w:line="480" w:lineRule="atLeast"/>
        <w:ind w:right="105" w:rightChars="50" w:firstLine="480" w:firstLineChars="200"/>
        <w:jc w:val="left"/>
        <w:rPr>
          <w:rFonts w:ascii="宋体" w:hAnsi="宋体"/>
          <w:sz w:val="24"/>
          <w:highlight w:val="none"/>
        </w:rPr>
      </w:pPr>
      <w:r>
        <w:rPr>
          <w:rFonts w:hint="eastAsia" w:ascii="宋体" w:hAnsi="宋体"/>
          <w:sz w:val="24"/>
          <w:highlight w:val="none"/>
        </w:rPr>
        <w:t>3、台州市椒江城市发展投资集团有限公司根据</w:t>
      </w:r>
      <w:r>
        <w:rPr>
          <w:rFonts w:hint="eastAsia" w:ascii="宋体" w:hAnsi="宋体"/>
          <w:sz w:val="24"/>
          <w:highlight w:val="none"/>
          <w:lang w:val="en-US" w:eastAsia="zh-CN"/>
        </w:rPr>
        <w:t>椒国资办【2020】20号文件同步增资，增资金额不超过20,000,000.00元</w:t>
      </w:r>
      <w:r>
        <w:rPr>
          <w:rFonts w:hint="eastAsia" w:ascii="宋体" w:hAnsi="宋体"/>
          <w:sz w:val="24"/>
          <w:szCs w:val="24"/>
          <w:highlight w:val="none"/>
        </w:rPr>
        <w:t>人民币</w:t>
      </w:r>
      <w:r>
        <w:rPr>
          <w:rFonts w:hint="eastAsia" w:ascii="宋体" w:hAnsi="宋体"/>
          <w:sz w:val="24"/>
          <w:highlight w:val="none"/>
        </w:rPr>
        <w:t>，</w:t>
      </w:r>
      <w:r>
        <w:rPr>
          <w:rFonts w:hint="eastAsia" w:ascii="宋体" w:hAnsi="宋体"/>
          <w:sz w:val="24"/>
          <w:highlight w:val="none"/>
          <w:lang w:val="en-US" w:eastAsia="zh-CN"/>
        </w:rPr>
        <w:t>增资</w:t>
      </w:r>
      <w:r>
        <w:rPr>
          <w:rFonts w:hint="eastAsia" w:ascii="宋体" w:hAnsi="宋体"/>
          <w:sz w:val="24"/>
          <w:highlight w:val="none"/>
        </w:rPr>
        <w:t>认购价格为本次</w:t>
      </w:r>
      <w:r>
        <w:rPr>
          <w:rFonts w:hint="eastAsia" w:ascii="宋体" w:hAnsi="宋体"/>
          <w:sz w:val="24"/>
          <w:highlight w:val="none"/>
          <w:lang w:val="en-US" w:eastAsia="zh-CN"/>
        </w:rPr>
        <w:t>挂牌成交价</w:t>
      </w:r>
      <w:r>
        <w:rPr>
          <w:rFonts w:hint="eastAsia" w:ascii="宋体" w:hAnsi="宋体"/>
          <w:sz w:val="24"/>
          <w:highlight w:val="none"/>
        </w:rPr>
        <w:t>。</w:t>
      </w:r>
    </w:p>
    <w:p>
      <w:pPr>
        <w:spacing w:line="480" w:lineRule="atLeast"/>
        <w:ind w:right="105" w:rightChars="50" w:firstLine="480" w:firstLineChars="200"/>
        <w:jc w:val="left"/>
        <w:rPr>
          <w:rFonts w:hint="eastAsia" w:ascii="宋体" w:hAnsi="宋体"/>
          <w:sz w:val="24"/>
          <w:szCs w:val="24"/>
          <w:highlight w:val="none"/>
        </w:rPr>
      </w:pPr>
      <w:r>
        <w:rPr>
          <w:rFonts w:hint="eastAsia" w:ascii="宋体" w:hAnsi="宋体"/>
          <w:sz w:val="24"/>
          <w:szCs w:val="24"/>
          <w:highlight w:val="none"/>
        </w:rPr>
        <w:t>4、凡报名者企业法人须持营业执照（或者其他注册证明文件）复印件、《增资扩股投资申请书》、法定代表人身份证（委托书、委托人身份证、受托人身份证）、公司章程、相关决议、投资方条件要求的相关材料</w:t>
      </w:r>
      <w:r>
        <w:rPr>
          <w:rFonts w:hint="eastAsia" w:ascii="宋体" w:hAnsi="宋体"/>
          <w:sz w:val="24"/>
          <w:szCs w:val="24"/>
          <w:highlight w:val="none"/>
          <w:lang w:eastAsia="zh-CN"/>
        </w:rPr>
        <w:t>，上述材料须全部加盖公章</w:t>
      </w:r>
      <w:r>
        <w:rPr>
          <w:rFonts w:hint="eastAsia" w:ascii="宋体" w:hAnsi="宋体"/>
          <w:sz w:val="24"/>
          <w:szCs w:val="24"/>
          <w:highlight w:val="none"/>
        </w:rPr>
        <w:t>。报名时须足额缴付保证金。</w:t>
      </w:r>
    </w:p>
    <w:p>
      <w:pPr>
        <w:spacing w:line="480" w:lineRule="atLeast"/>
        <w:ind w:right="105" w:rightChars="50" w:firstLine="480" w:firstLineChars="200"/>
        <w:jc w:val="left"/>
        <w:rPr>
          <w:rFonts w:ascii="宋体" w:hAnsi="宋体"/>
          <w:sz w:val="24"/>
          <w:szCs w:val="24"/>
          <w:highlight w:val="none"/>
        </w:rPr>
      </w:pPr>
      <w:r>
        <w:rPr>
          <w:rFonts w:hint="eastAsia" w:ascii="宋体" w:hAnsi="宋体"/>
          <w:sz w:val="24"/>
          <w:szCs w:val="24"/>
          <w:highlight w:val="none"/>
        </w:rPr>
        <w:t>六、实行网络报名：台州市公共资源交易网（</w:t>
      </w:r>
      <w:r>
        <w:rPr>
          <w:highlight w:val="none"/>
        </w:rPr>
        <w:fldChar w:fldCharType="begin"/>
      </w:r>
      <w:r>
        <w:rPr>
          <w:highlight w:val="none"/>
        </w:rPr>
        <w:instrText xml:space="preserve"> HYPERLINK "http://www.tzztb.com/tzcms/" </w:instrText>
      </w:r>
      <w:r>
        <w:rPr>
          <w:highlight w:val="none"/>
        </w:rPr>
        <w:fldChar w:fldCharType="separate"/>
      </w:r>
      <w:r>
        <w:rPr>
          <w:rFonts w:hint="eastAsia" w:ascii="宋体" w:hAnsi="宋体"/>
          <w:sz w:val="24"/>
          <w:szCs w:val="24"/>
          <w:highlight w:val="none"/>
        </w:rPr>
        <w:t>http://www.tzztb.com/tzcms/</w:t>
      </w:r>
      <w:r>
        <w:rPr>
          <w:rFonts w:hint="eastAsia" w:ascii="宋体" w:hAnsi="宋体"/>
          <w:sz w:val="24"/>
          <w:szCs w:val="24"/>
          <w:highlight w:val="none"/>
        </w:rPr>
        <w:fldChar w:fldCharType="end"/>
      </w:r>
      <w:r>
        <w:rPr>
          <w:rFonts w:hint="eastAsia" w:ascii="宋体" w:hAnsi="宋体"/>
          <w:sz w:val="24"/>
          <w:szCs w:val="24"/>
          <w:highlight w:val="none"/>
        </w:rPr>
        <w:t>），现场资格确认。</w:t>
      </w:r>
    </w:p>
    <w:p>
      <w:pPr>
        <w:widowControl/>
        <w:spacing w:line="480" w:lineRule="atLeast"/>
        <w:ind w:right="105" w:rightChars="50" w:firstLine="480" w:firstLineChars="200"/>
        <w:jc w:val="left"/>
        <w:rPr>
          <w:rFonts w:ascii="宋体" w:hAnsi="宋体"/>
          <w:sz w:val="24"/>
          <w:szCs w:val="24"/>
          <w:highlight w:val="none"/>
        </w:rPr>
      </w:pPr>
      <w:r>
        <w:rPr>
          <w:rFonts w:hint="eastAsia" w:ascii="宋体" w:hAnsi="宋体"/>
          <w:sz w:val="24"/>
          <w:szCs w:val="24"/>
          <w:highlight w:val="none"/>
        </w:rPr>
        <w:t>资格确认时间：2020年</w:t>
      </w:r>
      <w:r>
        <w:rPr>
          <w:rFonts w:hint="eastAsia" w:ascii="宋体" w:hAnsi="宋体"/>
          <w:sz w:val="24"/>
          <w:szCs w:val="24"/>
          <w:highlight w:val="none"/>
          <w:lang w:eastAsia="zh-CN"/>
        </w:rPr>
        <w:t>1</w:t>
      </w:r>
      <w:r>
        <w:rPr>
          <w:rFonts w:hint="eastAsia" w:ascii="宋体" w:hAnsi="宋体"/>
          <w:sz w:val="24"/>
          <w:szCs w:val="24"/>
          <w:highlight w:val="none"/>
          <w:lang w:val="en-US" w:eastAsia="zh-CN"/>
        </w:rPr>
        <w:t>1</w:t>
      </w:r>
      <w:r>
        <w:rPr>
          <w:rFonts w:hint="eastAsia" w:ascii="宋体" w:hAnsi="宋体"/>
          <w:sz w:val="24"/>
          <w:szCs w:val="24"/>
          <w:highlight w:val="none"/>
        </w:rPr>
        <w:t>月</w:t>
      </w:r>
      <w:r>
        <w:rPr>
          <w:rFonts w:hint="eastAsia" w:ascii="宋体" w:hAnsi="宋体"/>
          <w:sz w:val="24"/>
          <w:szCs w:val="24"/>
          <w:highlight w:val="none"/>
          <w:lang w:eastAsia="zh-CN"/>
        </w:rPr>
        <w:t>3</w:t>
      </w:r>
      <w:r>
        <w:rPr>
          <w:rFonts w:hint="eastAsia" w:ascii="宋体" w:hAnsi="宋体"/>
          <w:sz w:val="24"/>
          <w:szCs w:val="24"/>
          <w:highlight w:val="none"/>
        </w:rPr>
        <w:t>日至2020年</w:t>
      </w:r>
      <w:r>
        <w:rPr>
          <w:rFonts w:hint="eastAsia" w:ascii="宋体" w:hAnsi="宋体"/>
          <w:sz w:val="24"/>
          <w:szCs w:val="24"/>
          <w:highlight w:val="none"/>
          <w:lang w:eastAsia="zh-CN"/>
        </w:rPr>
        <w:t>1</w:t>
      </w:r>
      <w:r>
        <w:rPr>
          <w:rFonts w:hint="eastAsia" w:ascii="宋体" w:hAnsi="宋体"/>
          <w:sz w:val="24"/>
          <w:szCs w:val="24"/>
          <w:highlight w:val="none"/>
          <w:lang w:val="en-US" w:eastAsia="zh-CN"/>
        </w:rPr>
        <w:t>2</w:t>
      </w:r>
      <w:r>
        <w:rPr>
          <w:rFonts w:hint="eastAsia" w:ascii="宋体" w:hAnsi="宋体"/>
          <w:sz w:val="24"/>
          <w:szCs w:val="24"/>
          <w:highlight w:val="none"/>
        </w:rPr>
        <w:t>月</w:t>
      </w:r>
      <w:r>
        <w:rPr>
          <w:rFonts w:hint="eastAsia" w:ascii="宋体" w:hAnsi="宋体"/>
          <w:sz w:val="24"/>
          <w:szCs w:val="24"/>
          <w:highlight w:val="none"/>
          <w:lang w:eastAsia="zh-CN"/>
        </w:rPr>
        <w:t>2</w:t>
      </w:r>
      <w:r>
        <w:rPr>
          <w:rFonts w:hint="eastAsia" w:ascii="宋体" w:hAnsi="宋体"/>
          <w:sz w:val="24"/>
          <w:szCs w:val="24"/>
          <w:highlight w:val="none"/>
          <w:lang w:val="en-US" w:eastAsia="zh-CN"/>
        </w:rPr>
        <w:t>8</w:t>
      </w:r>
      <w:r>
        <w:rPr>
          <w:rFonts w:hint="eastAsia" w:ascii="宋体" w:hAnsi="宋体"/>
          <w:sz w:val="24"/>
          <w:szCs w:val="24"/>
          <w:highlight w:val="none"/>
        </w:rPr>
        <w:t>日下午4：00前（上午8：30－11：30，下午14：00－</w:t>
      </w:r>
      <w:r>
        <w:rPr>
          <w:rFonts w:hint="eastAsia" w:ascii="宋体" w:hAnsi="宋体"/>
          <w:sz w:val="24"/>
          <w:szCs w:val="24"/>
          <w:highlight w:val="none"/>
          <w:lang w:val="en-US" w:eastAsia="zh-CN"/>
        </w:rPr>
        <w:t>16</w:t>
      </w:r>
      <w:r>
        <w:rPr>
          <w:rFonts w:hint="eastAsia" w:ascii="宋体" w:hAnsi="宋体"/>
          <w:sz w:val="24"/>
          <w:szCs w:val="24"/>
          <w:highlight w:val="none"/>
        </w:rPr>
        <w:t>：00时，节假日除外）。</w:t>
      </w:r>
    </w:p>
    <w:p>
      <w:pPr>
        <w:widowControl/>
        <w:spacing w:line="480" w:lineRule="atLeast"/>
        <w:ind w:right="105" w:rightChars="50" w:firstLine="480" w:firstLineChars="200"/>
        <w:jc w:val="left"/>
        <w:rPr>
          <w:rFonts w:ascii="宋体" w:hAnsi="宋体"/>
          <w:sz w:val="24"/>
          <w:szCs w:val="24"/>
          <w:highlight w:val="none"/>
        </w:rPr>
      </w:pPr>
      <w:r>
        <w:rPr>
          <w:rFonts w:hint="eastAsia" w:ascii="宋体" w:hAnsi="宋体"/>
          <w:sz w:val="24"/>
          <w:szCs w:val="24"/>
          <w:highlight w:val="none"/>
        </w:rPr>
        <w:t>资格确认地址：台州市产权交易所</w:t>
      </w:r>
      <w:r>
        <w:rPr>
          <w:rFonts w:hint="eastAsia" w:ascii="宋体" w:hAnsi="宋体"/>
          <w:sz w:val="24"/>
          <w:szCs w:val="24"/>
          <w:highlight w:val="none"/>
          <w:lang w:eastAsia="zh-CN"/>
        </w:rPr>
        <w:t>有限公司</w:t>
      </w:r>
      <w:r>
        <w:rPr>
          <w:rFonts w:hint="eastAsia" w:ascii="宋体" w:hAnsi="宋体"/>
          <w:sz w:val="24"/>
          <w:szCs w:val="24"/>
          <w:highlight w:val="none"/>
        </w:rPr>
        <w:t>（台州市市府大道777号浙江民泰商业银行五楼511室）。</w:t>
      </w:r>
    </w:p>
    <w:p>
      <w:pPr>
        <w:spacing w:line="480" w:lineRule="atLeast"/>
        <w:ind w:right="105" w:rightChars="50" w:firstLine="480" w:firstLineChars="200"/>
        <w:jc w:val="left"/>
        <w:rPr>
          <w:rFonts w:ascii="宋体" w:hAnsi="宋体"/>
          <w:sz w:val="24"/>
          <w:szCs w:val="24"/>
          <w:highlight w:val="none"/>
        </w:rPr>
      </w:pPr>
      <w:r>
        <w:rPr>
          <w:rFonts w:hint="eastAsia" w:ascii="宋体" w:hAnsi="宋体"/>
          <w:sz w:val="24"/>
          <w:szCs w:val="24"/>
          <w:highlight w:val="none"/>
        </w:rPr>
        <w:t>七、网络竞价时间：2020年</w:t>
      </w:r>
      <w:r>
        <w:rPr>
          <w:rFonts w:hint="eastAsia" w:ascii="宋体" w:hAnsi="宋体"/>
          <w:sz w:val="24"/>
          <w:szCs w:val="24"/>
          <w:highlight w:val="none"/>
          <w:lang w:eastAsia="zh-CN"/>
        </w:rPr>
        <w:t>1</w:t>
      </w:r>
      <w:r>
        <w:rPr>
          <w:rFonts w:hint="eastAsia" w:ascii="宋体" w:hAnsi="宋体"/>
          <w:sz w:val="24"/>
          <w:szCs w:val="24"/>
          <w:highlight w:val="none"/>
          <w:lang w:val="en-US" w:eastAsia="zh-CN"/>
        </w:rPr>
        <w:t>2</w:t>
      </w:r>
      <w:r>
        <w:rPr>
          <w:rFonts w:hint="eastAsia" w:ascii="宋体" w:hAnsi="宋体"/>
          <w:sz w:val="24"/>
          <w:szCs w:val="24"/>
          <w:highlight w:val="none"/>
        </w:rPr>
        <w:t>月</w:t>
      </w:r>
      <w:r>
        <w:rPr>
          <w:rFonts w:hint="eastAsia" w:ascii="宋体" w:hAnsi="宋体"/>
          <w:sz w:val="24"/>
          <w:szCs w:val="24"/>
          <w:highlight w:val="none"/>
          <w:lang w:eastAsia="zh-CN"/>
        </w:rPr>
        <w:t>2</w:t>
      </w:r>
      <w:r>
        <w:rPr>
          <w:rFonts w:hint="eastAsia" w:ascii="宋体" w:hAnsi="宋体"/>
          <w:sz w:val="24"/>
          <w:szCs w:val="24"/>
          <w:highlight w:val="none"/>
          <w:lang w:val="en-US" w:eastAsia="zh-CN"/>
        </w:rPr>
        <w:t>9</w:t>
      </w:r>
      <w:r>
        <w:rPr>
          <w:rFonts w:hint="eastAsia" w:ascii="宋体" w:hAnsi="宋体"/>
          <w:sz w:val="24"/>
          <w:szCs w:val="24"/>
          <w:highlight w:val="none"/>
        </w:rPr>
        <w:t>日（星期</w:t>
      </w:r>
      <w:r>
        <w:rPr>
          <w:rFonts w:hint="eastAsia" w:ascii="宋体" w:hAnsi="宋体"/>
          <w:sz w:val="24"/>
          <w:szCs w:val="24"/>
          <w:highlight w:val="none"/>
          <w:lang w:val="en-US" w:eastAsia="zh-CN"/>
        </w:rPr>
        <w:t>二</w:t>
      </w:r>
      <w:r>
        <w:rPr>
          <w:rFonts w:hint="eastAsia" w:ascii="宋体" w:hAnsi="宋体"/>
          <w:sz w:val="24"/>
          <w:szCs w:val="24"/>
          <w:highlight w:val="none"/>
        </w:rPr>
        <w:t xml:space="preserve">）上午9:30 </w:t>
      </w:r>
    </w:p>
    <w:p>
      <w:pPr>
        <w:spacing w:line="480" w:lineRule="atLeast"/>
        <w:ind w:right="105" w:rightChars="50" w:firstLine="480" w:firstLineChars="200"/>
        <w:jc w:val="left"/>
        <w:rPr>
          <w:rFonts w:ascii="宋体" w:hAnsi="宋体"/>
          <w:sz w:val="24"/>
          <w:szCs w:val="24"/>
          <w:highlight w:val="none"/>
        </w:rPr>
      </w:pPr>
      <w:r>
        <w:rPr>
          <w:rFonts w:hint="eastAsia" w:ascii="宋体" w:hAnsi="宋体"/>
          <w:sz w:val="24"/>
          <w:szCs w:val="24"/>
          <w:highlight w:val="none"/>
        </w:rPr>
        <w:t>八、联系人：潘女士     电话（传真）：0576-88685180</w:t>
      </w:r>
    </w:p>
    <w:p>
      <w:pPr>
        <w:spacing w:line="480" w:lineRule="atLeast"/>
        <w:ind w:right="105" w:rightChars="50" w:firstLine="480" w:firstLineChars="200"/>
        <w:jc w:val="left"/>
        <w:rPr>
          <w:rFonts w:ascii="宋体" w:hAnsi="宋体"/>
          <w:sz w:val="24"/>
          <w:szCs w:val="24"/>
          <w:highlight w:val="none"/>
        </w:rPr>
      </w:pPr>
      <w:r>
        <w:rPr>
          <w:rFonts w:hint="eastAsia" w:ascii="宋体" w:hAnsi="宋体"/>
          <w:sz w:val="24"/>
          <w:szCs w:val="24"/>
          <w:highlight w:val="none"/>
        </w:rPr>
        <w:t>九、具体情况详见须知及相关说明。</w:t>
      </w:r>
    </w:p>
    <w:p>
      <w:pPr>
        <w:spacing w:line="480" w:lineRule="atLeast"/>
        <w:ind w:right="105" w:rightChars="50" w:firstLine="480" w:firstLineChars="200"/>
        <w:jc w:val="left"/>
        <w:rPr>
          <w:rFonts w:ascii="宋体" w:hAnsi="宋体"/>
          <w:sz w:val="24"/>
          <w:szCs w:val="24"/>
          <w:highlight w:val="none"/>
        </w:rPr>
      </w:pPr>
      <w:r>
        <w:rPr>
          <w:rFonts w:hint="eastAsia" w:ascii="宋体" w:hAnsi="宋体"/>
          <w:sz w:val="24"/>
          <w:szCs w:val="24"/>
          <w:highlight w:val="none"/>
        </w:rPr>
        <w:t xml:space="preserve">详情登陆 www.tzpre.com   </w:t>
      </w:r>
      <w:r>
        <w:rPr>
          <w:highlight w:val="none"/>
        </w:rPr>
        <w:fldChar w:fldCharType="begin"/>
      </w:r>
      <w:r>
        <w:rPr>
          <w:highlight w:val="none"/>
        </w:rPr>
        <w:instrText xml:space="preserve"> HYPERLINK "http://www.tzztb.com" </w:instrText>
      </w:r>
      <w:r>
        <w:rPr>
          <w:highlight w:val="none"/>
        </w:rPr>
        <w:fldChar w:fldCharType="separate"/>
      </w:r>
      <w:r>
        <w:rPr>
          <w:rFonts w:hint="eastAsia" w:ascii="宋体" w:hAnsi="宋体"/>
          <w:sz w:val="24"/>
          <w:szCs w:val="24"/>
          <w:highlight w:val="none"/>
        </w:rPr>
        <w:t>www.tzztb.com</w:t>
      </w:r>
      <w:r>
        <w:rPr>
          <w:rFonts w:hint="eastAsia" w:ascii="宋体" w:hAnsi="宋体"/>
          <w:sz w:val="24"/>
          <w:szCs w:val="24"/>
          <w:highlight w:val="none"/>
        </w:rPr>
        <w:fldChar w:fldCharType="end"/>
      </w:r>
      <w:r>
        <w:rPr>
          <w:rFonts w:hint="eastAsia" w:ascii="宋体" w:hAnsi="宋体"/>
          <w:sz w:val="24"/>
          <w:szCs w:val="24"/>
          <w:highlight w:val="none"/>
        </w:rPr>
        <w:t>/tzcm</w:t>
      </w:r>
    </w:p>
    <w:p>
      <w:pPr>
        <w:spacing w:line="480" w:lineRule="atLeast"/>
        <w:ind w:right="105" w:rightChars="50" w:firstLine="480" w:firstLineChars="200"/>
        <w:jc w:val="right"/>
        <w:rPr>
          <w:rFonts w:ascii="宋体" w:hAnsi="宋体"/>
          <w:sz w:val="24"/>
          <w:szCs w:val="24"/>
          <w:highlight w:val="none"/>
        </w:rPr>
      </w:pPr>
      <w:r>
        <w:rPr>
          <w:rFonts w:hint="eastAsia" w:ascii="宋体" w:hAnsi="宋体"/>
          <w:sz w:val="24"/>
          <w:szCs w:val="24"/>
          <w:highlight w:val="none"/>
        </w:rPr>
        <w:t>台州市产权交易所有限公司</w:t>
      </w:r>
    </w:p>
    <w:p>
      <w:pPr>
        <w:spacing w:line="480" w:lineRule="atLeast"/>
        <w:ind w:right="105" w:rightChars="50" w:firstLine="480" w:firstLineChars="200"/>
        <w:jc w:val="right"/>
        <w:rPr>
          <w:rFonts w:hint="eastAsia" w:ascii="宋体" w:hAnsi="宋体"/>
          <w:sz w:val="24"/>
          <w:szCs w:val="24"/>
          <w:highlight w:val="none"/>
        </w:rPr>
      </w:pPr>
      <w:r>
        <w:rPr>
          <w:rFonts w:hint="eastAsia" w:ascii="宋体" w:hAnsi="宋体"/>
          <w:sz w:val="24"/>
          <w:szCs w:val="24"/>
          <w:highlight w:val="none"/>
        </w:rPr>
        <w:t>2020年</w:t>
      </w:r>
      <w:r>
        <w:rPr>
          <w:rFonts w:hint="eastAsia" w:ascii="宋体" w:hAnsi="宋体"/>
          <w:sz w:val="24"/>
          <w:szCs w:val="24"/>
          <w:highlight w:val="none"/>
          <w:lang w:val="en-US" w:eastAsia="zh-CN"/>
        </w:rPr>
        <w:t>11</w:t>
      </w:r>
      <w:r>
        <w:rPr>
          <w:rFonts w:hint="eastAsia" w:ascii="宋体" w:hAnsi="宋体"/>
          <w:sz w:val="24"/>
          <w:szCs w:val="24"/>
          <w:highlight w:val="none"/>
        </w:rPr>
        <w:t>月</w:t>
      </w:r>
      <w:r>
        <w:rPr>
          <w:rFonts w:hint="eastAsia" w:ascii="宋体" w:hAnsi="宋体"/>
          <w:sz w:val="24"/>
          <w:szCs w:val="24"/>
          <w:highlight w:val="none"/>
          <w:lang w:val="en-US" w:eastAsia="zh-CN"/>
        </w:rPr>
        <w:t>3</w:t>
      </w:r>
      <w:r>
        <w:rPr>
          <w:rFonts w:hint="eastAsia" w:ascii="宋体" w:hAnsi="宋体"/>
          <w:sz w:val="24"/>
          <w:szCs w:val="24"/>
          <w:highlight w:val="none"/>
        </w:rPr>
        <w:t>日</w:t>
      </w:r>
    </w:p>
    <w:p>
      <w:pPr>
        <w:jc w:val="center"/>
        <w:rPr>
          <w:sz w:val="32"/>
          <w:szCs w:val="32"/>
          <w:highlight w:val="none"/>
        </w:rPr>
      </w:pPr>
      <w:r>
        <w:rPr>
          <w:rFonts w:hint="eastAsia"/>
          <w:b/>
          <w:sz w:val="32"/>
          <w:szCs w:val="32"/>
          <w:highlight w:val="none"/>
        </w:rPr>
        <w:t>浙江海正生物材料股份有限公司新增</w:t>
      </w:r>
      <w:bookmarkStart w:id="3" w:name="_Hlk527706469"/>
      <w:r>
        <w:rPr>
          <w:rFonts w:hint="eastAsia"/>
          <w:b/>
          <w:sz w:val="32"/>
          <w:szCs w:val="32"/>
          <w:highlight w:val="none"/>
          <w:lang w:val="en-US" w:eastAsia="zh-CN"/>
        </w:rPr>
        <w:t>10,457,516</w:t>
      </w:r>
      <w:bookmarkEnd w:id="3"/>
      <w:r>
        <w:rPr>
          <w:rFonts w:hint="eastAsia"/>
          <w:b/>
          <w:sz w:val="32"/>
          <w:szCs w:val="32"/>
          <w:highlight w:val="none"/>
          <w:lang w:eastAsia="zh-CN"/>
        </w:rPr>
        <w:t>股</w:t>
      </w:r>
      <w:r>
        <w:rPr>
          <w:rFonts w:hint="eastAsia"/>
          <w:b/>
          <w:sz w:val="32"/>
          <w:szCs w:val="32"/>
          <w:highlight w:val="none"/>
        </w:rPr>
        <w:t>项目文件</w:t>
      </w:r>
      <w:r>
        <w:rPr>
          <w:rFonts w:hint="eastAsia"/>
          <w:b/>
          <w:bCs/>
          <w:sz w:val="32"/>
          <w:szCs w:val="32"/>
          <w:highlight w:val="none"/>
        </w:rPr>
        <w:t>须知及相关说明</w:t>
      </w:r>
    </w:p>
    <w:p>
      <w:pPr>
        <w:spacing w:line="500" w:lineRule="atLeast"/>
        <w:ind w:firstLine="482" w:firstLineChars="200"/>
        <w:jc w:val="center"/>
        <w:rPr>
          <w:rFonts w:ascii="宋体"/>
          <w:b/>
          <w:sz w:val="24"/>
          <w:szCs w:val="24"/>
          <w:highlight w:val="none"/>
        </w:rPr>
      </w:pPr>
    </w:p>
    <w:p>
      <w:pPr>
        <w:spacing w:line="500" w:lineRule="atLeast"/>
        <w:ind w:firstLine="480" w:firstLineChars="200"/>
        <w:rPr>
          <w:rFonts w:ascii="宋体"/>
          <w:sz w:val="24"/>
          <w:szCs w:val="24"/>
          <w:highlight w:val="none"/>
        </w:rPr>
      </w:pPr>
      <w:r>
        <w:rPr>
          <w:rFonts w:hint="eastAsia" w:ascii="宋体" w:hAnsi="宋体"/>
          <w:sz w:val="24"/>
          <w:szCs w:val="24"/>
          <w:highlight w:val="none"/>
        </w:rPr>
        <w:t>本公司（即台州市产权交易所有限公司）受浙江海正生物材料股份有限公司的委托，</w:t>
      </w:r>
      <w:r>
        <w:rPr>
          <w:rFonts w:hint="eastAsia" w:ascii="宋体"/>
          <w:sz w:val="24"/>
          <w:szCs w:val="24"/>
          <w:highlight w:val="none"/>
        </w:rPr>
        <w:t>通过挂牌方式对其新增</w:t>
      </w:r>
      <w:r>
        <w:rPr>
          <w:rFonts w:hint="eastAsia" w:ascii="宋体"/>
          <w:sz w:val="24"/>
          <w:szCs w:val="24"/>
          <w:highlight w:val="none"/>
          <w:lang w:val="en-US" w:eastAsia="zh-CN"/>
        </w:rPr>
        <w:t>10,457,516</w:t>
      </w:r>
      <w:r>
        <w:rPr>
          <w:rFonts w:hint="eastAsia" w:ascii="宋体"/>
          <w:sz w:val="24"/>
          <w:szCs w:val="24"/>
          <w:highlight w:val="none"/>
          <w:lang w:eastAsia="zh-CN"/>
        </w:rPr>
        <w:t>股</w:t>
      </w:r>
      <w:r>
        <w:rPr>
          <w:rFonts w:hint="eastAsia" w:ascii="宋体"/>
          <w:sz w:val="24"/>
          <w:szCs w:val="24"/>
          <w:highlight w:val="none"/>
        </w:rPr>
        <w:t>项目公开引进一家投资方</w:t>
      </w:r>
      <w:r>
        <w:rPr>
          <w:rFonts w:hint="eastAsia" w:ascii="宋体" w:hAnsi="宋体"/>
          <w:sz w:val="24"/>
          <w:szCs w:val="24"/>
          <w:highlight w:val="none"/>
        </w:rPr>
        <w:t>（不接受</w:t>
      </w:r>
      <w:r>
        <w:rPr>
          <w:rFonts w:hint="eastAsia" w:ascii="宋体"/>
          <w:sz w:val="24"/>
          <w:szCs w:val="24"/>
          <w:highlight w:val="none"/>
        </w:rPr>
        <w:t>联合投标体）。</w:t>
      </w:r>
      <w:r>
        <w:rPr>
          <w:rFonts w:hint="eastAsia" w:ascii="宋体" w:hAnsi="宋体"/>
          <w:sz w:val="24"/>
          <w:szCs w:val="24"/>
          <w:highlight w:val="none"/>
        </w:rPr>
        <w:t>为切实保障各参与当事人的权利和义务，根据《中华人民共和国合同法》、《中华人民共和国企业国有资产法》和《企业国有资产交易监督管理办法》（</w:t>
      </w:r>
      <w:r>
        <w:rPr>
          <w:rFonts w:ascii="宋体" w:hAnsi="宋体"/>
          <w:sz w:val="24"/>
          <w:szCs w:val="24"/>
          <w:highlight w:val="none"/>
        </w:rPr>
        <w:t>3</w:t>
      </w:r>
      <w:r>
        <w:rPr>
          <w:rFonts w:hint="eastAsia" w:ascii="宋体" w:hAnsi="宋体"/>
          <w:sz w:val="24"/>
          <w:szCs w:val="24"/>
          <w:highlight w:val="none"/>
        </w:rPr>
        <w:t>2号令），本着公开、公平、公正、诚实信用的原则，特制定须知及特别约定如下：</w:t>
      </w:r>
    </w:p>
    <w:p>
      <w:pPr>
        <w:numPr>
          <w:ilvl w:val="0"/>
          <w:numId w:val="1"/>
        </w:numPr>
        <w:spacing w:line="500" w:lineRule="atLeast"/>
        <w:ind w:left="0" w:firstLine="720"/>
        <w:rPr>
          <w:rFonts w:ascii="宋体"/>
          <w:b/>
          <w:sz w:val="24"/>
          <w:szCs w:val="24"/>
          <w:highlight w:val="none"/>
        </w:rPr>
      </w:pPr>
      <w:r>
        <w:rPr>
          <w:rFonts w:hint="eastAsia" w:ascii="宋体" w:hAnsi="宋体"/>
          <w:b/>
          <w:sz w:val="24"/>
          <w:szCs w:val="24"/>
          <w:highlight w:val="none"/>
        </w:rPr>
        <w:t>定义和释义</w:t>
      </w:r>
    </w:p>
    <w:p>
      <w:pPr>
        <w:spacing w:line="500" w:lineRule="atLeast"/>
        <w:ind w:firstLine="480" w:firstLineChars="200"/>
        <w:rPr>
          <w:rFonts w:ascii="宋体"/>
          <w:sz w:val="24"/>
          <w:szCs w:val="24"/>
          <w:highlight w:val="none"/>
        </w:rPr>
      </w:pPr>
      <w:r>
        <w:rPr>
          <w:rFonts w:hint="eastAsia" w:ascii="宋体" w:hAnsi="宋体"/>
          <w:sz w:val="24"/>
          <w:szCs w:val="24"/>
          <w:highlight w:val="none"/>
        </w:rPr>
        <w:t>（一）定义</w:t>
      </w:r>
    </w:p>
    <w:p>
      <w:pPr>
        <w:numPr>
          <w:ilvl w:val="0"/>
          <w:numId w:val="2"/>
        </w:numPr>
        <w:spacing w:line="500" w:lineRule="atLeast"/>
        <w:ind w:firstLine="480" w:firstLineChars="200"/>
        <w:rPr>
          <w:rFonts w:ascii="宋体"/>
          <w:sz w:val="24"/>
          <w:szCs w:val="24"/>
          <w:highlight w:val="none"/>
        </w:rPr>
      </w:pPr>
      <w:r>
        <w:rPr>
          <w:rFonts w:hint="eastAsia" w:ascii="宋体" w:hAnsi="宋体"/>
          <w:sz w:val="24"/>
          <w:szCs w:val="24"/>
          <w:highlight w:val="none"/>
        </w:rPr>
        <w:t>本项目：浙江海正生物材料股份有限公司新增</w:t>
      </w:r>
      <w:r>
        <w:rPr>
          <w:rFonts w:hint="eastAsia" w:ascii="宋体"/>
          <w:sz w:val="24"/>
          <w:szCs w:val="24"/>
          <w:highlight w:val="none"/>
          <w:lang w:val="en-US" w:eastAsia="zh-CN"/>
        </w:rPr>
        <w:t>10,457,516</w:t>
      </w:r>
      <w:r>
        <w:rPr>
          <w:rFonts w:hint="eastAsia" w:ascii="宋体" w:hAnsi="宋体"/>
          <w:sz w:val="24"/>
          <w:szCs w:val="24"/>
          <w:highlight w:val="none"/>
          <w:lang w:eastAsia="zh-CN"/>
        </w:rPr>
        <w:t>股</w:t>
      </w:r>
      <w:r>
        <w:rPr>
          <w:rFonts w:hint="eastAsia" w:ascii="宋体" w:hAnsi="宋体"/>
          <w:sz w:val="24"/>
          <w:szCs w:val="24"/>
          <w:highlight w:val="none"/>
        </w:rPr>
        <w:t>。</w:t>
      </w:r>
    </w:p>
    <w:p>
      <w:pPr>
        <w:numPr>
          <w:ilvl w:val="0"/>
          <w:numId w:val="2"/>
        </w:numPr>
        <w:spacing w:line="500" w:lineRule="atLeast"/>
        <w:ind w:firstLine="480" w:firstLineChars="200"/>
        <w:rPr>
          <w:rFonts w:ascii="宋体"/>
          <w:sz w:val="24"/>
          <w:szCs w:val="24"/>
          <w:highlight w:val="none"/>
        </w:rPr>
      </w:pPr>
      <w:r>
        <w:rPr>
          <w:rFonts w:hint="eastAsia" w:ascii="宋体" w:hAnsi="宋体"/>
          <w:sz w:val="24"/>
          <w:szCs w:val="24"/>
          <w:highlight w:val="none"/>
        </w:rPr>
        <w:t>标的公司：浙江海正生物材料股份有限公司（以下简称“海正生物”）。</w:t>
      </w:r>
    </w:p>
    <w:p>
      <w:pPr>
        <w:numPr>
          <w:ilvl w:val="0"/>
          <w:numId w:val="2"/>
        </w:numPr>
        <w:spacing w:line="500" w:lineRule="atLeast"/>
        <w:ind w:firstLine="480" w:firstLineChars="200"/>
        <w:rPr>
          <w:rFonts w:ascii="宋体"/>
          <w:sz w:val="24"/>
          <w:szCs w:val="24"/>
          <w:highlight w:val="none"/>
        </w:rPr>
      </w:pPr>
      <w:r>
        <w:rPr>
          <w:rFonts w:hint="eastAsia" w:ascii="宋体" w:hAnsi="宋体"/>
          <w:sz w:val="24"/>
          <w:szCs w:val="24"/>
          <w:highlight w:val="none"/>
        </w:rPr>
        <w:t>申请方：浙江海正生物材料股份有限公司（也称融资方）。</w:t>
      </w:r>
    </w:p>
    <w:p>
      <w:pPr>
        <w:numPr>
          <w:ilvl w:val="0"/>
          <w:numId w:val="2"/>
        </w:numPr>
        <w:spacing w:line="500" w:lineRule="atLeast"/>
        <w:ind w:firstLine="480" w:firstLineChars="200"/>
        <w:rPr>
          <w:rFonts w:ascii="宋体"/>
          <w:sz w:val="24"/>
          <w:szCs w:val="24"/>
          <w:highlight w:val="none"/>
        </w:rPr>
      </w:pPr>
      <w:r>
        <w:rPr>
          <w:rFonts w:hint="eastAsia" w:ascii="宋体" w:hAnsi="宋体"/>
          <w:sz w:val="24"/>
          <w:szCs w:val="24"/>
          <w:highlight w:val="none"/>
        </w:rPr>
        <w:t>组织人：指台州市产权交易所有限公司（以下简称“台交所”）。</w:t>
      </w:r>
    </w:p>
    <w:p>
      <w:pPr>
        <w:numPr>
          <w:ilvl w:val="0"/>
          <w:numId w:val="2"/>
        </w:numPr>
        <w:spacing w:line="500" w:lineRule="atLeast"/>
        <w:ind w:firstLine="480" w:firstLineChars="200"/>
        <w:rPr>
          <w:rFonts w:ascii="宋体" w:hAnsi="宋体"/>
          <w:sz w:val="24"/>
          <w:szCs w:val="24"/>
          <w:highlight w:val="none"/>
        </w:rPr>
      </w:pPr>
      <w:r>
        <w:rPr>
          <w:rFonts w:hint="eastAsia" w:ascii="宋体" w:hAnsi="宋体"/>
          <w:sz w:val="24"/>
          <w:szCs w:val="24"/>
          <w:highlight w:val="none"/>
        </w:rPr>
        <w:t>意向投资方：指经资格确认参与本项目并按时交纳足额保证金的意向投资主体；</w:t>
      </w:r>
      <w:r>
        <w:rPr>
          <w:rFonts w:ascii="宋体" w:hAnsi="宋体"/>
          <w:sz w:val="24"/>
          <w:szCs w:val="24"/>
          <w:highlight w:val="none"/>
        </w:rPr>
        <w:t>为免疑义，</w:t>
      </w:r>
      <w:r>
        <w:rPr>
          <w:rFonts w:hint="eastAsia" w:ascii="宋体" w:hAnsi="宋体"/>
          <w:sz w:val="24"/>
          <w:szCs w:val="24"/>
          <w:highlight w:val="none"/>
        </w:rPr>
        <w:t>意向</w:t>
      </w:r>
      <w:r>
        <w:rPr>
          <w:rFonts w:ascii="宋体" w:hAnsi="宋体"/>
          <w:sz w:val="24"/>
          <w:szCs w:val="24"/>
          <w:highlight w:val="none"/>
        </w:rPr>
        <w:t>投资方</w:t>
      </w:r>
      <w:r>
        <w:rPr>
          <w:rFonts w:hint="eastAsia" w:ascii="宋体" w:hAnsi="宋体"/>
          <w:sz w:val="24"/>
          <w:szCs w:val="24"/>
          <w:highlight w:val="none"/>
        </w:rPr>
        <w:t>仅</w:t>
      </w:r>
      <w:r>
        <w:rPr>
          <w:rFonts w:ascii="宋体" w:hAnsi="宋体"/>
          <w:sz w:val="24"/>
          <w:szCs w:val="24"/>
          <w:highlight w:val="none"/>
        </w:rPr>
        <w:t>可为</w:t>
      </w:r>
      <w:r>
        <w:rPr>
          <w:rFonts w:hint="eastAsia" w:ascii="宋体" w:hAnsi="宋体"/>
          <w:sz w:val="24"/>
          <w:szCs w:val="24"/>
          <w:highlight w:val="none"/>
        </w:rPr>
        <w:t>单个</w:t>
      </w:r>
      <w:r>
        <w:rPr>
          <w:rFonts w:ascii="宋体" w:hAnsi="宋体"/>
          <w:sz w:val="24"/>
          <w:szCs w:val="24"/>
          <w:highlight w:val="none"/>
        </w:rPr>
        <w:t>主体</w:t>
      </w:r>
      <w:r>
        <w:rPr>
          <w:rFonts w:hint="eastAsia" w:ascii="宋体" w:hAnsi="宋体"/>
          <w:sz w:val="24"/>
          <w:szCs w:val="24"/>
          <w:highlight w:val="none"/>
        </w:rPr>
        <w:t>，不</w:t>
      </w:r>
      <w:r>
        <w:rPr>
          <w:rFonts w:ascii="宋体" w:hAnsi="宋体"/>
          <w:sz w:val="24"/>
          <w:szCs w:val="24"/>
          <w:highlight w:val="none"/>
        </w:rPr>
        <w:t>接受</w:t>
      </w:r>
      <w:r>
        <w:rPr>
          <w:rFonts w:hint="eastAsia" w:ascii="宋体" w:hAnsi="宋体"/>
          <w:sz w:val="24"/>
          <w:szCs w:val="24"/>
          <w:highlight w:val="none"/>
        </w:rPr>
        <w:t>任何联合投</w:t>
      </w:r>
      <w:r>
        <w:rPr>
          <w:rFonts w:ascii="宋体" w:hAnsi="宋体"/>
          <w:sz w:val="24"/>
          <w:szCs w:val="24"/>
          <w:highlight w:val="none"/>
        </w:rPr>
        <w:t>标体</w:t>
      </w:r>
      <w:r>
        <w:rPr>
          <w:rFonts w:hint="eastAsia" w:ascii="宋体" w:hAnsi="宋体"/>
          <w:sz w:val="24"/>
          <w:szCs w:val="24"/>
          <w:highlight w:val="none"/>
        </w:rPr>
        <w:t>。</w:t>
      </w:r>
    </w:p>
    <w:p>
      <w:pPr>
        <w:numPr>
          <w:ilvl w:val="0"/>
          <w:numId w:val="2"/>
        </w:numPr>
        <w:spacing w:line="500" w:lineRule="atLeast"/>
        <w:ind w:firstLine="480" w:firstLineChars="200"/>
        <w:rPr>
          <w:rFonts w:ascii="宋体"/>
          <w:sz w:val="24"/>
          <w:szCs w:val="24"/>
          <w:highlight w:val="none"/>
        </w:rPr>
      </w:pPr>
      <w:r>
        <w:rPr>
          <w:rFonts w:hint="eastAsia" w:ascii="宋体" w:hAnsi="宋体"/>
          <w:sz w:val="24"/>
          <w:szCs w:val="24"/>
          <w:highlight w:val="none"/>
        </w:rPr>
        <w:t>投资方：本项目最终确定的投资主体。</w:t>
      </w:r>
    </w:p>
    <w:p>
      <w:pPr>
        <w:numPr>
          <w:ilvl w:val="0"/>
          <w:numId w:val="2"/>
        </w:numPr>
        <w:spacing w:line="500" w:lineRule="atLeast"/>
        <w:ind w:firstLine="480" w:firstLineChars="200"/>
        <w:rPr>
          <w:rFonts w:ascii="宋体"/>
          <w:sz w:val="24"/>
          <w:szCs w:val="24"/>
          <w:highlight w:val="none"/>
        </w:rPr>
      </w:pPr>
      <w:r>
        <w:rPr>
          <w:rFonts w:hint="eastAsia" w:ascii="宋体" w:hAnsi="宋体"/>
          <w:sz w:val="24"/>
          <w:szCs w:val="24"/>
          <w:highlight w:val="none"/>
        </w:rPr>
        <w:t>增资协议：指融资方与投资方就本项目签订的《浙江海正生物材料股份有限公司增资扩股协议》。</w:t>
      </w:r>
    </w:p>
    <w:p>
      <w:pPr>
        <w:numPr>
          <w:ilvl w:val="0"/>
          <w:numId w:val="2"/>
        </w:numPr>
        <w:spacing w:line="500" w:lineRule="atLeast"/>
        <w:rPr>
          <w:rFonts w:ascii="宋体"/>
          <w:sz w:val="24"/>
          <w:szCs w:val="24"/>
          <w:highlight w:val="none"/>
        </w:rPr>
      </w:pPr>
      <w:r>
        <w:rPr>
          <w:rFonts w:hint="eastAsia" w:ascii="宋体" w:hAnsi="宋体"/>
          <w:sz w:val="24"/>
          <w:szCs w:val="24"/>
          <w:highlight w:val="none"/>
        </w:rPr>
        <w:t>增资文件：指《浙江海正生物材料股份有限公司新增</w:t>
      </w:r>
      <w:r>
        <w:rPr>
          <w:rFonts w:hint="eastAsia" w:ascii="宋体"/>
          <w:sz w:val="24"/>
          <w:szCs w:val="24"/>
          <w:highlight w:val="none"/>
          <w:lang w:val="en-US" w:eastAsia="zh-CN"/>
        </w:rPr>
        <w:t>10,457,516</w:t>
      </w:r>
      <w:r>
        <w:rPr>
          <w:rFonts w:hint="eastAsia" w:ascii="宋体" w:hAnsi="宋体"/>
          <w:sz w:val="24"/>
          <w:szCs w:val="24"/>
          <w:highlight w:val="none"/>
          <w:lang w:eastAsia="zh-CN"/>
        </w:rPr>
        <w:t>股</w:t>
      </w:r>
      <w:r>
        <w:rPr>
          <w:rFonts w:hint="eastAsia" w:ascii="宋体" w:hAnsi="宋体"/>
          <w:sz w:val="24"/>
          <w:szCs w:val="24"/>
          <w:highlight w:val="none"/>
        </w:rPr>
        <w:t>增资文件》。</w:t>
      </w:r>
    </w:p>
    <w:p>
      <w:pPr>
        <w:numPr>
          <w:ilvl w:val="0"/>
          <w:numId w:val="2"/>
        </w:numPr>
        <w:spacing w:line="500" w:lineRule="atLeast"/>
        <w:ind w:firstLine="480" w:firstLineChars="200"/>
        <w:rPr>
          <w:rFonts w:ascii="宋体"/>
          <w:sz w:val="24"/>
          <w:szCs w:val="24"/>
          <w:highlight w:val="none"/>
        </w:rPr>
      </w:pPr>
      <w:r>
        <w:rPr>
          <w:rFonts w:hint="eastAsia" w:ascii="宋体" w:hAnsi="宋体"/>
          <w:sz w:val="24"/>
          <w:szCs w:val="24"/>
          <w:highlight w:val="none"/>
        </w:rPr>
        <w:t>报名截止时间：</w:t>
      </w:r>
      <w:r>
        <w:rPr>
          <w:rFonts w:ascii="宋体" w:hAnsi="宋体"/>
          <w:sz w:val="24"/>
          <w:szCs w:val="24"/>
          <w:highlight w:val="none"/>
          <w:u w:val="single"/>
        </w:rPr>
        <w:t xml:space="preserve"> 20</w:t>
      </w:r>
      <w:r>
        <w:rPr>
          <w:rFonts w:hint="eastAsia" w:ascii="宋体" w:hAnsi="宋体"/>
          <w:sz w:val="24"/>
          <w:szCs w:val="24"/>
          <w:highlight w:val="none"/>
          <w:u w:val="single"/>
        </w:rPr>
        <w:t>20</w:t>
      </w:r>
      <w:r>
        <w:rPr>
          <w:rFonts w:hint="eastAsia" w:ascii="宋体" w:hAnsi="宋体"/>
          <w:sz w:val="24"/>
          <w:szCs w:val="24"/>
          <w:highlight w:val="none"/>
        </w:rPr>
        <w:t>年</w:t>
      </w:r>
      <w:r>
        <w:rPr>
          <w:rFonts w:hint="eastAsia" w:ascii="宋体" w:hAnsi="宋体"/>
          <w:sz w:val="24"/>
          <w:szCs w:val="24"/>
          <w:highlight w:val="none"/>
          <w:u w:val="single"/>
          <w:lang w:val="en-US" w:eastAsia="zh-CN"/>
        </w:rPr>
        <w:t>12</w:t>
      </w:r>
      <w:r>
        <w:rPr>
          <w:rFonts w:hint="eastAsia" w:ascii="宋体" w:hAnsi="宋体"/>
          <w:sz w:val="24"/>
          <w:szCs w:val="24"/>
          <w:highlight w:val="none"/>
        </w:rPr>
        <w:t>月</w:t>
      </w:r>
      <w:r>
        <w:rPr>
          <w:rFonts w:hint="eastAsia" w:ascii="宋体" w:hAnsi="宋体"/>
          <w:sz w:val="24"/>
          <w:szCs w:val="24"/>
          <w:highlight w:val="none"/>
          <w:u w:val="single"/>
          <w:lang w:val="en-US" w:eastAsia="zh-CN"/>
        </w:rPr>
        <w:t>28</w:t>
      </w:r>
      <w:r>
        <w:rPr>
          <w:rFonts w:hint="eastAsia" w:ascii="宋体" w:hAnsi="宋体"/>
          <w:sz w:val="24"/>
          <w:highlight w:val="none"/>
        </w:rPr>
        <w:t>日</w:t>
      </w:r>
      <w:r>
        <w:rPr>
          <w:rFonts w:hint="eastAsia" w:ascii="宋体" w:hAnsi="宋体"/>
          <w:sz w:val="24"/>
          <w:szCs w:val="24"/>
          <w:highlight w:val="none"/>
        </w:rPr>
        <w:t>下午</w:t>
      </w:r>
      <w:r>
        <w:rPr>
          <w:rFonts w:ascii="宋体" w:hAnsi="宋体"/>
          <w:sz w:val="24"/>
          <w:highlight w:val="none"/>
        </w:rPr>
        <w:t>4</w:t>
      </w:r>
      <w:r>
        <w:rPr>
          <w:rFonts w:hint="eastAsia" w:ascii="宋体" w:hAnsi="宋体"/>
          <w:sz w:val="24"/>
          <w:szCs w:val="24"/>
          <w:highlight w:val="none"/>
        </w:rPr>
        <w:t>时整。</w:t>
      </w:r>
    </w:p>
    <w:p>
      <w:pPr>
        <w:spacing w:line="500" w:lineRule="atLeast"/>
        <w:ind w:firstLine="480" w:firstLineChars="200"/>
        <w:rPr>
          <w:rFonts w:ascii="宋体"/>
          <w:sz w:val="24"/>
          <w:szCs w:val="24"/>
          <w:highlight w:val="none"/>
        </w:rPr>
      </w:pPr>
      <w:r>
        <w:rPr>
          <w:rFonts w:ascii="宋体" w:hAnsi="宋体"/>
          <w:sz w:val="24"/>
          <w:szCs w:val="24"/>
          <w:highlight w:val="none"/>
        </w:rPr>
        <w:t>10.</w:t>
      </w:r>
      <w:r>
        <w:rPr>
          <w:rFonts w:hint="eastAsia" w:ascii="宋体" w:hAnsi="宋体"/>
          <w:sz w:val="24"/>
          <w:szCs w:val="24"/>
          <w:highlight w:val="none"/>
        </w:rPr>
        <w:t>保证金到账截止时间：指意向投资方的保证金到达组织人指定账户的截止时间，以银行到账为准。</w:t>
      </w:r>
    </w:p>
    <w:p>
      <w:pPr>
        <w:spacing w:line="500" w:lineRule="atLeast"/>
        <w:ind w:firstLine="480" w:firstLineChars="200"/>
        <w:rPr>
          <w:rFonts w:ascii="宋体"/>
          <w:sz w:val="24"/>
          <w:szCs w:val="24"/>
          <w:highlight w:val="none"/>
        </w:rPr>
      </w:pPr>
      <w:r>
        <w:rPr>
          <w:rFonts w:hint="eastAsia" w:ascii="宋体" w:hAnsi="宋体"/>
          <w:sz w:val="24"/>
          <w:szCs w:val="24"/>
          <w:highlight w:val="none"/>
        </w:rPr>
        <w:t>（二）释义</w:t>
      </w:r>
    </w:p>
    <w:p>
      <w:pPr>
        <w:numPr>
          <w:ilvl w:val="0"/>
          <w:numId w:val="3"/>
        </w:numPr>
        <w:spacing w:line="500" w:lineRule="atLeast"/>
        <w:ind w:left="0" w:firstLine="480" w:firstLineChars="200"/>
        <w:rPr>
          <w:rFonts w:ascii="宋体"/>
          <w:sz w:val="24"/>
          <w:szCs w:val="24"/>
          <w:highlight w:val="none"/>
        </w:rPr>
      </w:pPr>
      <w:r>
        <w:rPr>
          <w:rFonts w:hint="eastAsia" w:ascii="宋体" w:hAnsi="宋体"/>
          <w:sz w:val="24"/>
          <w:szCs w:val="24"/>
          <w:highlight w:val="none"/>
        </w:rPr>
        <w:t>除非上下文另有所指，所提及的条款指本增资文件的条款。</w:t>
      </w:r>
    </w:p>
    <w:p>
      <w:pPr>
        <w:numPr>
          <w:ilvl w:val="0"/>
          <w:numId w:val="3"/>
        </w:numPr>
        <w:spacing w:line="500" w:lineRule="atLeast"/>
        <w:ind w:left="0" w:firstLine="480" w:firstLineChars="200"/>
        <w:rPr>
          <w:rFonts w:ascii="宋体"/>
          <w:sz w:val="24"/>
          <w:szCs w:val="24"/>
          <w:highlight w:val="none"/>
        </w:rPr>
      </w:pPr>
      <w:r>
        <w:rPr>
          <w:rFonts w:hint="eastAsia" w:ascii="宋体" w:hAnsi="宋体"/>
          <w:sz w:val="24"/>
          <w:szCs w:val="24"/>
          <w:highlight w:val="none"/>
        </w:rPr>
        <w:t>本增资文件提及的时间皆为北京时间，货币指人民币。</w:t>
      </w:r>
    </w:p>
    <w:p>
      <w:pPr>
        <w:numPr>
          <w:ilvl w:val="0"/>
          <w:numId w:val="3"/>
        </w:numPr>
        <w:spacing w:line="500" w:lineRule="atLeast"/>
        <w:ind w:left="0" w:firstLine="480" w:firstLineChars="200"/>
        <w:rPr>
          <w:rFonts w:ascii="宋体"/>
          <w:sz w:val="24"/>
          <w:szCs w:val="24"/>
          <w:highlight w:val="none"/>
        </w:rPr>
      </w:pPr>
      <w:r>
        <w:rPr>
          <w:rFonts w:hint="eastAsia" w:ascii="宋体" w:hAnsi="宋体"/>
          <w:sz w:val="24"/>
          <w:szCs w:val="24"/>
          <w:highlight w:val="none"/>
        </w:rPr>
        <w:t>本增资文件提供中文文本。</w:t>
      </w:r>
    </w:p>
    <w:p>
      <w:pPr>
        <w:numPr>
          <w:ilvl w:val="0"/>
          <w:numId w:val="1"/>
        </w:numPr>
        <w:spacing w:line="500" w:lineRule="atLeast"/>
        <w:rPr>
          <w:rFonts w:ascii="宋体"/>
          <w:b/>
          <w:sz w:val="24"/>
          <w:szCs w:val="24"/>
          <w:highlight w:val="none"/>
        </w:rPr>
      </w:pPr>
      <w:r>
        <w:rPr>
          <w:rFonts w:hint="eastAsia" w:ascii="宋体" w:hAnsi="宋体"/>
          <w:b/>
          <w:sz w:val="24"/>
          <w:szCs w:val="24"/>
          <w:highlight w:val="none"/>
        </w:rPr>
        <w:t>须知</w:t>
      </w:r>
    </w:p>
    <w:p>
      <w:pPr>
        <w:spacing w:before="156" w:beforeLines="50" w:line="360" w:lineRule="auto"/>
        <w:ind w:firstLine="482" w:firstLineChars="200"/>
        <w:rPr>
          <w:rFonts w:ascii="宋体"/>
          <w:b/>
          <w:bCs/>
          <w:sz w:val="24"/>
          <w:szCs w:val="24"/>
          <w:highlight w:val="none"/>
        </w:rPr>
      </w:pPr>
      <w:r>
        <w:rPr>
          <w:rFonts w:hint="eastAsia" w:ascii="宋体" w:hAnsi="宋体"/>
          <w:b/>
          <w:bCs/>
          <w:sz w:val="24"/>
          <w:szCs w:val="24"/>
          <w:highlight w:val="none"/>
        </w:rPr>
        <w:t>（一）海正生物基本情况</w:t>
      </w:r>
    </w:p>
    <w:p>
      <w:pPr>
        <w:autoSpaceDE w:val="0"/>
        <w:autoSpaceDN w:val="0"/>
        <w:adjustRightInd w:val="0"/>
        <w:spacing w:before="156" w:beforeLines="50" w:line="360" w:lineRule="auto"/>
        <w:ind w:firstLine="480" w:firstLineChars="200"/>
        <w:rPr>
          <w:rFonts w:ascii="宋体" w:hAnsi="宋体"/>
          <w:sz w:val="24"/>
          <w:highlight w:val="none"/>
        </w:rPr>
      </w:pPr>
      <w:r>
        <w:rPr>
          <w:rFonts w:hint="eastAsia" w:ascii="宋体" w:hAnsi="宋体"/>
          <w:sz w:val="24"/>
          <w:highlight w:val="none"/>
        </w:rPr>
        <w:t>海正生物是一家专注于聚乳酸研发、生产和销售为一体的专业化公司。组建于</w:t>
      </w:r>
      <w:r>
        <w:rPr>
          <w:rFonts w:hint="eastAsia" w:ascii="宋体" w:hAnsi="宋体"/>
          <w:sz w:val="24"/>
          <w:szCs w:val="24"/>
          <w:highlight w:val="none"/>
        </w:rPr>
        <w:t>2004年8月</w:t>
      </w:r>
      <w:r>
        <w:rPr>
          <w:rFonts w:hint="eastAsia" w:ascii="宋体" w:hAnsi="宋体"/>
          <w:sz w:val="24"/>
          <w:highlight w:val="none"/>
        </w:rPr>
        <w:t>，注册资本91,480,000</w:t>
      </w:r>
      <w:r>
        <w:rPr>
          <w:rFonts w:hint="eastAsia" w:ascii="宋体" w:hAnsi="宋体"/>
          <w:sz w:val="24"/>
          <w:highlight w:val="none"/>
          <w:lang w:val="en-US" w:eastAsia="zh-CN"/>
        </w:rPr>
        <w:t>.00</w:t>
      </w:r>
      <w:r>
        <w:rPr>
          <w:rFonts w:hint="eastAsia" w:ascii="宋体" w:hAnsi="宋体"/>
          <w:sz w:val="24"/>
          <w:highlight w:val="none"/>
        </w:rPr>
        <w:t>元，统一社会信用代码为913300007664077600，法定代表人</w:t>
      </w:r>
      <w:r>
        <w:rPr>
          <w:rFonts w:hint="eastAsia" w:ascii="宋体" w:hAnsi="宋体"/>
          <w:sz w:val="24"/>
          <w:szCs w:val="24"/>
          <w:highlight w:val="none"/>
        </w:rPr>
        <w:t>蒋国平</w:t>
      </w:r>
      <w:r>
        <w:rPr>
          <w:rFonts w:hint="eastAsia" w:ascii="宋体" w:hAnsi="宋体"/>
          <w:sz w:val="24"/>
          <w:highlight w:val="none"/>
        </w:rPr>
        <w:t>。海正生物现有股权结构如下：</w:t>
      </w:r>
    </w:p>
    <w:tbl>
      <w:tblPr>
        <w:tblStyle w:val="18"/>
        <w:tblW w:w="87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38"/>
        <w:gridCol w:w="2551"/>
        <w:gridCol w:w="19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38" w:type="dxa"/>
            <w:shd w:val="clear" w:color="auto" w:fill="auto"/>
            <w:vAlign w:val="center"/>
          </w:tcPr>
          <w:p>
            <w:pPr>
              <w:widowControl/>
              <w:spacing w:line="360" w:lineRule="auto"/>
              <w:jc w:val="center"/>
              <w:rPr>
                <w:rFonts w:ascii="宋体" w:hAnsi="宋体"/>
                <w:kern w:val="0"/>
                <w:szCs w:val="21"/>
                <w:highlight w:val="none"/>
              </w:rPr>
            </w:pPr>
            <w:r>
              <w:rPr>
                <w:rFonts w:hint="eastAsia" w:ascii="宋体" w:hAnsi="宋体"/>
                <w:kern w:val="0"/>
                <w:szCs w:val="21"/>
                <w:highlight w:val="none"/>
              </w:rPr>
              <w:t>股东名称</w:t>
            </w:r>
          </w:p>
        </w:tc>
        <w:tc>
          <w:tcPr>
            <w:tcW w:w="2551" w:type="dxa"/>
            <w:shd w:val="clear" w:color="auto" w:fill="auto"/>
            <w:vAlign w:val="center"/>
          </w:tcPr>
          <w:p>
            <w:pPr>
              <w:widowControl/>
              <w:spacing w:line="360" w:lineRule="auto"/>
              <w:jc w:val="center"/>
              <w:rPr>
                <w:rFonts w:ascii="宋体" w:hAnsi="宋体"/>
                <w:kern w:val="0"/>
                <w:szCs w:val="21"/>
                <w:highlight w:val="none"/>
              </w:rPr>
            </w:pPr>
            <w:r>
              <w:rPr>
                <w:rFonts w:hint="eastAsia" w:ascii="宋体" w:hAnsi="宋体"/>
                <w:kern w:val="0"/>
                <w:szCs w:val="21"/>
                <w:highlight w:val="none"/>
              </w:rPr>
              <w:t>出资额（元）</w:t>
            </w:r>
          </w:p>
        </w:tc>
        <w:tc>
          <w:tcPr>
            <w:tcW w:w="1966" w:type="dxa"/>
            <w:shd w:val="clear" w:color="auto" w:fill="auto"/>
            <w:vAlign w:val="center"/>
          </w:tcPr>
          <w:p>
            <w:pPr>
              <w:widowControl/>
              <w:spacing w:line="360" w:lineRule="auto"/>
              <w:jc w:val="center"/>
              <w:rPr>
                <w:rFonts w:ascii="宋体" w:hAnsi="宋体"/>
                <w:kern w:val="0"/>
                <w:szCs w:val="21"/>
                <w:highlight w:val="none"/>
              </w:rPr>
            </w:pPr>
            <w:r>
              <w:rPr>
                <w:rFonts w:hint="eastAsia" w:ascii="宋体" w:hAnsi="宋体"/>
                <w:kern w:val="0"/>
                <w:szCs w:val="21"/>
                <w:highlight w:val="none"/>
              </w:rPr>
              <w:t>出资比例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38" w:type="dxa"/>
            <w:vAlign w:val="center"/>
          </w:tcPr>
          <w:p>
            <w:pPr>
              <w:widowControl/>
              <w:spacing w:line="500" w:lineRule="exact"/>
              <w:jc w:val="center"/>
              <w:rPr>
                <w:rFonts w:ascii="宋体" w:hAnsi="宋体"/>
                <w:szCs w:val="21"/>
                <w:highlight w:val="none"/>
              </w:rPr>
            </w:pPr>
            <w:r>
              <w:rPr>
                <w:rFonts w:hint="eastAsia" w:ascii="宋体" w:hAnsi="宋体" w:cs="宋体"/>
                <w:szCs w:val="21"/>
                <w:highlight w:val="none"/>
              </w:rPr>
              <w:t>浙江海正集团有限公司</w:t>
            </w:r>
          </w:p>
        </w:tc>
        <w:tc>
          <w:tcPr>
            <w:tcW w:w="2551" w:type="dxa"/>
            <w:vAlign w:val="center"/>
          </w:tcPr>
          <w:p>
            <w:pPr>
              <w:jc w:val="center"/>
              <w:rPr>
                <w:rFonts w:ascii="宋体" w:hAnsi="宋体"/>
                <w:szCs w:val="21"/>
                <w:highlight w:val="none"/>
              </w:rPr>
            </w:pPr>
            <w:r>
              <w:rPr>
                <w:rFonts w:hint="eastAsia" w:ascii="仿宋_GB2312" w:eastAsia="仿宋_GB2312"/>
                <w:szCs w:val="21"/>
                <w:highlight w:val="none"/>
              </w:rPr>
              <w:t xml:space="preserve">60,090,000.00 </w:t>
            </w:r>
          </w:p>
        </w:tc>
        <w:tc>
          <w:tcPr>
            <w:tcW w:w="1966" w:type="dxa"/>
            <w:vAlign w:val="center"/>
          </w:tcPr>
          <w:p>
            <w:pPr>
              <w:spacing w:line="500" w:lineRule="exact"/>
              <w:jc w:val="center"/>
              <w:rPr>
                <w:rFonts w:ascii="宋体" w:hAnsi="宋体"/>
                <w:szCs w:val="21"/>
                <w:highlight w:val="none"/>
              </w:rPr>
            </w:pPr>
            <w:r>
              <w:rPr>
                <w:rFonts w:ascii="宋体" w:hAnsi="宋体" w:cs="宋体"/>
                <w:szCs w:val="21"/>
                <w:highlight w:val="none"/>
              </w:rPr>
              <w:t>65.6</w:t>
            </w:r>
            <w:r>
              <w:rPr>
                <w:rFonts w:hint="eastAsia" w:ascii="宋体" w:hAnsi="宋体" w:cs="宋体"/>
                <w:szCs w:val="21"/>
                <w:highlight w:val="none"/>
                <w:lang w:val="en-US" w:eastAsia="zh-CN"/>
              </w:rPr>
              <w:t>8</w:t>
            </w:r>
            <w:r>
              <w:rPr>
                <w:rFonts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38" w:type="dxa"/>
            <w:vAlign w:val="center"/>
          </w:tcPr>
          <w:p>
            <w:pPr>
              <w:widowControl/>
              <w:spacing w:line="500" w:lineRule="exact"/>
              <w:jc w:val="center"/>
              <w:rPr>
                <w:rFonts w:ascii="宋体" w:hAnsi="宋体"/>
                <w:szCs w:val="21"/>
                <w:highlight w:val="none"/>
              </w:rPr>
            </w:pPr>
            <w:r>
              <w:rPr>
                <w:rFonts w:hint="eastAsia" w:ascii="宋体" w:hAnsi="宋体" w:cs="宋体"/>
                <w:szCs w:val="21"/>
                <w:highlight w:val="none"/>
              </w:rPr>
              <w:t>台州市国有资产投资集团有限公司</w:t>
            </w:r>
          </w:p>
        </w:tc>
        <w:tc>
          <w:tcPr>
            <w:tcW w:w="2551" w:type="dxa"/>
            <w:vAlign w:val="center"/>
          </w:tcPr>
          <w:p>
            <w:pPr>
              <w:jc w:val="center"/>
              <w:rPr>
                <w:rFonts w:ascii="宋体" w:hAnsi="宋体"/>
                <w:szCs w:val="21"/>
                <w:highlight w:val="none"/>
              </w:rPr>
            </w:pPr>
            <w:r>
              <w:rPr>
                <w:rFonts w:hint="eastAsia" w:ascii="仿宋_GB2312" w:eastAsia="仿宋_GB2312"/>
                <w:szCs w:val="21"/>
                <w:highlight w:val="none"/>
              </w:rPr>
              <w:t xml:space="preserve">2,000,000.00 </w:t>
            </w:r>
          </w:p>
        </w:tc>
        <w:tc>
          <w:tcPr>
            <w:tcW w:w="1966" w:type="dxa"/>
            <w:vAlign w:val="center"/>
          </w:tcPr>
          <w:p>
            <w:pPr>
              <w:pStyle w:val="33"/>
              <w:spacing w:line="500" w:lineRule="exact"/>
              <w:jc w:val="center"/>
              <w:rPr>
                <w:rFonts w:hAnsi="宋体"/>
                <w:sz w:val="21"/>
                <w:szCs w:val="21"/>
                <w:highlight w:val="none"/>
              </w:rPr>
            </w:pPr>
            <w:r>
              <w:rPr>
                <w:rFonts w:hAnsi="宋体"/>
                <w:sz w:val="21"/>
                <w:szCs w:val="21"/>
                <w:highlight w:val="none"/>
              </w:rPr>
              <w:t>2.19%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38" w:type="dxa"/>
            <w:vAlign w:val="center"/>
          </w:tcPr>
          <w:p>
            <w:pPr>
              <w:widowControl/>
              <w:spacing w:line="500" w:lineRule="exact"/>
              <w:jc w:val="center"/>
              <w:rPr>
                <w:rFonts w:ascii="宋体" w:hAnsi="宋体"/>
                <w:szCs w:val="21"/>
                <w:highlight w:val="none"/>
              </w:rPr>
            </w:pPr>
            <w:r>
              <w:rPr>
                <w:rFonts w:hint="eastAsia" w:ascii="宋体" w:hAnsi="宋体" w:cs="宋体"/>
                <w:szCs w:val="21"/>
                <w:highlight w:val="none"/>
              </w:rPr>
              <w:t>台州市椒江区基础设施投资公司</w:t>
            </w:r>
          </w:p>
        </w:tc>
        <w:tc>
          <w:tcPr>
            <w:tcW w:w="2551" w:type="dxa"/>
            <w:vAlign w:val="center"/>
          </w:tcPr>
          <w:p>
            <w:pPr>
              <w:jc w:val="center"/>
              <w:rPr>
                <w:rFonts w:ascii="宋体" w:hAnsi="宋体"/>
                <w:szCs w:val="21"/>
                <w:highlight w:val="none"/>
              </w:rPr>
            </w:pPr>
            <w:r>
              <w:rPr>
                <w:rFonts w:hint="eastAsia" w:ascii="仿宋_GB2312" w:eastAsia="仿宋_GB2312"/>
                <w:szCs w:val="21"/>
                <w:highlight w:val="none"/>
              </w:rPr>
              <w:t xml:space="preserve">2,000,000.00 </w:t>
            </w:r>
          </w:p>
        </w:tc>
        <w:tc>
          <w:tcPr>
            <w:tcW w:w="1966" w:type="dxa"/>
            <w:vAlign w:val="center"/>
          </w:tcPr>
          <w:p>
            <w:pPr>
              <w:pStyle w:val="33"/>
              <w:spacing w:line="500" w:lineRule="exact"/>
              <w:jc w:val="center"/>
              <w:rPr>
                <w:rFonts w:hAnsi="宋体"/>
                <w:sz w:val="21"/>
                <w:szCs w:val="21"/>
                <w:highlight w:val="none"/>
              </w:rPr>
            </w:pPr>
            <w:r>
              <w:rPr>
                <w:rFonts w:hAnsi="宋体"/>
                <w:sz w:val="21"/>
                <w:szCs w:val="21"/>
                <w:highlight w:val="none"/>
              </w:rPr>
              <w:t>2.19%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38" w:type="dxa"/>
            <w:vAlign w:val="center"/>
          </w:tcPr>
          <w:p>
            <w:pPr>
              <w:widowControl/>
              <w:spacing w:line="500" w:lineRule="exact"/>
              <w:jc w:val="center"/>
              <w:rPr>
                <w:rFonts w:ascii="宋体" w:hAnsi="宋体"/>
                <w:szCs w:val="21"/>
                <w:highlight w:val="none"/>
              </w:rPr>
            </w:pPr>
            <w:r>
              <w:rPr>
                <w:rFonts w:hint="eastAsia" w:ascii="宋体" w:hAnsi="宋体" w:cs="宋体"/>
                <w:szCs w:val="21"/>
                <w:highlight w:val="none"/>
              </w:rPr>
              <w:t>苏州市玮琪生物科技有限公司</w:t>
            </w:r>
          </w:p>
        </w:tc>
        <w:tc>
          <w:tcPr>
            <w:tcW w:w="2551" w:type="dxa"/>
            <w:vAlign w:val="center"/>
          </w:tcPr>
          <w:p>
            <w:pPr>
              <w:jc w:val="center"/>
              <w:rPr>
                <w:rFonts w:ascii="宋体" w:hAnsi="宋体"/>
                <w:szCs w:val="21"/>
                <w:highlight w:val="none"/>
              </w:rPr>
            </w:pPr>
            <w:r>
              <w:rPr>
                <w:rFonts w:hint="eastAsia" w:ascii="仿宋_GB2312" w:eastAsia="仿宋_GB2312"/>
                <w:szCs w:val="21"/>
                <w:highlight w:val="none"/>
              </w:rPr>
              <w:t xml:space="preserve">6,620,000.00 </w:t>
            </w:r>
          </w:p>
        </w:tc>
        <w:tc>
          <w:tcPr>
            <w:tcW w:w="1966" w:type="dxa"/>
            <w:vAlign w:val="center"/>
          </w:tcPr>
          <w:p>
            <w:pPr>
              <w:spacing w:line="500" w:lineRule="exact"/>
              <w:jc w:val="center"/>
              <w:rPr>
                <w:rFonts w:ascii="宋体" w:hAnsi="宋体"/>
                <w:szCs w:val="21"/>
                <w:highlight w:val="none"/>
              </w:rPr>
            </w:pPr>
            <w:r>
              <w:rPr>
                <w:rFonts w:ascii="宋体" w:hAnsi="宋体" w:cs="宋体"/>
                <w:szCs w:val="21"/>
                <w:highlight w:val="none"/>
              </w:rPr>
              <w:t>7.24%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38" w:type="dxa"/>
            <w:vAlign w:val="center"/>
          </w:tcPr>
          <w:p>
            <w:pPr>
              <w:widowControl/>
              <w:spacing w:line="500" w:lineRule="exact"/>
              <w:jc w:val="center"/>
              <w:rPr>
                <w:rFonts w:ascii="宋体" w:hAnsi="宋体"/>
                <w:szCs w:val="21"/>
                <w:highlight w:val="none"/>
              </w:rPr>
            </w:pPr>
            <w:r>
              <w:rPr>
                <w:rFonts w:hint="eastAsia" w:ascii="宋体" w:hAnsi="宋体" w:cs="宋体"/>
                <w:szCs w:val="21"/>
                <w:highlight w:val="none"/>
              </w:rPr>
              <w:t>中国科学院长春应用化学科技总公司</w:t>
            </w:r>
          </w:p>
        </w:tc>
        <w:tc>
          <w:tcPr>
            <w:tcW w:w="2551" w:type="dxa"/>
            <w:vAlign w:val="center"/>
          </w:tcPr>
          <w:p>
            <w:pPr>
              <w:jc w:val="center"/>
              <w:rPr>
                <w:rFonts w:ascii="宋体" w:hAnsi="宋体"/>
                <w:szCs w:val="21"/>
                <w:highlight w:val="none"/>
              </w:rPr>
            </w:pPr>
            <w:r>
              <w:rPr>
                <w:rFonts w:hint="eastAsia" w:ascii="仿宋_GB2312" w:eastAsia="仿宋_GB2312"/>
                <w:szCs w:val="21"/>
                <w:highlight w:val="none"/>
              </w:rPr>
              <w:t xml:space="preserve">9,200,000.00 </w:t>
            </w:r>
          </w:p>
        </w:tc>
        <w:tc>
          <w:tcPr>
            <w:tcW w:w="1966" w:type="dxa"/>
            <w:vAlign w:val="center"/>
          </w:tcPr>
          <w:p>
            <w:pPr>
              <w:pStyle w:val="33"/>
              <w:spacing w:line="500" w:lineRule="exact"/>
              <w:jc w:val="center"/>
              <w:rPr>
                <w:rFonts w:hAnsi="宋体"/>
                <w:sz w:val="21"/>
                <w:szCs w:val="21"/>
                <w:highlight w:val="none"/>
              </w:rPr>
            </w:pPr>
            <w:r>
              <w:rPr>
                <w:rFonts w:hAnsi="宋体"/>
                <w:sz w:val="21"/>
                <w:szCs w:val="21"/>
                <w:highlight w:val="none"/>
              </w:rPr>
              <w:t>10.06%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38" w:type="dxa"/>
            <w:vAlign w:val="center"/>
          </w:tcPr>
          <w:p>
            <w:pPr>
              <w:widowControl/>
              <w:spacing w:line="500" w:lineRule="exact"/>
              <w:jc w:val="center"/>
              <w:rPr>
                <w:rFonts w:ascii="宋体" w:hAnsi="宋体"/>
                <w:szCs w:val="21"/>
                <w:highlight w:val="none"/>
              </w:rPr>
            </w:pPr>
            <w:r>
              <w:rPr>
                <w:rFonts w:hint="eastAsia" w:ascii="宋体" w:hAnsi="宋体" w:cs="宋体"/>
                <w:szCs w:val="21"/>
                <w:highlight w:val="none"/>
              </w:rPr>
              <w:t>边新超</w:t>
            </w:r>
          </w:p>
        </w:tc>
        <w:tc>
          <w:tcPr>
            <w:tcW w:w="2551" w:type="dxa"/>
            <w:vAlign w:val="center"/>
          </w:tcPr>
          <w:p>
            <w:pPr>
              <w:jc w:val="center"/>
              <w:rPr>
                <w:rFonts w:ascii="宋体" w:hAnsi="宋体"/>
                <w:szCs w:val="21"/>
                <w:highlight w:val="none"/>
              </w:rPr>
            </w:pPr>
            <w:r>
              <w:rPr>
                <w:rFonts w:hint="eastAsia" w:ascii="仿宋_GB2312" w:eastAsia="仿宋_GB2312"/>
                <w:szCs w:val="21"/>
                <w:highlight w:val="none"/>
              </w:rPr>
              <w:t xml:space="preserve">3,000,000.00 </w:t>
            </w:r>
          </w:p>
        </w:tc>
        <w:tc>
          <w:tcPr>
            <w:tcW w:w="1966" w:type="dxa"/>
            <w:vAlign w:val="center"/>
          </w:tcPr>
          <w:p>
            <w:pPr>
              <w:pStyle w:val="33"/>
              <w:spacing w:line="500" w:lineRule="exact"/>
              <w:jc w:val="center"/>
              <w:rPr>
                <w:rFonts w:hAnsi="宋体"/>
                <w:sz w:val="21"/>
                <w:szCs w:val="21"/>
                <w:highlight w:val="none"/>
              </w:rPr>
            </w:pPr>
            <w:r>
              <w:rPr>
                <w:rFonts w:hAnsi="宋体"/>
                <w:sz w:val="21"/>
                <w:szCs w:val="21"/>
                <w:highlight w:val="none"/>
              </w:rPr>
              <w:t>3.28%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38" w:type="dxa"/>
            <w:vAlign w:val="center"/>
          </w:tcPr>
          <w:p>
            <w:pPr>
              <w:widowControl/>
              <w:spacing w:line="500" w:lineRule="exact"/>
              <w:jc w:val="center"/>
              <w:rPr>
                <w:rFonts w:ascii="宋体" w:hAnsi="宋体"/>
                <w:szCs w:val="21"/>
                <w:highlight w:val="none"/>
              </w:rPr>
            </w:pPr>
            <w:r>
              <w:rPr>
                <w:rFonts w:hint="eastAsia" w:ascii="宋体" w:hAnsi="宋体" w:cs="宋体"/>
                <w:szCs w:val="21"/>
                <w:highlight w:val="none"/>
              </w:rPr>
              <w:t>陈志明</w:t>
            </w:r>
          </w:p>
        </w:tc>
        <w:tc>
          <w:tcPr>
            <w:tcW w:w="2551" w:type="dxa"/>
            <w:vAlign w:val="center"/>
          </w:tcPr>
          <w:p>
            <w:pPr>
              <w:jc w:val="center"/>
              <w:rPr>
                <w:rFonts w:ascii="宋体" w:hAnsi="宋体"/>
                <w:szCs w:val="21"/>
                <w:highlight w:val="none"/>
              </w:rPr>
            </w:pPr>
            <w:r>
              <w:rPr>
                <w:rFonts w:hint="eastAsia" w:ascii="仿宋_GB2312" w:eastAsia="仿宋_GB2312"/>
                <w:szCs w:val="21"/>
                <w:highlight w:val="none"/>
              </w:rPr>
              <w:t xml:space="preserve">5,760,000.00 </w:t>
            </w:r>
          </w:p>
        </w:tc>
        <w:tc>
          <w:tcPr>
            <w:tcW w:w="1966" w:type="dxa"/>
            <w:vAlign w:val="center"/>
          </w:tcPr>
          <w:p>
            <w:pPr>
              <w:spacing w:line="500" w:lineRule="exact"/>
              <w:jc w:val="center"/>
              <w:rPr>
                <w:rFonts w:ascii="宋体" w:hAnsi="宋体"/>
                <w:szCs w:val="21"/>
                <w:highlight w:val="none"/>
              </w:rPr>
            </w:pPr>
            <w:r>
              <w:rPr>
                <w:rFonts w:ascii="宋体" w:hAnsi="宋体" w:cs="宋体"/>
                <w:szCs w:val="21"/>
                <w:highlight w:val="none"/>
              </w:rPr>
              <w:t>6.29%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38" w:type="dxa"/>
            <w:vAlign w:val="center"/>
          </w:tcPr>
          <w:p>
            <w:pPr>
              <w:widowControl/>
              <w:spacing w:line="500" w:lineRule="exact"/>
              <w:jc w:val="center"/>
              <w:rPr>
                <w:rFonts w:ascii="宋体" w:hAnsi="宋体"/>
                <w:szCs w:val="21"/>
                <w:highlight w:val="none"/>
              </w:rPr>
            </w:pPr>
            <w:r>
              <w:rPr>
                <w:rFonts w:hint="eastAsia" w:ascii="宋体" w:hAnsi="宋体" w:cs="宋体"/>
                <w:szCs w:val="21"/>
                <w:highlight w:val="none"/>
              </w:rPr>
              <w:t>陈学思</w:t>
            </w:r>
          </w:p>
        </w:tc>
        <w:tc>
          <w:tcPr>
            <w:tcW w:w="2551" w:type="dxa"/>
            <w:vAlign w:val="center"/>
          </w:tcPr>
          <w:p>
            <w:pPr>
              <w:jc w:val="center"/>
              <w:rPr>
                <w:rFonts w:ascii="宋体" w:hAnsi="宋体"/>
                <w:szCs w:val="21"/>
                <w:highlight w:val="none"/>
              </w:rPr>
            </w:pPr>
            <w:r>
              <w:rPr>
                <w:rFonts w:hint="eastAsia" w:ascii="仿宋_GB2312" w:eastAsia="仿宋_GB2312"/>
                <w:szCs w:val="21"/>
                <w:highlight w:val="none"/>
              </w:rPr>
              <w:t xml:space="preserve">800,000.00 </w:t>
            </w:r>
          </w:p>
        </w:tc>
        <w:tc>
          <w:tcPr>
            <w:tcW w:w="1966" w:type="dxa"/>
            <w:vAlign w:val="center"/>
          </w:tcPr>
          <w:p>
            <w:pPr>
              <w:pStyle w:val="33"/>
              <w:spacing w:line="500" w:lineRule="exact"/>
              <w:jc w:val="center"/>
              <w:rPr>
                <w:rFonts w:hAnsi="宋体"/>
                <w:sz w:val="21"/>
                <w:szCs w:val="21"/>
                <w:highlight w:val="none"/>
              </w:rPr>
            </w:pPr>
            <w:r>
              <w:rPr>
                <w:rFonts w:hAnsi="宋体"/>
                <w:sz w:val="21"/>
                <w:szCs w:val="21"/>
                <w:highlight w:val="none"/>
              </w:rPr>
              <w:t>0.87%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38" w:type="dxa"/>
            <w:vAlign w:val="center"/>
          </w:tcPr>
          <w:p>
            <w:pPr>
              <w:widowControl/>
              <w:spacing w:line="500" w:lineRule="exact"/>
              <w:jc w:val="center"/>
              <w:rPr>
                <w:rFonts w:ascii="宋体" w:hAnsi="宋体"/>
                <w:szCs w:val="21"/>
                <w:highlight w:val="none"/>
              </w:rPr>
            </w:pPr>
            <w:r>
              <w:rPr>
                <w:rFonts w:hint="eastAsia" w:ascii="宋体" w:hAnsi="宋体" w:cs="宋体"/>
                <w:szCs w:val="21"/>
                <w:highlight w:val="none"/>
              </w:rPr>
              <w:t>台州创熠企业管理服务中心（有限合伙）</w:t>
            </w:r>
          </w:p>
        </w:tc>
        <w:tc>
          <w:tcPr>
            <w:tcW w:w="2551" w:type="dxa"/>
            <w:vAlign w:val="center"/>
          </w:tcPr>
          <w:p>
            <w:pPr>
              <w:jc w:val="center"/>
              <w:rPr>
                <w:rFonts w:ascii="宋体" w:hAnsi="宋体"/>
                <w:szCs w:val="21"/>
                <w:highlight w:val="none"/>
              </w:rPr>
            </w:pPr>
            <w:r>
              <w:rPr>
                <w:rFonts w:hint="eastAsia" w:ascii="仿宋_GB2312" w:eastAsia="仿宋_GB2312"/>
                <w:szCs w:val="21"/>
                <w:highlight w:val="none"/>
              </w:rPr>
              <w:t>2,010,000.00</w:t>
            </w:r>
          </w:p>
        </w:tc>
        <w:tc>
          <w:tcPr>
            <w:tcW w:w="1966" w:type="dxa"/>
            <w:vAlign w:val="center"/>
          </w:tcPr>
          <w:p>
            <w:pPr>
              <w:pStyle w:val="33"/>
              <w:spacing w:line="500" w:lineRule="exact"/>
              <w:jc w:val="center"/>
              <w:rPr>
                <w:rFonts w:hAnsi="宋体"/>
                <w:sz w:val="21"/>
                <w:szCs w:val="21"/>
                <w:highlight w:val="none"/>
              </w:rPr>
            </w:pPr>
            <w:r>
              <w:rPr>
                <w:rFonts w:hAnsi="宋体"/>
                <w:sz w:val="21"/>
                <w:szCs w:val="21"/>
                <w:highlight w:val="none"/>
              </w:rPr>
              <w:t>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38" w:type="dxa"/>
            <w:vAlign w:val="center"/>
          </w:tcPr>
          <w:p>
            <w:pPr>
              <w:jc w:val="center"/>
              <w:rPr>
                <w:rFonts w:ascii="宋体" w:hAnsi="宋体"/>
                <w:szCs w:val="21"/>
                <w:highlight w:val="none"/>
              </w:rPr>
            </w:pPr>
            <w:r>
              <w:rPr>
                <w:rFonts w:hint="eastAsia" w:ascii="宋体" w:hAnsi="宋体"/>
                <w:szCs w:val="21"/>
                <w:highlight w:val="none"/>
              </w:rPr>
              <w:t>合计</w:t>
            </w:r>
          </w:p>
        </w:tc>
        <w:tc>
          <w:tcPr>
            <w:tcW w:w="2551" w:type="dxa"/>
            <w:vAlign w:val="center"/>
          </w:tcPr>
          <w:p>
            <w:pPr>
              <w:jc w:val="center"/>
              <w:rPr>
                <w:rFonts w:ascii="宋体" w:hAnsi="宋体"/>
                <w:szCs w:val="21"/>
                <w:highlight w:val="none"/>
              </w:rPr>
            </w:pPr>
            <w:r>
              <w:rPr>
                <w:rFonts w:hint="eastAsia" w:ascii="仿宋_GB2312" w:eastAsia="仿宋_GB2312"/>
                <w:szCs w:val="21"/>
                <w:highlight w:val="none"/>
              </w:rPr>
              <w:t xml:space="preserve">91,480,000.00 </w:t>
            </w:r>
          </w:p>
        </w:tc>
        <w:tc>
          <w:tcPr>
            <w:tcW w:w="1966" w:type="dxa"/>
            <w:vAlign w:val="center"/>
          </w:tcPr>
          <w:p>
            <w:pPr>
              <w:jc w:val="center"/>
              <w:rPr>
                <w:rFonts w:ascii="宋体" w:hAnsi="宋体"/>
                <w:szCs w:val="21"/>
                <w:highlight w:val="none"/>
              </w:rPr>
            </w:pPr>
            <w:r>
              <w:rPr>
                <w:rFonts w:ascii="宋体" w:hAnsi="宋体"/>
                <w:kern w:val="0"/>
                <w:szCs w:val="21"/>
                <w:highlight w:val="none"/>
              </w:rPr>
              <w:t>100.00%</w:t>
            </w:r>
          </w:p>
        </w:tc>
      </w:tr>
    </w:tbl>
    <w:p>
      <w:pPr>
        <w:spacing w:line="480" w:lineRule="atLeast"/>
        <w:ind w:right="105" w:rightChars="50"/>
        <w:jc w:val="left"/>
        <w:rPr>
          <w:rFonts w:ascii="宋体" w:hAnsi="宋体"/>
          <w:sz w:val="24"/>
          <w:highlight w:val="none"/>
        </w:rPr>
      </w:pPr>
    </w:p>
    <w:p>
      <w:pPr>
        <w:spacing w:line="600" w:lineRule="auto"/>
        <w:ind w:right="105" w:rightChars="50" w:firstLine="480" w:firstLineChars="200"/>
        <w:jc w:val="left"/>
        <w:rPr>
          <w:rFonts w:hint="eastAsia" w:ascii="宋体" w:hAnsi="宋体"/>
          <w:sz w:val="24"/>
          <w:highlight w:val="none"/>
        </w:rPr>
      </w:pPr>
      <w:r>
        <w:rPr>
          <w:rFonts w:hint="eastAsia" w:ascii="宋体" w:hAnsi="宋体"/>
          <w:sz w:val="24"/>
          <w:highlight w:val="none"/>
        </w:rPr>
        <w:t>海正生物公司主要财务数据</w:t>
      </w:r>
    </w:p>
    <w:tbl>
      <w:tblPr>
        <w:tblStyle w:val="18"/>
        <w:tblW w:w="89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2"/>
        <w:gridCol w:w="1526"/>
        <w:gridCol w:w="1687"/>
        <w:gridCol w:w="1"/>
        <w:gridCol w:w="1780"/>
        <w:gridCol w:w="17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7" w:hRule="exact"/>
          <w:jc w:val="center"/>
        </w:trPr>
        <w:tc>
          <w:tcPr>
            <w:tcW w:w="2232" w:type="dxa"/>
            <w:vAlign w:val="center"/>
          </w:tcPr>
          <w:p>
            <w:pPr>
              <w:jc w:val="center"/>
              <w:rPr>
                <w:rFonts w:ascii="宋体" w:hAnsi="宋体"/>
                <w:b/>
                <w:color w:val="auto"/>
                <w:sz w:val="24"/>
                <w:highlight w:val="none"/>
              </w:rPr>
            </w:pPr>
            <w:r>
              <w:rPr>
                <w:rFonts w:hint="eastAsia" w:ascii="宋体" w:hAnsi="宋体"/>
                <w:b/>
                <w:color w:val="auto"/>
                <w:sz w:val="24"/>
                <w:highlight w:val="none"/>
              </w:rPr>
              <w:t>主要财务指标</w:t>
            </w:r>
          </w:p>
          <w:p>
            <w:pPr>
              <w:jc w:val="center"/>
              <w:rPr>
                <w:rFonts w:ascii="宋体" w:hAnsi="宋体"/>
                <w:b/>
                <w:color w:val="auto"/>
                <w:sz w:val="24"/>
                <w:highlight w:val="none"/>
              </w:rPr>
            </w:pPr>
            <w:r>
              <w:rPr>
                <w:rFonts w:hint="eastAsia" w:ascii="宋体" w:hAnsi="宋体"/>
                <w:b/>
                <w:color w:val="auto"/>
                <w:sz w:val="24"/>
                <w:highlight w:val="none"/>
              </w:rPr>
              <w:t>（单位：人民币元）</w:t>
            </w:r>
          </w:p>
        </w:tc>
        <w:tc>
          <w:tcPr>
            <w:tcW w:w="6713" w:type="dxa"/>
            <w:gridSpan w:val="5"/>
            <w:vAlign w:val="center"/>
          </w:tcPr>
          <w:p>
            <w:pPr>
              <w:ind w:firstLine="480"/>
              <w:jc w:val="center"/>
              <w:rPr>
                <w:rFonts w:ascii="宋体" w:hAnsi="宋体"/>
                <w:color w:val="auto"/>
                <w:sz w:val="24"/>
                <w:highlight w:val="none"/>
              </w:rPr>
            </w:pPr>
            <w:r>
              <w:rPr>
                <w:rFonts w:hint="eastAsia" w:ascii="宋体" w:hAnsi="宋体"/>
                <w:color w:val="auto"/>
                <w:sz w:val="24"/>
                <w:highlight w:val="none"/>
              </w:rPr>
              <w:t>以下数据出自企业201</w:t>
            </w:r>
            <w:r>
              <w:rPr>
                <w:rFonts w:hint="eastAsia" w:ascii="宋体" w:hAnsi="宋体"/>
                <w:color w:val="auto"/>
                <w:sz w:val="24"/>
                <w:highlight w:val="none"/>
                <w:lang w:val="en-US" w:eastAsia="zh-CN"/>
              </w:rPr>
              <w:t>7</w:t>
            </w:r>
            <w:r>
              <w:rPr>
                <w:rFonts w:hint="eastAsia" w:ascii="宋体" w:hAnsi="宋体"/>
                <w:color w:val="auto"/>
                <w:sz w:val="24"/>
                <w:highlight w:val="none"/>
              </w:rPr>
              <w:t>年1-12月审计报告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2" w:hRule="atLeast"/>
          <w:jc w:val="center"/>
        </w:trPr>
        <w:tc>
          <w:tcPr>
            <w:tcW w:w="2232" w:type="dxa"/>
            <w:vMerge w:val="restart"/>
            <w:vAlign w:val="center"/>
          </w:tcPr>
          <w:p>
            <w:pPr>
              <w:jc w:val="center"/>
              <w:rPr>
                <w:rFonts w:hint="eastAsia" w:ascii="宋体" w:hAnsi="宋体"/>
                <w:b/>
                <w:color w:val="auto"/>
                <w:sz w:val="24"/>
                <w:highlight w:val="none"/>
              </w:rPr>
            </w:pPr>
          </w:p>
        </w:tc>
        <w:tc>
          <w:tcPr>
            <w:tcW w:w="1526" w:type="dxa"/>
            <w:vAlign w:val="center"/>
          </w:tcPr>
          <w:p>
            <w:pPr>
              <w:ind w:firstLine="0"/>
              <w:jc w:val="both"/>
              <w:rPr>
                <w:rFonts w:hint="eastAsia" w:ascii="宋体" w:hAnsi="宋体"/>
                <w:color w:val="auto"/>
                <w:sz w:val="24"/>
                <w:highlight w:val="none"/>
              </w:rPr>
            </w:pPr>
            <w:r>
              <w:rPr>
                <w:rFonts w:hint="eastAsia" w:ascii="宋体" w:hAnsi="宋体"/>
                <w:b/>
                <w:color w:val="auto"/>
                <w:sz w:val="24"/>
                <w:highlight w:val="none"/>
              </w:rPr>
              <w:t>年度日期</w:t>
            </w:r>
          </w:p>
        </w:tc>
        <w:tc>
          <w:tcPr>
            <w:tcW w:w="1688" w:type="dxa"/>
            <w:gridSpan w:val="2"/>
            <w:vAlign w:val="center"/>
          </w:tcPr>
          <w:p>
            <w:pPr>
              <w:jc w:val="center"/>
              <w:rPr>
                <w:rFonts w:hint="eastAsia" w:ascii="宋体" w:hAnsi="宋体" w:eastAsia="宋体" w:cs="Times New Roman"/>
                <w:b/>
                <w:color w:val="auto"/>
                <w:kern w:val="2"/>
                <w:sz w:val="24"/>
                <w:szCs w:val="22"/>
                <w:highlight w:val="none"/>
                <w:lang w:val="en-US" w:eastAsia="zh-CN" w:bidi="ar-SA"/>
              </w:rPr>
            </w:pPr>
            <w:r>
              <w:rPr>
                <w:rFonts w:hint="eastAsia" w:ascii="宋体" w:hAnsi="宋体"/>
                <w:b/>
                <w:color w:val="auto"/>
                <w:sz w:val="24"/>
                <w:highlight w:val="none"/>
              </w:rPr>
              <w:t>资产总计</w:t>
            </w:r>
          </w:p>
        </w:tc>
        <w:tc>
          <w:tcPr>
            <w:tcW w:w="1780" w:type="dxa"/>
            <w:vAlign w:val="center"/>
          </w:tcPr>
          <w:p>
            <w:pPr>
              <w:jc w:val="center"/>
              <w:rPr>
                <w:rFonts w:hint="eastAsia" w:ascii="宋体" w:hAnsi="宋体" w:eastAsia="宋体" w:cs="Times New Roman"/>
                <w:b/>
                <w:color w:val="auto"/>
                <w:kern w:val="2"/>
                <w:sz w:val="24"/>
                <w:szCs w:val="22"/>
                <w:highlight w:val="none"/>
                <w:lang w:val="en-US" w:eastAsia="zh-CN" w:bidi="ar-SA"/>
              </w:rPr>
            </w:pPr>
            <w:r>
              <w:rPr>
                <w:rFonts w:hint="eastAsia" w:ascii="宋体" w:hAnsi="宋体"/>
                <w:b/>
                <w:color w:val="auto"/>
                <w:sz w:val="24"/>
                <w:highlight w:val="none"/>
              </w:rPr>
              <w:t>负债总计</w:t>
            </w:r>
          </w:p>
        </w:tc>
        <w:tc>
          <w:tcPr>
            <w:tcW w:w="1719" w:type="dxa"/>
            <w:vAlign w:val="center"/>
          </w:tcPr>
          <w:p>
            <w:pPr>
              <w:jc w:val="center"/>
              <w:rPr>
                <w:rFonts w:hint="eastAsia" w:ascii="宋体" w:hAnsi="宋体" w:eastAsia="宋体" w:cs="Times New Roman"/>
                <w:b/>
                <w:color w:val="auto"/>
                <w:kern w:val="2"/>
                <w:sz w:val="24"/>
                <w:szCs w:val="22"/>
                <w:highlight w:val="none"/>
                <w:lang w:val="en-US" w:eastAsia="zh-CN" w:bidi="ar-SA"/>
              </w:rPr>
            </w:pPr>
            <w:r>
              <w:rPr>
                <w:rFonts w:hint="eastAsia" w:ascii="宋体" w:hAnsi="宋体"/>
                <w:b/>
                <w:color w:val="auto"/>
                <w:sz w:val="24"/>
                <w:highlight w:val="none"/>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2232" w:type="dxa"/>
            <w:vMerge w:val="continue"/>
            <w:vAlign w:val="center"/>
          </w:tcPr>
          <w:p>
            <w:pPr>
              <w:ind w:firstLine="480"/>
              <w:jc w:val="center"/>
            </w:pPr>
          </w:p>
        </w:tc>
        <w:tc>
          <w:tcPr>
            <w:tcW w:w="1526" w:type="dxa"/>
            <w:vMerge w:val="restart"/>
            <w:vAlign w:val="center"/>
          </w:tcPr>
          <w:p>
            <w:pPr>
              <w:ind w:firstLine="0"/>
              <w:jc w:val="both"/>
            </w:pPr>
            <w:r>
              <w:rPr>
                <w:rFonts w:hint="eastAsia" w:ascii="宋体" w:hAnsi="宋体"/>
                <w:color w:val="auto"/>
                <w:highlight w:val="none"/>
              </w:rPr>
              <w:t>201</w:t>
            </w:r>
            <w:r>
              <w:rPr>
                <w:rFonts w:hint="eastAsia" w:ascii="宋体" w:hAnsi="宋体"/>
                <w:color w:val="auto"/>
                <w:highlight w:val="none"/>
                <w:lang w:val="en-US" w:eastAsia="zh-CN"/>
              </w:rPr>
              <w:t>7</w:t>
            </w:r>
            <w:r>
              <w:rPr>
                <w:rFonts w:hint="eastAsia" w:ascii="宋体" w:hAnsi="宋体"/>
                <w:color w:val="auto"/>
                <w:highlight w:val="none"/>
              </w:rPr>
              <w:t>年12月31日</w:t>
            </w:r>
          </w:p>
        </w:tc>
        <w:tc>
          <w:tcPr>
            <w:tcW w:w="1688" w:type="dxa"/>
            <w:gridSpan w:val="2"/>
            <w:vAlign w:val="center"/>
          </w:tcPr>
          <w:p>
            <w:pPr>
              <w:jc w:val="center"/>
              <w:rPr>
                <w:rFonts w:ascii="宋体" w:hAnsi="宋体" w:eastAsia="宋体" w:cs="Times New Roman"/>
                <w:bCs/>
                <w:color w:val="auto"/>
                <w:kern w:val="2"/>
                <w:sz w:val="24"/>
                <w:szCs w:val="22"/>
                <w:highlight w:val="none"/>
                <w:lang w:val="en-US" w:eastAsia="zh-CN" w:bidi="ar-SA"/>
              </w:rPr>
            </w:pPr>
            <w:r>
              <w:rPr>
                <w:rFonts w:hint="eastAsia" w:ascii="宋体" w:hAnsi="宋体" w:cs="Times New Roman"/>
                <w:bCs/>
                <w:color w:val="auto"/>
                <w:kern w:val="2"/>
                <w:sz w:val="20"/>
                <w:szCs w:val="20"/>
                <w:highlight w:val="none"/>
                <w:lang w:val="en-US" w:eastAsia="zh-CN" w:bidi="ar-SA"/>
              </w:rPr>
              <w:t>259,143,226.27</w:t>
            </w:r>
          </w:p>
        </w:tc>
        <w:tc>
          <w:tcPr>
            <w:tcW w:w="1780" w:type="dxa"/>
            <w:vAlign w:val="center"/>
          </w:tcPr>
          <w:p>
            <w:pPr>
              <w:jc w:val="center"/>
              <w:rPr>
                <w:rFonts w:ascii="宋体" w:hAnsi="宋体" w:eastAsia="宋体" w:cs="Times New Roman"/>
                <w:bCs/>
                <w:color w:val="auto"/>
                <w:kern w:val="2"/>
                <w:sz w:val="24"/>
                <w:szCs w:val="22"/>
                <w:highlight w:val="none"/>
                <w:lang w:val="en-US" w:eastAsia="zh-CN" w:bidi="ar-SA"/>
              </w:rPr>
            </w:pPr>
            <w:r>
              <w:rPr>
                <w:rFonts w:hint="eastAsia" w:ascii="宋体" w:hAnsi="宋体" w:cs="Times New Roman"/>
                <w:bCs/>
                <w:color w:val="auto"/>
                <w:kern w:val="2"/>
                <w:sz w:val="20"/>
                <w:szCs w:val="20"/>
                <w:highlight w:val="none"/>
                <w:lang w:val="en-US" w:eastAsia="zh-CN" w:bidi="ar-SA"/>
              </w:rPr>
              <w:t>164,089,706.57</w:t>
            </w:r>
          </w:p>
        </w:tc>
        <w:tc>
          <w:tcPr>
            <w:tcW w:w="1719" w:type="dxa"/>
            <w:vAlign w:val="center"/>
          </w:tcPr>
          <w:p>
            <w:pPr>
              <w:jc w:val="center"/>
              <w:rPr>
                <w:rFonts w:hint="eastAsia" w:ascii="宋体" w:hAnsi="宋体" w:eastAsia="宋体" w:cs="Times New Roman"/>
                <w:bCs/>
                <w:color w:val="auto"/>
                <w:kern w:val="2"/>
                <w:sz w:val="24"/>
                <w:szCs w:val="22"/>
                <w:highlight w:val="none"/>
                <w:lang w:val="en-US" w:eastAsia="zh-CN" w:bidi="ar-SA"/>
              </w:rPr>
            </w:pPr>
            <w:r>
              <w:rPr>
                <w:rFonts w:hint="eastAsia" w:ascii="宋体" w:hAnsi="宋体" w:cs="Times New Roman"/>
                <w:bCs/>
                <w:color w:val="auto"/>
                <w:kern w:val="2"/>
                <w:sz w:val="20"/>
                <w:szCs w:val="20"/>
                <w:highlight w:val="none"/>
                <w:lang w:val="en-US" w:eastAsia="zh-CN" w:bidi="ar-SA"/>
              </w:rPr>
              <w:t>95,053,519.70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jc w:val="center"/>
        </w:trPr>
        <w:tc>
          <w:tcPr>
            <w:tcW w:w="2232" w:type="dxa"/>
            <w:vMerge w:val="continue"/>
            <w:vAlign w:val="center"/>
          </w:tcPr>
          <w:p>
            <w:pPr>
              <w:ind w:firstLine="480"/>
              <w:jc w:val="center"/>
            </w:pPr>
          </w:p>
        </w:tc>
        <w:tc>
          <w:tcPr>
            <w:tcW w:w="1526" w:type="dxa"/>
            <w:vMerge w:val="continue"/>
            <w:vAlign w:val="center"/>
          </w:tcPr>
          <w:p>
            <w:pPr>
              <w:ind w:firstLine="480"/>
              <w:jc w:val="center"/>
            </w:pPr>
          </w:p>
        </w:tc>
        <w:tc>
          <w:tcPr>
            <w:tcW w:w="1688" w:type="dxa"/>
            <w:gridSpan w:val="2"/>
            <w:vAlign w:val="center"/>
          </w:tcPr>
          <w:p>
            <w:pPr>
              <w:jc w:val="center"/>
              <w:rPr>
                <w:rFonts w:ascii="宋体" w:hAnsi="宋体" w:eastAsia="宋体" w:cs="Times New Roman"/>
                <w:b/>
                <w:color w:val="auto"/>
                <w:kern w:val="2"/>
                <w:sz w:val="24"/>
                <w:szCs w:val="22"/>
                <w:highlight w:val="none"/>
                <w:lang w:val="en-US" w:eastAsia="zh-CN" w:bidi="ar-SA"/>
              </w:rPr>
            </w:pPr>
            <w:r>
              <w:rPr>
                <w:rFonts w:hint="eastAsia" w:ascii="宋体" w:hAnsi="宋体"/>
                <w:b/>
                <w:color w:val="auto"/>
                <w:sz w:val="24"/>
                <w:highlight w:val="none"/>
              </w:rPr>
              <w:t>营业收入</w:t>
            </w:r>
          </w:p>
        </w:tc>
        <w:tc>
          <w:tcPr>
            <w:tcW w:w="1780" w:type="dxa"/>
            <w:vAlign w:val="center"/>
          </w:tcPr>
          <w:p>
            <w:pPr>
              <w:jc w:val="center"/>
              <w:rPr>
                <w:rFonts w:ascii="宋体" w:hAnsi="宋体" w:eastAsia="宋体" w:cs="Times New Roman"/>
                <w:b/>
                <w:color w:val="auto"/>
                <w:kern w:val="2"/>
                <w:sz w:val="24"/>
                <w:szCs w:val="22"/>
                <w:highlight w:val="none"/>
                <w:lang w:val="en-US" w:eastAsia="zh-CN" w:bidi="ar-SA"/>
              </w:rPr>
            </w:pPr>
            <w:r>
              <w:rPr>
                <w:rFonts w:hint="eastAsia" w:ascii="宋体" w:hAnsi="宋体"/>
                <w:b/>
                <w:color w:val="auto"/>
                <w:sz w:val="24"/>
                <w:highlight w:val="none"/>
              </w:rPr>
              <w:t>利润总额</w:t>
            </w:r>
          </w:p>
        </w:tc>
        <w:tc>
          <w:tcPr>
            <w:tcW w:w="1719" w:type="dxa"/>
            <w:vAlign w:val="center"/>
          </w:tcPr>
          <w:p>
            <w:pPr>
              <w:jc w:val="center"/>
              <w:rPr>
                <w:rFonts w:hint="eastAsia" w:ascii="宋体" w:hAnsi="宋体" w:eastAsia="宋体" w:cs="Times New Roman"/>
                <w:b/>
                <w:color w:val="auto"/>
                <w:kern w:val="2"/>
                <w:sz w:val="24"/>
                <w:szCs w:val="22"/>
                <w:highlight w:val="none"/>
                <w:lang w:val="en-US" w:eastAsia="zh-CN" w:bidi="ar-SA"/>
              </w:rPr>
            </w:pPr>
            <w:r>
              <w:rPr>
                <w:rFonts w:hint="eastAsia" w:ascii="宋体" w:hAnsi="宋体"/>
                <w:b/>
                <w:color w:val="auto"/>
                <w:sz w:val="24"/>
                <w:highlight w:val="none"/>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2" w:hRule="atLeast"/>
          <w:jc w:val="center"/>
        </w:trPr>
        <w:tc>
          <w:tcPr>
            <w:tcW w:w="2232" w:type="dxa"/>
            <w:vMerge w:val="continue"/>
            <w:vAlign w:val="center"/>
          </w:tcPr>
          <w:p>
            <w:pPr>
              <w:ind w:firstLine="480"/>
              <w:jc w:val="center"/>
              <w:rPr>
                <w:rFonts w:hint="eastAsia" w:ascii="宋体" w:hAnsi="宋体"/>
                <w:color w:val="auto"/>
                <w:sz w:val="24"/>
                <w:highlight w:val="none"/>
              </w:rPr>
            </w:pPr>
          </w:p>
        </w:tc>
        <w:tc>
          <w:tcPr>
            <w:tcW w:w="1526" w:type="dxa"/>
            <w:vMerge w:val="continue"/>
            <w:vAlign w:val="center"/>
          </w:tcPr>
          <w:p>
            <w:pPr>
              <w:ind w:firstLine="480"/>
              <w:jc w:val="center"/>
              <w:rPr>
                <w:rFonts w:hint="eastAsia" w:ascii="宋体" w:hAnsi="宋体"/>
                <w:color w:val="auto"/>
                <w:sz w:val="24"/>
                <w:highlight w:val="none"/>
              </w:rPr>
            </w:pPr>
          </w:p>
        </w:tc>
        <w:tc>
          <w:tcPr>
            <w:tcW w:w="1688" w:type="dxa"/>
            <w:gridSpan w:val="2"/>
            <w:vAlign w:val="center"/>
          </w:tcPr>
          <w:p>
            <w:pPr>
              <w:jc w:val="center"/>
              <w:rPr>
                <w:rFonts w:hint="eastAsia" w:ascii="宋体" w:hAnsi="宋体" w:eastAsia="宋体" w:cs="Times New Roman"/>
                <w:color w:val="auto"/>
                <w:kern w:val="2"/>
                <w:sz w:val="20"/>
                <w:szCs w:val="22"/>
                <w:highlight w:val="none"/>
                <w:lang w:val="en-US" w:eastAsia="zh-CN" w:bidi="ar-SA"/>
              </w:rPr>
            </w:pPr>
            <w:r>
              <w:rPr>
                <w:rFonts w:hint="eastAsia" w:ascii="宋体" w:hAnsi="宋体" w:cs="Times New Roman"/>
                <w:color w:val="auto"/>
                <w:kern w:val="2"/>
                <w:sz w:val="20"/>
                <w:szCs w:val="20"/>
                <w:highlight w:val="none"/>
                <w:lang w:val="en-US" w:eastAsia="zh-CN" w:bidi="ar-SA"/>
              </w:rPr>
              <w:t>160,807,666.07</w:t>
            </w:r>
          </w:p>
        </w:tc>
        <w:tc>
          <w:tcPr>
            <w:tcW w:w="1780" w:type="dxa"/>
            <w:vAlign w:val="center"/>
          </w:tcPr>
          <w:p>
            <w:pPr>
              <w:jc w:val="center"/>
              <w:rPr>
                <w:rFonts w:hint="eastAsia" w:ascii="宋体" w:hAnsi="宋体" w:eastAsia="宋体" w:cs="Times New Roman"/>
                <w:color w:val="auto"/>
                <w:kern w:val="2"/>
                <w:sz w:val="24"/>
                <w:szCs w:val="22"/>
                <w:highlight w:val="none"/>
                <w:lang w:val="en-US" w:eastAsia="zh-CN" w:bidi="ar-SA"/>
              </w:rPr>
            </w:pPr>
            <w:r>
              <w:rPr>
                <w:rFonts w:hint="eastAsia" w:ascii="宋体" w:hAnsi="宋体" w:cs="Times New Roman"/>
                <w:color w:val="auto"/>
                <w:kern w:val="2"/>
                <w:sz w:val="20"/>
                <w:szCs w:val="20"/>
                <w:highlight w:val="none"/>
                <w:lang w:val="en-US" w:eastAsia="zh-CN" w:bidi="ar-SA"/>
              </w:rPr>
              <w:t>16,158,645.54</w:t>
            </w:r>
          </w:p>
        </w:tc>
        <w:tc>
          <w:tcPr>
            <w:tcW w:w="1719" w:type="dxa"/>
            <w:vAlign w:val="center"/>
          </w:tcPr>
          <w:p>
            <w:pPr>
              <w:jc w:val="center"/>
              <w:rPr>
                <w:rFonts w:hint="eastAsia" w:ascii="宋体" w:hAnsi="宋体" w:eastAsia="宋体" w:cs="Times New Roman"/>
                <w:color w:val="auto"/>
                <w:kern w:val="2"/>
                <w:sz w:val="24"/>
                <w:szCs w:val="22"/>
                <w:highlight w:val="none"/>
                <w:lang w:val="en-US" w:eastAsia="zh-CN" w:bidi="ar-SA"/>
              </w:rPr>
            </w:pPr>
            <w:r>
              <w:rPr>
                <w:rFonts w:hint="eastAsia" w:ascii="宋体" w:hAnsi="宋体" w:cs="Times New Roman"/>
                <w:color w:val="auto"/>
                <w:kern w:val="2"/>
                <w:sz w:val="20"/>
                <w:szCs w:val="20"/>
                <w:highlight w:val="none"/>
                <w:lang w:val="en-US" w:eastAsia="zh-CN" w:bidi="ar-SA"/>
              </w:rPr>
              <w:t>14,567,490.69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2" w:hRule="atLeast"/>
          <w:jc w:val="center"/>
        </w:trPr>
        <w:tc>
          <w:tcPr>
            <w:tcW w:w="2232" w:type="dxa"/>
            <w:vAlign w:val="center"/>
          </w:tcPr>
          <w:p>
            <w:pPr>
              <w:ind w:firstLine="480"/>
              <w:jc w:val="center"/>
              <w:rPr>
                <w:rFonts w:hint="eastAsia" w:ascii="宋体" w:hAnsi="宋体"/>
                <w:color w:val="auto"/>
                <w:sz w:val="24"/>
                <w:highlight w:val="none"/>
              </w:rPr>
            </w:pPr>
          </w:p>
        </w:tc>
        <w:tc>
          <w:tcPr>
            <w:tcW w:w="1526" w:type="dxa"/>
            <w:vAlign w:val="center"/>
          </w:tcPr>
          <w:p>
            <w:pPr>
              <w:ind w:firstLine="0"/>
              <w:jc w:val="both"/>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审计机构</w:t>
            </w:r>
          </w:p>
        </w:tc>
        <w:tc>
          <w:tcPr>
            <w:tcW w:w="5187" w:type="dxa"/>
            <w:gridSpan w:val="4"/>
            <w:vAlign w:val="center"/>
          </w:tcPr>
          <w:p>
            <w:pPr>
              <w:jc w:val="center"/>
              <w:rPr>
                <w:rFonts w:hint="eastAsia" w:ascii="宋体" w:hAnsi="宋体" w:cs="宋体"/>
                <w:color w:val="auto"/>
                <w:sz w:val="20"/>
                <w:szCs w:val="18"/>
                <w:highlight w:val="none"/>
              </w:rPr>
            </w:pPr>
            <w:r>
              <w:rPr>
                <w:rFonts w:hint="eastAsia" w:ascii="宋体" w:hAnsi="宋体" w:cs="宋体"/>
                <w:color w:val="auto"/>
                <w:sz w:val="24"/>
                <w:szCs w:val="24"/>
                <w:highlight w:val="none"/>
                <w:lang w:eastAsia="zh-CN"/>
              </w:rPr>
              <w:t>台州中天会计师事务所有限公司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7" w:hRule="exact"/>
          <w:jc w:val="center"/>
        </w:trPr>
        <w:tc>
          <w:tcPr>
            <w:tcW w:w="2232" w:type="dxa"/>
            <w:vAlign w:val="center"/>
          </w:tcPr>
          <w:p>
            <w:pPr>
              <w:jc w:val="center"/>
              <w:rPr>
                <w:rFonts w:hint="eastAsia" w:ascii="宋体" w:hAnsi="宋体"/>
                <w:b/>
                <w:color w:val="auto"/>
                <w:sz w:val="24"/>
                <w:highlight w:val="none"/>
              </w:rPr>
            </w:pPr>
          </w:p>
        </w:tc>
        <w:tc>
          <w:tcPr>
            <w:tcW w:w="6713" w:type="dxa"/>
            <w:gridSpan w:val="5"/>
            <w:vAlign w:val="center"/>
          </w:tcPr>
          <w:p>
            <w:pPr>
              <w:ind w:firstLine="480"/>
              <w:jc w:val="center"/>
              <w:rPr>
                <w:rFonts w:hint="eastAsia" w:ascii="宋体" w:hAnsi="宋体"/>
                <w:color w:val="auto"/>
                <w:sz w:val="24"/>
                <w:highlight w:val="none"/>
              </w:rPr>
            </w:pPr>
            <w:r>
              <w:rPr>
                <w:rFonts w:hint="eastAsia" w:ascii="宋体" w:hAnsi="宋体"/>
                <w:color w:val="auto"/>
                <w:sz w:val="24"/>
                <w:highlight w:val="none"/>
              </w:rPr>
              <w:t>以下数据出自企业201</w:t>
            </w:r>
            <w:r>
              <w:rPr>
                <w:rFonts w:hint="eastAsia" w:ascii="宋体" w:hAnsi="宋体"/>
                <w:color w:val="auto"/>
                <w:sz w:val="24"/>
                <w:highlight w:val="none"/>
                <w:lang w:val="en-US" w:eastAsia="zh-CN"/>
              </w:rPr>
              <w:t>8</w:t>
            </w:r>
            <w:r>
              <w:rPr>
                <w:rFonts w:hint="eastAsia" w:ascii="宋体" w:hAnsi="宋体"/>
                <w:color w:val="auto"/>
                <w:sz w:val="24"/>
                <w:highlight w:val="none"/>
              </w:rPr>
              <w:t>年1-12月审计报告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2" w:hRule="atLeast"/>
          <w:jc w:val="center"/>
        </w:trPr>
        <w:tc>
          <w:tcPr>
            <w:tcW w:w="2232" w:type="dxa"/>
            <w:vMerge w:val="restart"/>
            <w:vAlign w:val="center"/>
          </w:tcPr>
          <w:p>
            <w:pPr>
              <w:jc w:val="center"/>
              <w:rPr>
                <w:rFonts w:hint="eastAsia" w:ascii="宋体" w:hAnsi="宋体"/>
                <w:b/>
                <w:color w:val="auto"/>
                <w:sz w:val="24"/>
                <w:highlight w:val="none"/>
              </w:rPr>
            </w:pPr>
          </w:p>
        </w:tc>
        <w:tc>
          <w:tcPr>
            <w:tcW w:w="1526" w:type="dxa"/>
            <w:vAlign w:val="center"/>
          </w:tcPr>
          <w:p>
            <w:pPr>
              <w:ind w:firstLine="0"/>
              <w:jc w:val="both"/>
              <w:rPr>
                <w:rFonts w:hint="eastAsia" w:ascii="宋体" w:hAnsi="宋体"/>
                <w:b/>
                <w:bCs/>
                <w:color w:val="auto"/>
                <w:sz w:val="24"/>
                <w:highlight w:val="none"/>
              </w:rPr>
            </w:pPr>
            <w:r>
              <w:rPr>
                <w:rFonts w:hint="eastAsia" w:ascii="宋体" w:hAnsi="宋体"/>
                <w:b/>
                <w:color w:val="auto"/>
                <w:sz w:val="24"/>
                <w:highlight w:val="none"/>
              </w:rPr>
              <w:t>年度日期</w:t>
            </w:r>
          </w:p>
        </w:tc>
        <w:tc>
          <w:tcPr>
            <w:tcW w:w="1688" w:type="dxa"/>
            <w:gridSpan w:val="2"/>
            <w:vAlign w:val="center"/>
          </w:tcPr>
          <w:p>
            <w:pPr>
              <w:jc w:val="center"/>
              <w:rPr>
                <w:rFonts w:hint="eastAsia" w:ascii="宋体" w:hAnsi="宋体" w:eastAsia="宋体" w:cs="Times New Roman"/>
                <w:b/>
                <w:color w:val="auto"/>
                <w:kern w:val="2"/>
                <w:sz w:val="24"/>
                <w:szCs w:val="22"/>
                <w:highlight w:val="none"/>
                <w:lang w:val="en-US" w:eastAsia="zh-CN" w:bidi="ar-SA"/>
              </w:rPr>
            </w:pPr>
            <w:r>
              <w:rPr>
                <w:rFonts w:hint="eastAsia" w:ascii="宋体" w:hAnsi="宋体"/>
                <w:b/>
                <w:color w:val="auto"/>
                <w:sz w:val="24"/>
                <w:highlight w:val="none"/>
              </w:rPr>
              <w:t>资产总计</w:t>
            </w:r>
          </w:p>
        </w:tc>
        <w:tc>
          <w:tcPr>
            <w:tcW w:w="1780" w:type="dxa"/>
            <w:vAlign w:val="center"/>
          </w:tcPr>
          <w:p>
            <w:pPr>
              <w:jc w:val="center"/>
              <w:rPr>
                <w:rFonts w:hint="eastAsia" w:ascii="宋体" w:hAnsi="宋体" w:eastAsia="宋体" w:cs="Times New Roman"/>
                <w:b/>
                <w:color w:val="auto"/>
                <w:kern w:val="2"/>
                <w:sz w:val="24"/>
                <w:szCs w:val="22"/>
                <w:highlight w:val="none"/>
                <w:lang w:val="en-US" w:eastAsia="zh-CN" w:bidi="ar-SA"/>
              </w:rPr>
            </w:pPr>
            <w:r>
              <w:rPr>
                <w:rFonts w:hint="eastAsia" w:ascii="宋体" w:hAnsi="宋体"/>
                <w:b/>
                <w:color w:val="auto"/>
                <w:sz w:val="24"/>
                <w:highlight w:val="none"/>
              </w:rPr>
              <w:t>负债总计</w:t>
            </w:r>
          </w:p>
        </w:tc>
        <w:tc>
          <w:tcPr>
            <w:tcW w:w="1719" w:type="dxa"/>
            <w:vAlign w:val="center"/>
          </w:tcPr>
          <w:p>
            <w:pPr>
              <w:jc w:val="center"/>
              <w:rPr>
                <w:rFonts w:hint="eastAsia" w:ascii="宋体" w:hAnsi="宋体" w:eastAsia="宋体" w:cs="Times New Roman"/>
                <w:b/>
                <w:color w:val="auto"/>
                <w:kern w:val="2"/>
                <w:sz w:val="24"/>
                <w:szCs w:val="22"/>
                <w:highlight w:val="none"/>
                <w:lang w:val="en-US" w:eastAsia="zh-CN" w:bidi="ar-SA"/>
              </w:rPr>
            </w:pPr>
            <w:r>
              <w:rPr>
                <w:rFonts w:hint="eastAsia" w:ascii="宋体" w:hAnsi="宋体"/>
                <w:b/>
                <w:color w:val="auto"/>
                <w:sz w:val="24"/>
                <w:highlight w:val="none"/>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2" w:hRule="atLeast"/>
          <w:jc w:val="center"/>
        </w:trPr>
        <w:tc>
          <w:tcPr>
            <w:tcW w:w="2232" w:type="dxa"/>
            <w:vMerge w:val="continue"/>
            <w:vAlign w:val="center"/>
          </w:tcPr>
          <w:p>
            <w:pPr>
              <w:ind w:firstLine="480"/>
              <w:jc w:val="center"/>
            </w:pPr>
          </w:p>
        </w:tc>
        <w:tc>
          <w:tcPr>
            <w:tcW w:w="1526" w:type="dxa"/>
            <w:vMerge w:val="restart"/>
            <w:vAlign w:val="center"/>
          </w:tcPr>
          <w:p>
            <w:pPr>
              <w:ind w:firstLine="0"/>
              <w:jc w:val="both"/>
              <w:rPr>
                <w:b/>
                <w:bCs/>
              </w:rPr>
            </w:pPr>
            <w:r>
              <w:rPr>
                <w:rFonts w:hint="eastAsia" w:ascii="宋体" w:hAnsi="宋体"/>
                <w:color w:val="auto"/>
                <w:highlight w:val="none"/>
              </w:rPr>
              <w:t>201</w:t>
            </w:r>
            <w:r>
              <w:rPr>
                <w:rFonts w:hint="eastAsia" w:ascii="宋体" w:hAnsi="宋体"/>
                <w:color w:val="auto"/>
                <w:highlight w:val="none"/>
                <w:lang w:val="en-US" w:eastAsia="zh-CN"/>
              </w:rPr>
              <w:t>8</w:t>
            </w:r>
            <w:r>
              <w:rPr>
                <w:rFonts w:hint="eastAsia" w:ascii="宋体" w:hAnsi="宋体"/>
                <w:color w:val="auto"/>
                <w:highlight w:val="none"/>
              </w:rPr>
              <w:t>年12月31日</w:t>
            </w:r>
          </w:p>
        </w:tc>
        <w:tc>
          <w:tcPr>
            <w:tcW w:w="1688" w:type="dxa"/>
            <w:gridSpan w:val="2"/>
            <w:vAlign w:val="center"/>
          </w:tcPr>
          <w:p>
            <w:pPr>
              <w:jc w:val="center"/>
              <w:rPr>
                <w:rFonts w:ascii="宋体" w:hAnsi="宋体" w:eastAsia="宋体" w:cs="Times New Roman"/>
                <w:bCs/>
                <w:color w:val="auto"/>
                <w:kern w:val="2"/>
                <w:sz w:val="24"/>
                <w:szCs w:val="22"/>
                <w:highlight w:val="none"/>
                <w:lang w:val="en-US" w:eastAsia="zh-CN" w:bidi="ar-SA"/>
              </w:rPr>
            </w:pPr>
            <w:r>
              <w:rPr>
                <w:rFonts w:hint="eastAsia" w:ascii="宋体" w:hAnsi="宋体" w:cs="Times New Roman"/>
                <w:bCs/>
                <w:color w:val="auto"/>
                <w:kern w:val="2"/>
                <w:sz w:val="20"/>
                <w:szCs w:val="20"/>
                <w:highlight w:val="none"/>
                <w:lang w:val="en-US" w:eastAsia="zh-CN" w:bidi="ar-SA"/>
              </w:rPr>
              <w:t>272,563,033.35</w:t>
            </w:r>
          </w:p>
        </w:tc>
        <w:tc>
          <w:tcPr>
            <w:tcW w:w="1780" w:type="dxa"/>
            <w:vAlign w:val="center"/>
          </w:tcPr>
          <w:p>
            <w:pPr>
              <w:jc w:val="center"/>
              <w:rPr>
                <w:rFonts w:ascii="宋体" w:hAnsi="宋体" w:eastAsia="宋体" w:cs="Times New Roman"/>
                <w:bCs/>
                <w:color w:val="auto"/>
                <w:kern w:val="2"/>
                <w:sz w:val="24"/>
                <w:szCs w:val="22"/>
                <w:highlight w:val="none"/>
                <w:lang w:val="en-US" w:eastAsia="zh-CN" w:bidi="ar-SA"/>
              </w:rPr>
            </w:pPr>
            <w:r>
              <w:rPr>
                <w:rFonts w:hint="eastAsia" w:ascii="宋体" w:hAnsi="宋体" w:cs="Times New Roman"/>
                <w:bCs/>
                <w:color w:val="auto"/>
                <w:kern w:val="2"/>
                <w:sz w:val="20"/>
                <w:szCs w:val="20"/>
                <w:highlight w:val="none"/>
                <w:lang w:val="en-US" w:eastAsia="zh-CN" w:bidi="ar-SA"/>
              </w:rPr>
              <w:t>123,036,509.38</w:t>
            </w:r>
          </w:p>
        </w:tc>
        <w:tc>
          <w:tcPr>
            <w:tcW w:w="1719" w:type="dxa"/>
            <w:vAlign w:val="center"/>
          </w:tcPr>
          <w:p>
            <w:pPr>
              <w:jc w:val="center"/>
              <w:rPr>
                <w:rFonts w:hint="eastAsia" w:ascii="宋体" w:hAnsi="宋体" w:eastAsia="宋体" w:cs="Times New Roman"/>
                <w:bCs/>
                <w:color w:val="auto"/>
                <w:kern w:val="2"/>
                <w:sz w:val="24"/>
                <w:szCs w:val="22"/>
                <w:highlight w:val="none"/>
                <w:lang w:val="en-US" w:eastAsia="zh-CN" w:bidi="ar-SA"/>
              </w:rPr>
            </w:pPr>
            <w:r>
              <w:rPr>
                <w:rFonts w:hint="eastAsia" w:ascii="宋体" w:hAnsi="宋体" w:cs="Times New Roman"/>
                <w:bCs/>
                <w:color w:val="auto"/>
                <w:kern w:val="2"/>
                <w:sz w:val="20"/>
                <w:szCs w:val="20"/>
                <w:highlight w:val="none"/>
                <w:lang w:val="en-US" w:eastAsia="zh-CN" w:bidi="ar-SA"/>
              </w:rPr>
              <w:t>149,526,523.97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12" w:hRule="atLeast"/>
          <w:jc w:val="center"/>
        </w:trPr>
        <w:tc>
          <w:tcPr>
            <w:tcW w:w="2232" w:type="dxa"/>
            <w:vMerge w:val="continue"/>
            <w:vAlign w:val="center"/>
          </w:tcPr>
          <w:p>
            <w:pPr>
              <w:ind w:firstLine="480"/>
              <w:jc w:val="center"/>
              <w:rPr>
                <w:rFonts w:hint="eastAsia" w:ascii="宋体" w:hAnsi="宋体"/>
                <w:color w:val="auto"/>
                <w:sz w:val="24"/>
                <w:highlight w:val="none"/>
              </w:rPr>
            </w:pPr>
          </w:p>
        </w:tc>
        <w:tc>
          <w:tcPr>
            <w:tcW w:w="1526" w:type="dxa"/>
            <w:vMerge w:val="continue"/>
            <w:vAlign w:val="center"/>
          </w:tcPr>
          <w:p>
            <w:pPr>
              <w:ind w:firstLine="480"/>
              <w:jc w:val="center"/>
              <w:rPr>
                <w:rFonts w:hint="eastAsia" w:ascii="宋体" w:hAnsi="宋体"/>
                <w:color w:val="auto"/>
                <w:sz w:val="24"/>
                <w:highlight w:val="none"/>
              </w:rPr>
            </w:pPr>
          </w:p>
        </w:tc>
        <w:tc>
          <w:tcPr>
            <w:tcW w:w="1688" w:type="dxa"/>
            <w:gridSpan w:val="2"/>
            <w:vAlign w:val="center"/>
          </w:tcPr>
          <w:p>
            <w:pPr>
              <w:jc w:val="center"/>
              <w:rPr>
                <w:rFonts w:hint="eastAsia" w:ascii="宋体" w:hAnsi="宋体" w:eastAsia="宋体" w:cs="Times New Roman"/>
                <w:b/>
                <w:color w:val="auto"/>
                <w:kern w:val="2"/>
                <w:sz w:val="24"/>
                <w:szCs w:val="22"/>
                <w:highlight w:val="none"/>
                <w:lang w:val="en-US" w:eastAsia="zh-CN" w:bidi="ar-SA"/>
              </w:rPr>
            </w:pPr>
            <w:r>
              <w:rPr>
                <w:rFonts w:hint="eastAsia" w:ascii="宋体" w:hAnsi="宋体"/>
                <w:b/>
                <w:color w:val="auto"/>
                <w:sz w:val="24"/>
                <w:highlight w:val="none"/>
              </w:rPr>
              <w:t>营业收入</w:t>
            </w:r>
          </w:p>
        </w:tc>
        <w:tc>
          <w:tcPr>
            <w:tcW w:w="1780" w:type="dxa"/>
            <w:vAlign w:val="center"/>
          </w:tcPr>
          <w:p>
            <w:pPr>
              <w:jc w:val="center"/>
              <w:rPr>
                <w:rFonts w:hint="eastAsia" w:ascii="宋体" w:hAnsi="宋体" w:eastAsia="宋体" w:cs="Times New Roman"/>
                <w:b/>
                <w:color w:val="auto"/>
                <w:kern w:val="2"/>
                <w:sz w:val="24"/>
                <w:szCs w:val="22"/>
                <w:highlight w:val="none"/>
                <w:lang w:val="en-US" w:eastAsia="zh-CN" w:bidi="ar-SA"/>
              </w:rPr>
            </w:pPr>
            <w:r>
              <w:rPr>
                <w:rFonts w:hint="eastAsia" w:ascii="宋体" w:hAnsi="宋体"/>
                <w:b/>
                <w:color w:val="auto"/>
                <w:sz w:val="24"/>
                <w:highlight w:val="none"/>
              </w:rPr>
              <w:t>利润总额</w:t>
            </w:r>
          </w:p>
        </w:tc>
        <w:tc>
          <w:tcPr>
            <w:tcW w:w="1719" w:type="dxa"/>
            <w:vAlign w:val="center"/>
          </w:tcPr>
          <w:p>
            <w:pPr>
              <w:jc w:val="center"/>
              <w:rPr>
                <w:rFonts w:hint="eastAsia" w:ascii="宋体" w:hAnsi="宋体" w:eastAsia="宋体" w:cs="Times New Roman"/>
                <w:b/>
                <w:color w:val="auto"/>
                <w:kern w:val="2"/>
                <w:sz w:val="24"/>
                <w:szCs w:val="22"/>
                <w:highlight w:val="none"/>
                <w:lang w:val="en-US" w:eastAsia="zh-CN" w:bidi="ar-SA"/>
              </w:rPr>
            </w:pPr>
            <w:r>
              <w:rPr>
                <w:rFonts w:hint="eastAsia" w:ascii="宋体" w:hAnsi="宋体"/>
                <w:b/>
                <w:color w:val="auto"/>
                <w:sz w:val="24"/>
                <w:highlight w:val="none"/>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2232" w:type="dxa"/>
            <w:vMerge w:val="continue"/>
            <w:vAlign w:val="center"/>
          </w:tcPr>
          <w:p>
            <w:pPr>
              <w:ind w:firstLine="480"/>
              <w:jc w:val="center"/>
              <w:rPr>
                <w:rFonts w:hint="eastAsia" w:ascii="宋体" w:hAnsi="宋体"/>
                <w:color w:val="auto"/>
                <w:sz w:val="24"/>
                <w:highlight w:val="none"/>
              </w:rPr>
            </w:pPr>
          </w:p>
        </w:tc>
        <w:tc>
          <w:tcPr>
            <w:tcW w:w="1526" w:type="dxa"/>
            <w:vMerge w:val="continue"/>
            <w:vAlign w:val="center"/>
          </w:tcPr>
          <w:p>
            <w:pPr>
              <w:ind w:firstLine="480"/>
              <w:jc w:val="center"/>
              <w:rPr>
                <w:rFonts w:hint="eastAsia" w:ascii="宋体" w:hAnsi="宋体"/>
                <w:color w:val="auto"/>
                <w:sz w:val="24"/>
                <w:highlight w:val="none"/>
              </w:rPr>
            </w:pPr>
          </w:p>
        </w:tc>
        <w:tc>
          <w:tcPr>
            <w:tcW w:w="1688" w:type="dxa"/>
            <w:gridSpan w:val="2"/>
            <w:vAlign w:val="center"/>
          </w:tcPr>
          <w:p>
            <w:pPr>
              <w:jc w:val="center"/>
              <w:rPr>
                <w:rFonts w:hint="eastAsia" w:ascii="宋体" w:hAnsi="宋体" w:eastAsia="宋体" w:cs="Times New Roman"/>
                <w:color w:val="auto"/>
                <w:kern w:val="2"/>
                <w:sz w:val="20"/>
                <w:szCs w:val="22"/>
                <w:highlight w:val="none"/>
                <w:lang w:val="en-US" w:eastAsia="zh-CN" w:bidi="ar-SA"/>
              </w:rPr>
            </w:pPr>
            <w:r>
              <w:rPr>
                <w:rFonts w:hint="eastAsia" w:ascii="宋体" w:hAnsi="宋体" w:cs="Times New Roman"/>
                <w:color w:val="auto"/>
                <w:kern w:val="2"/>
                <w:sz w:val="20"/>
                <w:szCs w:val="20"/>
                <w:highlight w:val="none"/>
                <w:lang w:val="en-US" w:eastAsia="zh-CN" w:bidi="ar-SA"/>
              </w:rPr>
              <w:t>227,272,982.06</w:t>
            </w:r>
          </w:p>
        </w:tc>
        <w:tc>
          <w:tcPr>
            <w:tcW w:w="1780" w:type="dxa"/>
            <w:vAlign w:val="center"/>
          </w:tcPr>
          <w:p>
            <w:pPr>
              <w:jc w:val="center"/>
              <w:rPr>
                <w:rFonts w:hint="eastAsia" w:ascii="宋体" w:hAnsi="宋体" w:eastAsia="宋体" w:cs="Times New Roman"/>
                <w:color w:val="auto"/>
                <w:kern w:val="2"/>
                <w:sz w:val="24"/>
                <w:szCs w:val="22"/>
                <w:highlight w:val="none"/>
                <w:lang w:val="en-US" w:eastAsia="zh-CN" w:bidi="ar-SA"/>
              </w:rPr>
            </w:pPr>
            <w:r>
              <w:rPr>
                <w:rFonts w:hint="eastAsia" w:ascii="宋体" w:hAnsi="宋体" w:cs="Times New Roman"/>
                <w:color w:val="auto"/>
                <w:kern w:val="2"/>
                <w:sz w:val="20"/>
                <w:szCs w:val="20"/>
                <w:highlight w:val="none"/>
                <w:lang w:val="en-US" w:eastAsia="zh-CN" w:bidi="ar-SA"/>
              </w:rPr>
              <w:t>12,376,011.53</w:t>
            </w:r>
          </w:p>
        </w:tc>
        <w:tc>
          <w:tcPr>
            <w:tcW w:w="1719" w:type="dxa"/>
            <w:vAlign w:val="center"/>
          </w:tcPr>
          <w:p>
            <w:pPr>
              <w:jc w:val="center"/>
              <w:rPr>
                <w:rFonts w:hint="eastAsia" w:ascii="宋体" w:hAnsi="宋体" w:eastAsia="宋体" w:cs="Times New Roman"/>
                <w:color w:val="auto"/>
                <w:kern w:val="2"/>
                <w:sz w:val="24"/>
                <w:szCs w:val="22"/>
                <w:highlight w:val="none"/>
                <w:lang w:val="en-US" w:eastAsia="zh-CN" w:bidi="ar-SA"/>
              </w:rPr>
            </w:pPr>
            <w:r>
              <w:rPr>
                <w:rFonts w:hint="eastAsia" w:ascii="宋体" w:hAnsi="宋体" w:cs="Times New Roman"/>
                <w:color w:val="auto"/>
                <w:kern w:val="2"/>
                <w:sz w:val="20"/>
                <w:szCs w:val="20"/>
                <w:highlight w:val="none"/>
                <w:lang w:val="en-US" w:eastAsia="zh-CN" w:bidi="ar-SA"/>
              </w:rPr>
              <w:t>11,739,459.27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jc w:val="center"/>
        </w:trPr>
        <w:tc>
          <w:tcPr>
            <w:tcW w:w="2232" w:type="dxa"/>
            <w:vAlign w:val="center"/>
          </w:tcPr>
          <w:p>
            <w:pPr>
              <w:ind w:firstLine="480"/>
              <w:jc w:val="center"/>
              <w:rPr>
                <w:rFonts w:hint="eastAsia" w:ascii="宋体" w:hAnsi="宋体"/>
                <w:color w:val="auto"/>
                <w:sz w:val="24"/>
                <w:highlight w:val="none"/>
              </w:rPr>
            </w:pPr>
          </w:p>
        </w:tc>
        <w:tc>
          <w:tcPr>
            <w:tcW w:w="1526" w:type="dxa"/>
            <w:vAlign w:val="center"/>
          </w:tcPr>
          <w:p>
            <w:pPr>
              <w:ind w:firstLine="0"/>
              <w:jc w:val="both"/>
              <w:rPr>
                <w:rFonts w:hint="eastAsia" w:ascii="宋体" w:hAnsi="宋体" w:eastAsia="宋体"/>
                <w:color w:val="auto"/>
                <w:sz w:val="24"/>
                <w:highlight w:val="none"/>
                <w:lang w:eastAsia="zh-CN"/>
              </w:rPr>
            </w:pPr>
            <w:r>
              <w:rPr>
                <w:rFonts w:hint="eastAsia" w:ascii="宋体" w:hAnsi="宋体"/>
                <w:color w:val="auto"/>
                <w:sz w:val="24"/>
                <w:highlight w:val="none"/>
                <w:lang w:eastAsia="zh-CN"/>
              </w:rPr>
              <w:t>审计机构</w:t>
            </w:r>
          </w:p>
        </w:tc>
        <w:tc>
          <w:tcPr>
            <w:tcW w:w="5187" w:type="dxa"/>
            <w:gridSpan w:val="4"/>
            <w:vAlign w:val="center"/>
          </w:tcPr>
          <w:p>
            <w:pPr>
              <w:jc w:val="center"/>
              <w:rPr>
                <w:rFonts w:hint="eastAsia" w:ascii="宋体" w:hAnsi="宋体" w:eastAsia="宋体" w:cs="Times New Roman"/>
                <w:color w:val="auto"/>
                <w:kern w:val="2"/>
                <w:sz w:val="24"/>
                <w:szCs w:val="22"/>
                <w:highlight w:val="none"/>
                <w:lang w:val="en-US" w:eastAsia="zh-CN" w:bidi="ar-SA"/>
              </w:rPr>
            </w:pPr>
            <w:r>
              <w:rPr>
                <w:rFonts w:hint="eastAsia" w:ascii="宋体" w:hAnsi="宋体" w:cs="宋体"/>
                <w:color w:val="auto"/>
                <w:sz w:val="24"/>
                <w:szCs w:val="24"/>
                <w:highlight w:val="none"/>
                <w:lang w:eastAsia="zh-CN"/>
              </w:rPr>
              <w:t>台州中天会计师事务所有限公司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2" w:hRule="atLeast"/>
          <w:jc w:val="center"/>
        </w:trPr>
        <w:tc>
          <w:tcPr>
            <w:tcW w:w="2232" w:type="dxa"/>
            <w:vAlign w:val="center"/>
          </w:tcPr>
          <w:p>
            <w:pPr>
              <w:ind w:firstLine="480"/>
              <w:jc w:val="center"/>
              <w:rPr>
                <w:rFonts w:hint="eastAsia" w:ascii="宋体" w:hAnsi="宋体"/>
                <w:color w:val="auto"/>
                <w:sz w:val="24"/>
                <w:highlight w:val="none"/>
              </w:rPr>
            </w:pPr>
          </w:p>
        </w:tc>
        <w:tc>
          <w:tcPr>
            <w:tcW w:w="6713" w:type="dxa"/>
            <w:gridSpan w:val="5"/>
            <w:vAlign w:val="center"/>
          </w:tcPr>
          <w:p>
            <w:pPr>
              <w:jc w:val="center"/>
              <w:rPr>
                <w:rFonts w:hint="eastAsia" w:ascii="宋体" w:hAnsi="宋体" w:eastAsia="宋体" w:cs="Times New Roman"/>
                <w:b/>
                <w:bCs/>
                <w:color w:val="auto"/>
                <w:kern w:val="2"/>
                <w:sz w:val="24"/>
                <w:szCs w:val="22"/>
                <w:highlight w:val="none"/>
                <w:lang w:val="en-US" w:eastAsia="zh-CN" w:bidi="ar-SA"/>
              </w:rPr>
            </w:pPr>
            <w:r>
              <w:rPr>
                <w:rFonts w:hint="eastAsia" w:ascii="宋体" w:hAnsi="宋体"/>
                <w:color w:val="auto"/>
                <w:sz w:val="24"/>
                <w:highlight w:val="none"/>
              </w:rPr>
              <w:t>以下数据出自企业201</w:t>
            </w:r>
            <w:r>
              <w:rPr>
                <w:rFonts w:hint="eastAsia" w:ascii="宋体" w:hAnsi="宋体"/>
                <w:color w:val="auto"/>
                <w:sz w:val="24"/>
                <w:highlight w:val="none"/>
                <w:lang w:val="en-US" w:eastAsia="zh-CN"/>
              </w:rPr>
              <w:t>9</w:t>
            </w:r>
            <w:r>
              <w:rPr>
                <w:rFonts w:hint="eastAsia" w:ascii="宋体" w:hAnsi="宋体"/>
                <w:color w:val="auto"/>
                <w:sz w:val="24"/>
                <w:highlight w:val="none"/>
              </w:rPr>
              <w:t>年1-12月审计报告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exact"/>
          <w:jc w:val="center"/>
        </w:trPr>
        <w:tc>
          <w:tcPr>
            <w:tcW w:w="2232" w:type="dxa"/>
            <w:vMerge w:val="restart"/>
            <w:vAlign w:val="center"/>
          </w:tcPr>
          <w:p>
            <w:pPr>
              <w:ind w:firstLine="482"/>
              <w:jc w:val="center"/>
              <w:rPr>
                <w:rFonts w:ascii="宋体" w:hAnsi="宋体"/>
                <w:b/>
                <w:color w:val="auto"/>
                <w:sz w:val="24"/>
                <w:highlight w:val="none"/>
              </w:rPr>
            </w:pPr>
          </w:p>
        </w:tc>
        <w:tc>
          <w:tcPr>
            <w:tcW w:w="1526" w:type="dxa"/>
            <w:vAlign w:val="center"/>
          </w:tcPr>
          <w:p>
            <w:pPr>
              <w:jc w:val="center"/>
              <w:rPr>
                <w:rFonts w:ascii="宋体" w:hAnsi="宋体"/>
                <w:b/>
                <w:color w:val="auto"/>
                <w:sz w:val="24"/>
                <w:highlight w:val="none"/>
              </w:rPr>
            </w:pPr>
            <w:r>
              <w:rPr>
                <w:rFonts w:hint="eastAsia" w:ascii="宋体" w:hAnsi="宋体"/>
                <w:b/>
                <w:color w:val="auto"/>
                <w:sz w:val="24"/>
                <w:highlight w:val="none"/>
              </w:rPr>
              <w:t>年度日期</w:t>
            </w:r>
          </w:p>
        </w:tc>
        <w:tc>
          <w:tcPr>
            <w:tcW w:w="1687" w:type="dxa"/>
            <w:vAlign w:val="center"/>
          </w:tcPr>
          <w:p>
            <w:pPr>
              <w:jc w:val="center"/>
              <w:rPr>
                <w:rFonts w:ascii="宋体" w:hAnsi="宋体"/>
                <w:b/>
                <w:color w:val="auto"/>
                <w:sz w:val="24"/>
                <w:highlight w:val="none"/>
              </w:rPr>
            </w:pPr>
            <w:r>
              <w:rPr>
                <w:rFonts w:hint="eastAsia" w:ascii="宋体" w:hAnsi="宋体"/>
                <w:b/>
                <w:color w:val="auto"/>
                <w:sz w:val="24"/>
                <w:highlight w:val="none"/>
              </w:rPr>
              <w:t>资产总计</w:t>
            </w:r>
          </w:p>
        </w:tc>
        <w:tc>
          <w:tcPr>
            <w:tcW w:w="1781" w:type="dxa"/>
            <w:gridSpan w:val="2"/>
            <w:vAlign w:val="center"/>
          </w:tcPr>
          <w:p>
            <w:pPr>
              <w:jc w:val="center"/>
              <w:rPr>
                <w:rFonts w:ascii="宋体" w:hAnsi="宋体"/>
                <w:b/>
                <w:color w:val="auto"/>
                <w:sz w:val="24"/>
                <w:highlight w:val="none"/>
              </w:rPr>
            </w:pPr>
            <w:r>
              <w:rPr>
                <w:rFonts w:hint="eastAsia" w:ascii="宋体" w:hAnsi="宋体"/>
                <w:b/>
                <w:color w:val="auto"/>
                <w:sz w:val="24"/>
                <w:highlight w:val="none"/>
              </w:rPr>
              <w:t>负债总计</w:t>
            </w:r>
          </w:p>
        </w:tc>
        <w:tc>
          <w:tcPr>
            <w:tcW w:w="1719" w:type="dxa"/>
            <w:vAlign w:val="center"/>
          </w:tcPr>
          <w:p>
            <w:pPr>
              <w:jc w:val="center"/>
              <w:rPr>
                <w:rFonts w:ascii="宋体" w:hAnsi="宋体"/>
                <w:b/>
                <w:color w:val="auto"/>
                <w:sz w:val="24"/>
                <w:highlight w:val="none"/>
              </w:rPr>
            </w:pPr>
            <w:r>
              <w:rPr>
                <w:rFonts w:hint="eastAsia" w:ascii="宋体" w:hAnsi="宋体"/>
                <w:b/>
                <w:color w:val="auto"/>
                <w:sz w:val="24"/>
                <w:highlight w:val="none"/>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exact"/>
          <w:jc w:val="center"/>
        </w:trPr>
        <w:tc>
          <w:tcPr>
            <w:tcW w:w="2232" w:type="dxa"/>
            <w:vMerge w:val="continue"/>
            <w:vAlign w:val="center"/>
          </w:tcPr>
          <w:p>
            <w:pPr>
              <w:ind w:firstLine="482"/>
              <w:jc w:val="center"/>
              <w:rPr>
                <w:rFonts w:ascii="宋体" w:hAnsi="宋体"/>
                <w:b/>
                <w:color w:val="auto"/>
                <w:sz w:val="24"/>
                <w:highlight w:val="none"/>
              </w:rPr>
            </w:pPr>
          </w:p>
        </w:tc>
        <w:tc>
          <w:tcPr>
            <w:tcW w:w="1526" w:type="dxa"/>
            <w:vMerge w:val="restart"/>
            <w:vAlign w:val="center"/>
          </w:tcPr>
          <w:p>
            <w:pPr>
              <w:jc w:val="center"/>
              <w:rPr>
                <w:rFonts w:ascii="宋体" w:hAnsi="宋体"/>
                <w:color w:val="auto"/>
                <w:sz w:val="24"/>
                <w:highlight w:val="none"/>
                <w:u w:val="single"/>
              </w:rPr>
            </w:pPr>
            <w:r>
              <w:rPr>
                <w:rFonts w:hint="eastAsia" w:ascii="宋体" w:hAnsi="宋体"/>
                <w:color w:val="auto"/>
                <w:highlight w:val="none"/>
              </w:rPr>
              <w:t>2019年12月31日</w:t>
            </w:r>
          </w:p>
        </w:tc>
        <w:tc>
          <w:tcPr>
            <w:tcW w:w="1687" w:type="dxa"/>
            <w:vAlign w:val="center"/>
          </w:tcPr>
          <w:p>
            <w:pPr>
              <w:jc w:val="center"/>
              <w:rPr>
                <w:rFonts w:ascii="宋体" w:hAnsi="宋体"/>
                <w:bCs/>
                <w:color w:val="auto"/>
                <w:sz w:val="24"/>
                <w:highlight w:val="none"/>
              </w:rPr>
            </w:pPr>
            <w:r>
              <w:rPr>
                <w:rFonts w:hint="eastAsia" w:ascii="宋体" w:hAnsi="宋体" w:cs="宋体"/>
                <w:color w:val="auto"/>
                <w:sz w:val="20"/>
                <w:szCs w:val="18"/>
                <w:highlight w:val="none"/>
              </w:rPr>
              <w:t>334,211,433.78</w:t>
            </w:r>
          </w:p>
        </w:tc>
        <w:tc>
          <w:tcPr>
            <w:tcW w:w="1781" w:type="dxa"/>
            <w:gridSpan w:val="2"/>
            <w:vAlign w:val="center"/>
          </w:tcPr>
          <w:p>
            <w:pPr>
              <w:jc w:val="center"/>
              <w:rPr>
                <w:rFonts w:ascii="宋体" w:hAnsi="宋体"/>
                <w:bCs/>
                <w:color w:val="auto"/>
                <w:sz w:val="24"/>
                <w:highlight w:val="none"/>
              </w:rPr>
            </w:pPr>
            <w:r>
              <w:rPr>
                <w:rFonts w:hint="eastAsia" w:ascii="宋体" w:hAnsi="宋体" w:cs="宋体"/>
                <w:color w:val="auto"/>
                <w:sz w:val="20"/>
                <w:szCs w:val="18"/>
                <w:highlight w:val="none"/>
              </w:rPr>
              <w:t>198,187,797.36</w:t>
            </w:r>
          </w:p>
        </w:tc>
        <w:tc>
          <w:tcPr>
            <w:tcW w:w="1719" w:type="dxa"/>
            <w:vAlign w:val="center"/>
          </w:tcPr>
          <w:p>
            <w:pPr>
              <w:jc w:val="center"/>
              <w:rPr>
                <w:rFonts w:ascii="宋体" w:hAnsi="宋体"/>
                <w:bCs/>
                <w:color w:val="auto"/>
                <w:sz w:val="24"/>
                <w:highlight w:val="none"/>
              </w:rPr>
            </w:pPr>
            <w:r>
              <w:rPr>
                <w:rFonts w:hint="eastAsia" w:ascii="宋体" w:hAnsi="宋体" w:cs="宋体"/>
                <w:color w:val="auto"/>
                <w:sz w:val="20"/>
                <w:szCs w:val="18"/>
                <w:highlight w:val="none"/>
              </w:rPr>
              <w:t>136,023,636.42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exact"/>
          <w:jc w:val="center"/>
        </w:trPr>
        <w:tc>
          <w:tcPr>
            <w:tcW w:w="2232" w:type="dxa"/>
            <w:vMerge w:val="continue"/>
            <w:shd w:val="clear" w:color="auto" w:fill="auto"/>
            <w:vAlign w:val="center"/>
          </w:tcPr>
          <w:p>
            <w:pPr>
              <w:ind w:firstLine="482"/>
              <w:jc w:val="center"/>
              <w:rPr>
                <w:rFonts w:ascii="宋体" w:hAnsi="宋体"/>
                <w:b/>
                <w:color w:val="auto"/>
                <w:sz w:val="24"/>
                <w:highlight w:val="none"/>
              </w:rPr>
            </w:pPr>
          </w:p>
        </w:tc>
        <w:tc>
          <w:tcPr>
            <w:tcW w:w="1526" w:type="dxa"/>
            <w:vMerge w:val="continue"/>
            <w:shd w:val="clear" w:color="auto" w:fill="auto"/>
            <w:vAlign w:val="center"/>
          </w:tcPr>
          <w:p>
            <w:pPr>
              <w:jc w:val="center"/>
              <w:rPr>
                <w:rFonts w:ascii="宋体" w:hAnsi="宋体"/>
                <w:color w:val="auto"/>
                <w:sz w:val="24"/>
                <w:highlight w:val="none"/>
                <w:u w:val="single"/>
              </w:rPr>
            </w:pPr>
          </w:p>
        </w:tc>
        <w:tc>
          <w:tcPr>
            <w:tcW w:w="1687" w:type="dxa"/>
            <w:shd w:val="clear" w:color="auto" w:fill="auto"/>
            <w:vAlign w:val="center"/>
          </w:tcPr>
          <w:p>
            <w:pPr>
              <w:jc w:val="center"/>
              <w:rPr>
                <w:rFonts w:ascii="宋体" w:hAnsi="宋体"/>
                <w:b/>
                <w:color w:val="auto"/>
                <w:sz w:val="24"/>
                <w:highlight w:val="none"/>
              </w:rPr>
            </w:pPr>
            <w:r>
              <w:rPr>
                <w:rFonts w:hint="eastAsia" w:ascii="宋体" w:hAnsi="宋体"/>
                <w:b/>
                <w:color w:val="auto"/>
                <w:sz w:val="24"/>
                <w:highlight w:val="none"/>
              </w:rPr>
              <w:t>营业收入</w:t>
            </w:r>
          </w:p>
        </w:tc>
        <w:tc>
          <w:tcPr>
            <w:tcW w:w="1781" w:type="dxa"/>
            <w:gridSpan w:val="2"/>
            <w:shd w:val="clear" w:color="auto" w:fill="FFFFFF"/>
            <w:vAlign w:val="center"/>
          </w:tcPr>
          <w:p>
            <w:pPr>
              <w:jc w:val="center"/>
              <w:rPr>
                <w:rFonts w:ascii="宋体" w:hAnsi="宋体"/>
                <w:b/>
                <w:color w:val="auto"/>
                <w:sz w:val="24"/>
                <w:highlight w:val="none"/>
              </w:rPr>
            </w:pPr>
            <w:r>
              <w:rPr>
                <w:rFonts w:hint="eastAsia" w:ascii="宋体" w:hAnsi="宋体"/>
                <w:b/>
                <w:color w:val="auto"/>
                <w:sz w:val="24"/>
                <w:highlight w:val="none"/>
              </w:rPr>
              <w:t>利润总额</w:t>
            </w:r>
          </w:p>
        </w:tc>
        <w:tc>
          <w:tcPr>
            <w:tcW w:w="1719" w:type="dxa"/>
            <w:shd w:val="clear" w:color="auto" w:fill="FFFFFF"/>
            <w:vAlign w:val="center"/>
          </w:tcPr>
          <w:p>
            <w:pPr>
              <w:jc w:val="center"/>
              <w:rPr>
                <w:rFonts w:ascii="宋体" w:hAnsi="宋体"/>
                <w:b/>
                <w:color w:val="auto"/>
                <w:sz w:val="24"/>
                <w:highlight w:val="none"/>
              </w:rPr>
            </w:pPr>
            <w:r>
              <w:rPr>
                <w:rFonts w:hint="eastAsia" w:ascii="宋体" w:hAnsi="宋体"/>
                <w:b/>
                <w:color w:val="auto"/>
                <w:sz w:val="24"/>
                <w:highlight w:val="none"/>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exact"/>
          <w:jc w:val="center"/>
        </w:trPr>
        <w:tc>
          <w:tcPr>
            <w:tcW w:w="2232" w:type="dxa"/>
            <w:vMerge w:val="continue"/>
            <w:shd w:val="clear" w:color="auto" w:fill="auto"/>
            <w:vAlign w:val="center"/>
          </w:tcPr>
          <w:p>
            <w:pPr>
              <w:ind w:firstLine="482"/>
              <w:jc w:val="center"/>
              <w:rPr>
                <w:rFonts w:ascii="宋体" w:hAnsi="宋体"/>
                <w:b/>
                <w:color w:val="auto"/>
                <w:sz w:val="24"/>
                <w:highlight w:val="none"/>
              </w:rPr>
            </w:pPr>
          </w:p>
        </w:tc>
        <w:tc>
          <w:tcPr>
            <w:tcW w:w="1526" w:type="dxa"/>
            <w:vMerge w:val="continue"/>
            <w:shd w:val="clear" w:color="auto" w:fill="auto"/>
            <w:vAlign w:val="center"/>
          </w:tcPr>
          <w:p>
            <w:pPr>
              <w:jc w:val="center"/>
              <w:rPr>
                <w:rFonts w:ascii="宋体" w:hAnsi="宋体"/>
                <w:color w:val="auto"/>
                <w:sz w:val="24"/>
                <w:highlight w:val="none"/>
                <w:u w:val="single"/>
              </w:rPr>
            </w:pPr>
          </w:p>
        </w:tc>
        <w:tc>
          <w:tcPr>
            <w:tcW w:w="1687" w:type="dxa"/>
            <w:shd w:val="clear" w:color="auto" w:fill="auto"/>
            <w:vAlign w:val="center"/>
          </w:tcPr>
          <w:p>
            <w:pPr>
              <w:jc w:val="center"/>
              <w:rPr>
                <w:rFonts w:ascii="宋体" w:hAnsi="宋体"/>
                <w:color w:val="auto"/>
                <w:sz w:val="20"/>
                <w:highlight w:val="none"/>
              </w:rPr>
            </w:pPr>
            <w:r>
              <w:rPr>
                <w:rFonts w:hint="eastAsia" w:ascii="宋体" w:hAnsi="宋体" w:cs="宋体"/>
                <w:color w:val="auto"/>
                <w:sz w:val="20"/>
                <w:szCs w:val="18"/>
                <w:highlight w:val="none"/>
              </w:rPr>
              <w:t>231,629,127.40</w:t>
            </w:r>
          </w:p>
        </w:tc>
        <w:tc>
          <w:tcPr>
            <w:tcW w:w="1781" w:type="dxa"/>
            <w:gridSpan w:val="2"/>
            <w:shd w:val="clear" w:color="auto" w:fill="FFFFFF"/>
            <w:vAlign w:val="center"/>
          </w:tcPr>
          <w:p>
            <w:pPr>
              <w:jc w:val="center"/>
              <w:rPr>
                <w:rFonts w:ascii="宋体" w:hAnsi="宋体"/>
                <w:color w:val="auto"/>
                <w:sz w:val="24"/>
                <w:highlight w:val="none"/>
              </w:rPr>
            </w:pPr>
            <w:r>
              <w:rPr>
                <w:rFonts w:hint="eastAsia" w:ascii="宋体" w:hAnsi="宋体" w:cs="宋体"/>
                <w:color w:val="auto"/>
                <w:sz w:val="20"/>
                <w:szCs w:val="18"/>
                <w:highlight w:val="none"/>
              </w:rPr>
              <w:t>9,293,471.81</w:t>
            </w:r>
          </w:p>
        </w:tc>
        <w:tc>
          <w:tcPr>
            <w:tcW w:w="1719" w:type="dxa"/>
            <w:shd w:val="clear" w:color="auto" w:fill="FFFFFF"/>
            <w:vAlign w:val="center"/>
          </w:tcPr>
          <w:p>
            <w:pPr>
              <w:jc w:val="center"/>
              <w:rPr>
                <w:rFonts w:ascii="宋体" w:hAnsi="宋体"/>
                <w:color w:val="auto"/>
                <w:sz w:val="24"/>
                <w:highlight w:val="none"/>
              </w:rPr>
            </w:pPr>
            <w:r>
              <w:rPr>
                <w:rFonts w:hint="eastAsia" w:ascii="宋体" w:hAnsi="宋体" w:cs="宋体"/>
                <w:color w:val="auto"/>
                <w:sz w:val="20"/>
                <w:szCs w:val="18"/>
                <w:highlight w:val="none"/>
              </w:rPr>
              <w:t>8,390,635.39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exact"/>
          <w:jc w:val="center"/>
        </w:trPr>
        <w:tc>
          <w:tcPr>
            <w:tcW w:w="2232" w:type="dxa"/>
            <w:vMerge w:val="restart"/>
            <w:shd w:val="clear" w:color="auto" w:fill="auto"/>
            <w:vAlign w:val="center"/>
          </w:tcPr>
          <w:p>
            <w:pPr>
              <w:ind w:firstLine="482"/>
              <w:jc w:val="center"/>
              <w:rPr>
                <w:rFonts w:ascii="宋体" w:hAnsi="宋体"/>
                <w:b/>
                <w:color w:val="auto"/>
                <w:sz w:val="24"/>
                <w:highlight w:val="none"/>
              </w:rPr>
            </w:pPr>
          </w:p>
        </w:tc>
        <w:tc>
          <w:tcPr>
            <w:tcW w:w="1526" w:type="dxa"/>
            <w:shd w:val="clear" w:color="auto" w:fill="auto"/>
            <w:vAlign w:val="center"/>
          </w:tcPr>
          <w:p>
            <w:pPr>
              <w:jc w:val="center"/>
              <w:rPr>
                <w:rFonts w:ascii="宋体" w:hAnsi="宋体"/>
                <w:b/>
                <w:color w:val="auto"/>
                <w:sz w:val="24"/>
                <w:highlight w:val="none"/>
              </w:rPr>
            </w:pPr>
            <w:r>
              <w:rPr>
                <w:rFonts w:hint="eastAsia" w:ascii="宋体" w:hAnsi="宋体"/>
                <w:b/>
                <w:color w:val="auto"/>
                <w:sz w:val="24"/>
                <w:highlight w:val="none"/>
              </w:rPr>
              <w:t>审计机构</w:t>
            </w:r>
          </w:p>
        </w:tc>
        <w:tc>
          <w:tcPr>
            <w:tcW w:w="5187" w:type="dxa"/>
            <w:gridSpan w:val="4"/>
            <w:shd w:val="clear" w:color="auto" w:fill="FFFFFF"/>
            <w:vAlign w:val="center"/>
          </w:tcPr>
          <w:p>
            <w:pPr>
              <w:jc w:val="right"/>
              <w:rPr>
                <w:rFonts w:ascii="宋体" w:hAnsi="宋体"/>
                <w:color w:val="auto"/>
                <w:sz w:val="24"/>
                <w:highlight w:val="none"/>
              </w:rPr>
            </w:pPr>
            <w:r>
              <w:rPr>
                <w:rFonts w:hint="eastAsia" w:ascii="宋体" w:hAnsi="宋体"/>
                <w:color w:val="auto"/>
                <w:sz w:val="24"/>
                <w:highlight w:val="none"/>
              </w:rPr>
              <w:t>天健会计师事务所（特殊普通合伙）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exact"/>
          <w:jc w:val="center"/>
        </w:trPr>
        <w:tc>
          <w:tcPr>
            <w:tcW w:w="2232" w:type="dxa"/>
            <w:vMerge w:val="continue"/>
            <w:shd w:val="clear" w:color="auto" w:fill="auto"/>
            <w:vAlign w:val="center"/>
          </w:tcPr>
          <w:p>
            <w:pPr>
              <w:ind w:firstLine="482"/>
              <w:jc w:val="center"/>
              <w:rPr>
                <w:rFonts w:ascii="宋体" w:hAnsi="宋体"/>
                <w:b/>
                <w:color w:val="auto"/>
                <w:sz w:val="24"/>
                <w:highlight w:val="none"/>
              </w:rPr>
            </w:pPr>
          </w:p>
        </w:tc>
        <w:tc>
          <w:tcPr>
            <w:tcW w:w="6713" w:type="dxa"/>
            <w:gridSpan w:val="5"/>
            <w:shd w:val="clear" w:color="auto" w:fill="FFFFFF"/>
            <w:vAlign w:val="center"/>
          </w:tcPr>
          <w:p>
            <w:pPr>
              <w:jc w:val="center"/>
              <w:rPr>
                <w:rFonts w:ascii="宋体" w:hAnsi="宋体"/>
                <w:color w:val="auto"/>
                <w:sz w:val="24"/>
                <w:highlight w:val="none"/>
              </w:rPr>
            </w:pPr>
            <w:r>
              <w:rPr>
                <w:rFonts w:hint="eastAsia" w:ascii="宋体" w:hAnsi="宋体"/>
                <w:color w:val="auto"/>
                <w:sz w:val="24"/>
                <w:highlight w:val="none"/>
              </w:rPr>
              <w:t>以下数据出自企业财务报表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8" w:hRule="exact"/>
          <w:jc w:val="center"/>
        </w:trPr>
        <w:tc>
          <w:tcPr>
            <w:tcW w:w="2232" w:type="dxa"/>
            <w:vMerge w:val="restart"/>
            <w:shd w:val="clear" w:color="auto" w:fill="auto"/>
            <w:vAlign w:val="center"/>
          </w:tcPr>
          <w:p>
            <w:pPr>
              <w:ind w:firstLine="480"/>
              <w:jc w:val="center"/>
              <w:rPr>
                <w:rFonts w:ascii="宋体" w:hAnsi="宋体"/>
                <w:color w:val="auto"/>
                <w:sz w:val="24"/>
                <w:highlight w:val="none"/>
              </w:rPr>
            </w:pPr>
          </w:p>
        </w:tc>
        <w:tc>
          <w:tcPr>
            <w:tcW w:w="1526" w:type="dxa"/>
            <w:shd w:val="clear" w:color="auto" w:fill="auto"/>
            <w:vAlign w:val="center"/>
          </w:tcPr>
          <w:p>
            <w:pPr>
              <w:jc w:val="center"/>
              <w:rPr>
                <w:rFonts w:ascii="宋体" w:hAnsi="宋体"/>
                <w:b/>
                <w:color w:val="auto"/>
                <w:sz w:val="24"/>
                <w:highlight w:val="none"/>
              </w:rPr>
            </w:pPr>
            <w:r>
              <w:rPr>
                <w:rFonts w:hint="eastAsia" w:ascii="宋体" w:hAnsi="宋体"/>
                <w:b/>
                <w:color w:val="auto"/>
                <w:sz w:val="24"/>
                <w:highlight w:val="none"/>
              </w:rPr>
              <w:t>报表日期</w:t>
            </w:r>
          </w:p>
        </w:tc>
        <w:tc>
          <w:tcPr>
            <w:tcW w:w="1687" w:type="dxa"/>
            <w:shd w:val="clear" w:color="auto" w:fill="auto"/>
            <w:vAlign w:val="center"/>
          </w:tcPr>
          <w:p>
            <w:pPr>
              <w:jc w:val="center"/>
              <w:rPr>
                <w:rFonts w:ascii="宋体" w:hAnsi="宋体"/>
                <w:b/>
                <w:color w:val="auto"/>
                <w:sz w:val="24"/>
                <w:highlight w:val="none"/>
              </w:rPr>
            </w:pPr>
            <w:r>
              <w:rPr>
                <w:rFonts w:hint="eastAsia" w:ascii="宋体" w:hAnsi="宋体"/>
                <w:b/>
                <w:color w:val="auto"/>
                <w:sz w:val="24"/>
                <w:highlight w:val="none"/>
              </w:rPr>
              <w:t>资产总计</w:t>
            </w:r>
          </w:p>
        </w:tc>
        <w:tc>
          <w:tcPr>
            <w:tcW w:w="1781" w:type="dxa"/>
            <w:gridSpan w:val="2"/>
            <w:shd w:val="clear" w:color="auto" w:fill="FFFFFF"/>
            <w:vAlign w:val="center"/>
          </w:tcPr>
          <w:p>
            <w:pPr>
              <w:jc w:val="center"/>
              <w:rPr>
                <w:rFonts w:ascii="宋体" w:hAnsi="宋体"/>
                <w:b/>
                <w:color w:val="auto"/>
                <w:sz w:val="24"/>
                <w:highlight w:val="none"/>
              </w:rPr>
            </w:pPr>
            <w:r>
              <w:rPr>
                <w:rFonts w:hint="eastAsia" w:ascii="宋体" w:hAnsi="宋体"/>
                <w:b/>
                <w:color w:val="auto"/>
                <w:sz w:val="24"/>
                <w:highlight w:val="none"/>
              </w:rPr>
              <w:t>负债总计</w:t>
            </w:r>
          </w:p>
        </w:tc>
        <w:tc>
          <w:tcPr>
            <w:tcW w:w="1719" w:type="dxa"/>
            <w:shd w:val="clear" w:color="auto" w:fill="FFFFFF"/>
            <w:vAlign w:val="center"/>
          </w:tcPr>
          <w:p>
            <w:pPr>
              <w:jc w:val="center"/>
              <w:rPr>
                <w:rFonts w:ascii="宋体" w:hAnsi="宋体"/>
                <w:b/>
                <w:color w:val="auto"/>
                <w:sz w:val="24"/>
                <w:highlight w:val="none"/>
              </w:rPr>
            </w:pPr>
            <w:r>
              <w:rPr>
                <w:rFonts w:hint="eastAsia" w:ascii="宋体" w:hAnsi="宋体"/>
                <w:b/>
                <w:color w:val="auto"/>
                <w:sz w:val="24"/>
                <w:highlight w:val="none"/>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1" w:hRule="exact"/>
          <w:jc w:val="center"/>
        </w:trPr>
        <w:tc>
          <w:tcPr>
            <w:tcW w:w="2232" w:type="dxa"/>
            <w:vMerge w:val="continue"/>
            <w:shd w:val="clear" w:color="auto" w:fill="auto"/>
            <w:vAlign w:val="center"/>
          </w:tcPr>
          <w:p>
            <w:pPr>
              <w:ind w:firstLine="480"/>
              <w:rPr>
                <w:rFonts w:ascii="宋体" w:hAnsi="宋体"/>
                <w:color w:val="auto"/>
                <w:sz w:val="24"/>
                <w:highlight w:val="none"/>
              </w:rPr>
            </w:pPr>
          </w:p>
        </w:tc>
        <w:tc>
          <w:tcPr>
            <w:tcW w:w="1526" w:type="dxa"/>
            <w:shd w:val="clear" w:color="auto" w:fill="auto"/>
            <w:vAlign w:val="center"/>
          </w:tcPr>
          <w:p>
            <w:pPr>
              <w:jc w:val="center"/>
              <w:rPr>
                <w:rFonts w:ascii="宋体" w:hAnsi="宋体"/>
                <w:color w:val="auto"/>
                <w:sz w:val="24"/>
                <w:highlight w:val="none"/>
              </w:rPr>
            </w:pPr>
            <w:r>
              <w:rPr>
                <w:rFonts w:hint="eastAsia" w:ascii="宋体" w:hAnsi="宋体"/>
                <w:color w:val="auto"/>
                <w:highlight w:val="none"/>
              </w:rPr>
              <w:t>2020年9月30日</w:t>
            </w:r>
          </w:p>
        </w:tc>
        <w:tc>
          <w:tcPr>
            <w:tcW w:w="1687" w:type="dxa"/>
            <w:shd w:val="clear" w:color="auto" w:fill="auto"/>
            <w:vAlign w:val="center"/>
          </w:tcPr>
          <w:p>
            <w:pPr>
              <w:jc w:val="center"/>
              <w:rPr>
                <w:rFonts w:ascii="宋体" w:hAnsi="宋体"/>
                <w:color w:val="auto"/>
                <w:highlight w:val="none"/>
              </w:rPr>
            </w:pPr>
            <w:r>
              <w:rPr>
                <w:rFonts w:hint="eastAsia" w:ascii="宋体" w:hAnsi="宋体"/>
                <w:color w:val="auto"/>
                <w:highlight w:val="none"/>
              </w:rPr>
              <w:t>527,273,981.24</w:t>
            </w:r>
          </w:p>
        </w:tc>
        <w:tc>
          <w:tcPr>
            <w:tcW w:w="1781" w:type="dxa"/>
            <w:gridSpan w:val="2"/>
            <w:shd w:val="clear" w:color="auto" w:fill="FFFFFF"/>
            <w:vAlign w:val="center"/>
          </w:tcPr>
          <w:p>
            <w:pPr>
              <w:jc w:val="center"/>
              <w:rPr>
                <w:rFonts w:ascii="宋体" w:hAnsi="宋体"/>
                <w:color w:val="auto"/>
                <w:highlight w:val="none"/>
              </w:rPr>
            </w:pPr>
            <w:r>
              <w:rPr>
                <w:rFonts w:hint="eastAsia" w:ascii="宋体" w:hAnsi="宋体"/>
                <w:color w:val="auto"/>
                <w:highlight w:val="none"/>
              </w:rPr>
              <w:t>367,728,307.37</w:t>
            </w:r>
          </w:p>
        </w:tc>
        <w:tc>
          <w:tcPr>
            <w:tcW w:w="1719" w:type="dxa"/>
            <w:shd w:val="clear" w:color="auto" w:fill="FFFFFF"/>
            <w:vAlign w:val="center"/>
          </w:tcPr>
          <w:p>
            <w:pPr>
              <w:jc w:val="center"/>
              <w:rPr>
                <w:rFonts w:ascii="宋体" w:hAnsi="宋体"/>
                <w:color w:val="auto"/>
                <w:highlight w:val="none"/>
              </w:rPr>
            </w:pPr>
            <w:r>
              <w:rPr>
                <w:rFonts w:hint="eastAsia" w:ascii="宋体" w:hAnsi="宋体"/>
                <w:color w:val="auto"/>
                <w:highlight w:val="none"/>
              </w:rPr>
              <w:t>159,545,673.87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exact"/>
          <w:jc w:val="center"/>
        </w:trPr>
        <w:tc>
          <w:tcPr>
            <w:tcW w:w="2232" w:type="dxa"/>
            <w:vMerge w:val="continue"/>
            <w:shd w:val="clear" w:color="auto" w:fill="auto"/>
            <w:vAlign w:val="center"/>
          </w:tcPr>
          <w:p>
            <w:pPr>
              <w:ind w:firstLine="480"/>
              <w:rPr>
                <w:rFonts w:ascii="宋体" w:hAnsi="宋体"/>
                <w:color w:val="auto"/>
                <w:sz w:val="24"/>
                <w:highlight w:val="none"/>
              </w:rPr>
            </w:pPr>
          </w:p>
        </w:tc>
        <w:tc>
          <w:tcPr>
            <w:tcW w:w="1526" w:type="dxa"/>
            <w:shd w:val="clear" w:color="auto" w:fill="auto"/>
            <w:vAlign w:val="center"/>
          </w:tcPr>
          <w:p>
            <w:pPr>
              <w:jc w:val="center"/>
              <w:rPr>
                <w:rFonts w:ascii="宋体" w:hAnsi="宋体"/>
                <w:b/>
                <w:color w:val="auto"/>
                <w:sz w:val="24"/>
                <w:highlight w:val="none"/>
              </w:rPr>
            </w:pPr>
            <w:r>
              <w:rPr>
                <w:rFonts w:hint="eastAsia" w:ascii="宋体" w:hAnsi="宋体"/>
                <w:b/>
                <w:color w:val="auto"/>
                <w:sz w:val="24"/>
                <w:highlight w:val="none"/>
              </w:rPr>
              <w:t>报表类型</w:t>
            </w:r>
          </w:p>
        </w:tc>
        <w:tc>
          <w:tcPr>
            <w:tcW w:w="1687" w:type="dxa"/>
            <w:shd w:val="clear" w:color="auto" w:fill="auto"/>
            <w:vAlign w:val="center"/>
          </w:tcPr>
          <w:p>
            <w:pPr>
              <w:jc w:val="center"/>
              <w:rPr>
                <w:rFonts w:ascii="宋体" w:hAnsi="宋体"/>
                <w:b/>
                <w:color w:val="auto"/>
                <w:sz w:val="24"/>
                <w:highlight w:val="none"/>
              </w:rPr>
            </w:pPr>
            <w:r>
              <w:rPr>
                <w:rFonts w:hint="eastAsia" w:ascii="宋体" w:hAnsi="宋体"/>
                <w:b/>
                <w:color w:val="auto"/>
                <w:sz w:val="24"/>
                <w:highlight w:val="none"/>
              </w:rPr>
              <w:t>营业收入</w:t>
            </w:r>
          </w:p>
        </w:tc>
        <w:tc>
          <w:tcPr>
            <w:tcW w:w="1781" w:type="dxa"/>
            <w:gridSpan w:val="2"/>
            <w:shd w:val="clear" w:color="auto" w:fill="FFFFFF"/>
            <w:vAlign w:val="center"/>
          </w:tcPr>
          <w:p>
            <w:pPr>
              <w:jc w:val="center"/>
              <w:rPr>
                <w:rFonts w:ascii="宋体" w:hAnsi="宋体"/>
                <w:b/>
                <w:color w:val="auto"/>
                <w:sz w:val="24"/>
                <w:highlight w:val="none"/>
              </w:rPr>
            </w:pPr>
            <w:r>
              <w:rPr>
                <w:rFonts w:hint="eastAsia" w:ascii="宋体" w:hAnsi="宋体"/>
                <w:b/>
                <w:color w:val="auto"/>
                <w:sz w:val="24"/>
                <w:highlight w:val="none"/>
              </w:rPr>
              <w:t>利润总额</w:t>
            </w:r>
          </w:p>
        </w:tc>
        <w:tc>
          <w:tcPr>
            <w:tcW w:w="1719" w:type="dxa"/>
            <w:shd w:val="clear" w:color="auto" w:fill="FFFFFF"/>
            <w:vAlign w:val="center"/>
          </w:tcPr>
          <w:p>
            <w:pPr>
              <w:jc w:val="center"/>
              <w:rPr>
                <w:rFonts w:ascii="宋体" w:hAnsi="宋体"/>
                <w:b/>
                <w:color w:val="auto"/>
                <w:sz w:val="24"/>
                <w:highlight w:val="none"/>
              </w:rPr>
            </w:pPr>
            <w:r>
              <w:rPr>
                <w:rFonts w:hint="eastAsia" w:ascii="宋体" w:hAnsi="宋体"/>
                <w:b/>
                <w:color w:val="auto"/>
                <w:sz w:val="24"/>
                <w:highlight w:val="none"/>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exact"/>
          <w:jc w:val="center"/>
        </w:trPr>
        <w:tc>
          <w:tcPr>
            <w:tcW w:w="2232" w:type="dxa"/>
            <w:vMerge w:val="continue"/>
            <w:shd w:val="clear" w:color="auto" w:fill="auto"/>
            <w:vAlign w:val="center"/>
          </w:tcPr>
          <w:p>
            <w:pPr>
              <w:ind w:firstLine="480"/>
              <w:rPr>
                <w:rFonts w:ascii="宋体" w:hAnsi="宋体"/>
                <w:color w:val="auto"/>
                <w:sz w:val="24"/>
                <w:highlight w:val="none"/>
              </w:rPr>
            </w:pPr>
          </w:p>
        </w:tc>
        <w:tc>
          <w:tcPr>
            <w:tcW w:w="1526" w:type="dxa"/>
            <w:shd w:val="clear" w:color="auto" w:fill="auto"/>
            <w:vAlign w:val="center"/>
          </w:tcPr>
          <w:p>
            <w:pPr>
              <w:jc w:val="center"/>
              <w:rPr>
                <w:rFonts w:ascii="宋体" w:hAnsi="宋体"/>
                <w:color w:val="auto"/>
                <w:sz w:val="24"/>
                <w:highlight w:val="none"/>
              </w:rPr>
            </w:pPr>
            <w:r>
              <w:rPr>
                <w:rFonts w:hint="eastAsia" w:ascii="宋体" w:hAnsi="宋体"/>
                <w:color w:val="auto"/>
                <w:highlight w:val="none"/>
              </w:rPr>
              <w:t>月报表</w:t>
            </w:r>
          </w:p>
        </w:tc>
        <w:tc>
          <w:tcPr>
            <w:tcW w:w="1687" w:type="dxa"/>
            <w:shd w:val="clear" w:color="auto" w:fill="auto"/>
            <w:vAlign w:val="center"/>
          </w:tcPr>
          <w:p>
            <w:pPr>
              <w:jc w:val="center"/>
              <w:rPr>
                <w:rFonts w:ascii="宋体" w:hAnsi="宋体"/>
                <w:color w:val="auto"/>
                <w:highlight w:val="none"/>
              </w:rPr>
            </w:pPr>
            <w:r>
              <w:rPr>
                <w:rFonts w:hint="eastAsia" w:ascii="宋体" w:hAnsi="宋体"/>
                <w:color w:val="auto"/>
                <w:highlight w:val="none"/>
              </w:rPr>
              <w:t>183,924,069.31</w:t>
            </w:r>
          </w:p>
        </w:tc>
        <w:tc>
          <w:tcPr>
            <w:tcW w:w="1781" w:type="dxa"/>
            <w:gridSpan w:val="2"/>
            <w:shd w:val="clear" w:color="auto" w:fill="FFFFFF"/>
            <w:vAlign w:val="center"/>
          </w:tcPr>
          <w:p>
            <w:pPr>
              <w:jc w:val="center"/>
              <w:rPr>
                <w:rFonts w:ascii="宋体" w:hAnsi="宋体"/>
                <w:color w:val="auto"/>
                <w:highlight w:val="none"/>
              </w:rPr>
            </w:pPr>
            <w:r>
              <w:rPr>
                <w:rFonts w:hint="eastAsia" w:ascii="宋体" w:hAnsi="宋体"/>
                <w:color w:val="auto"/>
                <w:highlight w:val="none"/>
              </w:rPr>
              <w:t>26,523,490.21</w:t>
            </w:r>
          </w:p>
        </w:tc>
        <w:tc>
          <w:tcPr>
            <w:tcW w:w="1719" w:type="dxa"/>
            <w:shd w:val="clear" w:color="auto" w:fill="FFFFFF"/>
            <w:vAlign w:val="center"/>
          </w:tcPr>
          <w:p>
            <w:pPr>
              <w:jc w:val="center"/>
              <w:rPr>
                <w:rFonts w:ascii="宋体" w:hAnsi="宋体"/>
                <w:color w:val="auto"/>
                <w:highlight w:val="none"/>
              </w:rPr>
            </w:pPr>
            <w:r>
              <w:rPr>
                <w:rFonts w:hint="eastAsia" w:ascii="宋体" w:hAnsi="宋体"/>
                <w:color w:val="auto"/>
                <w:highlight w:val="none"/>
              </w:rPr>
              <w:t>23,522,037.45</w:t>
            </w:r>
          </w:p>
        </w:tc>
      </w:tr>
    </w:tbl>
    <w:p>
      <w:pPr>
        <w:pStyle w:val="38"/>
        <w:spacing w:line="360" w:lineRule="auto"/>
        <w:ind w:left="562" w:firstLine="0" w:firstLineChars="0"/>
        <w:rPr>
          <w:rFonts w:ascii="宋体" w:hAnsi="宋体"/>
          <w:sz w:val="24"/>
          <w:szCs w:val="24"/>
          <w:highlight w:val="none"/>
        </w:rPr>
      </w:pPr>
    </w:p>
    <w:p>
      <w:pPr>
        <w:pStyle w:val="38"/>
        <w:spacing w:line="360" w:lineRule="auto"/>
        <w:ind w:left="562" w:firstLine="0" w:firstLineChars="0"/>
        <w:rPr>
          <w:rFonts w:ascii="宋体"/>
          <w:b/>
          <w:sz w:val="24"/>
          <w:szCs w:val="24"/>
          <w:highlight w:val="none"/>
        </w:rPr>
      </w:pPr>
      <w:r>
        <w:rPr>
          <w:rFonts w:ascii="宋体" w:hAnsi="宋体"/>
          <w:sz w:val="24"/>
          <w:szCs w:val="24"/>
          <w:highlight w:val="none"/>
        </w:rPr>
        <w:t>(</w:t>
      </w:r>
      <w:r>
        <w:rPr>
          <w:rFonts w:hint="eastAsia" w:ascii="宋体" w:hAnsi="宋体"/>
          <w:sz w:val="24"/>
          <w:szCs w:val="24"/>
          <w:highlight w:val="none"/>
        </w:rPr>
        <w:t>二</w:t>
      </w:r>
      <w:r>
        <w:rPr>
          <w:rFonts w:ascii="宋体" w:hAnsi="宋体"/>
          <w:sz w:val="24"/>
          <w:szCs w:val="24"/>
          <w:highlight w:val="none"/>
        </w:rPr>
        <w:t>)</w:t>
      </w:r>
      <w:r>
        <w:rPr>
          <w:rFonts w:hint="eastAsia" w:ascii="宋体" w:hAnsi="宋体"/>
          <w:b/>
          <w:sz w:val="24"/>
          <w:szCs w:val="24"/>
          <w:highlight w:val="none"/>
        </w:rPr>
        <w:t>增资扩股后的股权结构</w:t>
      </w:r>
    </w:p>
    <w:p>
      <w:pPr>
        <w:spacing w:line="360" w:lineRule="auto"/>
        <w:ind w:firstLine="480"/>
        <w:jc w:val="left"/>
        <w:rPr>
          <w:rFonts w:ascii="宋体" w:hAnsi="宋体"/>
          <w:sz w:val="24"/>
          <w:szCs w:val="24"/>
          <w:highlight w:val="none"/>
        </w:rPr>
      </w:pPr>
      <w:r>
        <w:rPr>
          <w:rFonts w:hint="eastAsia" w:ascii="宋体" w:hAnsi="宋体"/>
          <w:sz w:val="24"/>
          <w:szCs w:val="24"/>
          <w:highlight w:val="none"/>
          <w:lang w:eastAsia="zh-CN"/>
        </w:rPr>
        <w:t>假设本次</w:t>
      </w:r>
      <w:r>
        <w:rPr>
          <w:rFonts w:hint="eastAsia" w:ascii="宋体" w:hAnsi="宋体"/>
          <w:sz w:val="24"/>
          <w:szCs w:val="24"/>
          <w:highlight w:val="none"/>
          <w:lang w:val="en-US" w:eastAsia="zh-CN"/>
        </w:rPr>
        <w:t>成交价</w:t>
      </w:r>
      <w:r>
        <w:rPr>
          <w:rFonts w:hint="eastAsia" w:ascii="宋体" w:hAnsi="宋体"/>
          <w:sz w:val="24"/>
          <w:szCs w:val="24"/>
          <w:highlight w:val="none"/>
          <w:lang w:eastAsia="zh-CN"/>
        </w:rPr>
        <w:t>等于挂牌价，则</w:t>
      </w:r>
      <w:r>
        <w:rPr>
          <w:rFonts w:hint="eastAsia" w:ascii="宋体" w:hAnsi="宋体"/>
          <w:sz w:val="24"/>
          <w:szCs w:val="24"/>
          <w:highlight w:val="none"/>
        </w:rPr>
        <w:t>本次增资完成后，融资方股权结构如下：</w:t>
      </w:r>
    </w:p>
    <w:p>
      <w:pPr>
        <w:spacing w:line="360" w:lineRule="auto"/>
        <w:ind w:firstLine="480"/>
        <w:jc w:val="right"/>
        <w:rPr>
          <w:rFonts w:ascii="宋体" w:hAnsi="宋体"/>
          <w:szCs w:val="21"/>
          <w:highlight w:val="none"/>
        </w:rPr>
      </w:pPr>
      <w:r>
        <w:rPr>
          <w:rFonts w:hint="eastAsia" w:ascii="宋体" w:hAnsi="宋体"/>
          <w:szCs w:val="21"/>
          <w:highlight w:val="none"/>
        </w:rPr>
        <w:t>单位：元</w:t>
      </w:r>
    </w:p>
    <w:tbl>
      <w:tblPr>
        <w:tblStyle w:val="18"/>
        <w:tblW w:w="5346" w:type="pct"/>
        <w:tblInd w:w="-13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420"/>
        <w:gridCol w:w="2465"/>
        <w:gridCol w:w="1612"/>
        <w:gridCol w:w="1102"/>
        <w:gridCol w:w="1534"/>
        <w:gridCol w:w="1552"/>
        <w:gridCol w:w="115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17" w:hRule="atLeast"/>
        </w:trPr>
        <w:tc>
          <w:tcPr>
            <w:tcW w:w="213" w:type="pct"/>
            <w:vMerge w:val="restart"/>
            <w:tcBorders>
              <w:tl2br w:val="nil"/>
              <w:tr2bl w:val="nil"/>
            </w:tcBorders>
            <w:shd w:val="clear" w:color="000000" w:fill="D9D9D9"/>
            <w:vAlign w:val="center"/>
          </w:tcPr>
          <w:p>
            <w:pPr>
              <w:widowControl/>
              <w:jc w:val="center"/>
              <w:rPr>
                <w:rFonts w:ascii="Times New Roman" w:hAnsi="Times New Roman"/>
                <w:b/>
                <w:bCs/>
                <w:kern w:val="0"/>
                <w:szCs w:val="21"/>
                <w:highlight w:val="none"/>
              </w:rPr>
            </w:pPr>
            <w:r>
              <w:rPr>
                <w:rFonts w:hint="eastAsia" w:ascii="宋体" w:hAnsi="宋体"/>
                <w:b/>
                <w:bCs/>
                <w:kern w:val="0"/>
                <w:szCs w:val="21"/>
                <w:highlight w:val="none"/>
              </w:rPr>
              <w:t>序号</w:t>
            </w:r>
          </w:p>
        </w:tc>
        <w:tc>
          <w:tcPr>
            <w:tcW w:w="1252" w:type="pct"/>
            <w:vMerge w:val="restart"/>
            <w:tcBorders>
              <w:tl2br w:val="nil"/>
              <w:tr2bl w:val="nil"/>
            </w:tcBorders>
            <w:shd w:val="clear" w:color="000000" w:fill="D9D9D9"/>
            <w:vAlign w:val="center"/>
          </w:tcPr>
          <w:p>
            <w:pPr>
              <w:widowControl/>
              <w:jc w:val="center"/>
              <w:rPr>
                <w:rFonts w:ascii="Times New Roman" w:hAnsi="Times New Roman"/>
                <w:b/>
                <w:bCs/>
                <w:kern w:val="0"/>
                <w:szCs w:val="21"/>
                <w:highlight w:val="none"/>
              </w:rPr>
            </w:pPr>
            <w:r>
              <w:rPr>
                <w:rFonts w:hint="eastAsia" w:ascii="宋体" w:hAnsi="宋体"/>
                <w:b/>
                <w:bCs/>
                <w:kern w:val="0"/>
                <w:szCs w:val="21"/>
                <w:highlight w:val="none"/>
              </w:rPr>
              <w:t>股东名称或姓名</w:t>
            </w:r>
          </w:p>
        </w:tc>
        <w:tc>
          <w:tcPr>
            <w:tcW w:w="1379" w:type="pct"/>
            <w:gridSpan w:val="2"/>
            <w:tcBorders>
              <w:tl2br w:val="nil"/>
              <w:tr2bl w:val="nil"/>
            </w:tcBorders>
            <w:shd w:val="clear" w:color="000000" w:fill="D9D9D9"/>
            <w:vAlign w:val="center"/>
          </w:tcPr>
          <w:p>
            <w:pPr>
              <w:widowControl/>
              <w:jc w:val="center"/>
              <w:rPr>
                <w:rFonts w:ascii="Times New Roman" w:hAnsi="Times New Roman"/>
                <w:b/>
                <w:bCs/>
                <w:kern w:val="0"/>
                <w:szCs w:val="21"/>
                <w:highlight w:val="none"/>
              </w:rPr>
            </w:pPr>
            <w:r>
              <w:rPr>
                <w:rFonts w:hint="eastAsia" w:ascii="宋体" w:hAnsi="宋体"/>
                <w:b/>
                <w:bCs/>
                <w:kern w:val="0"/>
                <w:szCs w:val="21"/>
                <w:highlight w:val="none"/>
              </w:rPr>
              <w:t>增资前</w:t>
            </w:r>
          </w:p>
        </w:tc>
        <w:tc>
          <w:tcPr>
            <w:tcW w:w="779" w:type="pct"/>
            <w:tcBorders>
              <w:tl2br w:val="nil"/>
              <w:tr2bl w:val="nil"/>
            </w:tcBorders>
            <w:shd w:val="clear" w:color="000000" w:fill="D9D9D9"/>
            <w:vAlign w:val="center"/>
          </w:tcPr>
          <w:p>
            <w:pPr>
              <w:widowControl/>
              <w:jc w:val="center"/>
              <w:rPr>
                <w:rFonts w:ascii="Times New Roman" w:hAnsi="Times New Roman"/>
                <w:b/>
                <w:bCs/>
                <w:kern w:val="0"/>
                <w:szCs w:val="21"/>
                <w:highlight w:val="none"/>
              </w:rPr>
            </w:pPr>
            <w:r>
              <w:rPr>
                <w:rFonts w:hint="eastAsia" w:ascii="宋体" w:hAnsi="宋体"/>
                <w:b/>
                <w:bCs/>
                <w:kern w:val="0"/>
                <w:szCs w:val="21"/>
                <w:highlight w:val="none"/>
              </w:rPr>
              <w:t>增资股本</w:t>
            </w:r>
          </w:p>
        </w:tc>
        <w:tc>
          <w:tcPr>
            <w:tcW w:w="1375" w:type="pct"/>
            <w:gridSpan w:val="2"/>
            <w:tcBorders>
              <w:tl2br w:val="nil"/>
              <w:tr2bl w:val="nil"/>
            </w:tcBorders>
            <w:shd w:val="clear" w:color="000000" w:fill="D9D9D9"/>
            <w:vAlign w:val="center"/>
          </w:tcPr>
          <w:p>
            <w:pPr>
              <w:widowControl/>
              <w:jc w:val="center"/>
              <w:rPr>
                <w:rFonts w:ascii="宋体" w:hAnsi="宋体" w:cs="宋体"/>
                <w:b/>
                <w:bCs/>
                <w:kern w:val="0"/>
                <w:szCs w:val="21"/>
                <w:highlight w:val="none"/>
              </w:rPr>
            </w:pPr>
            <w:r>
              <w:rPr>
                <w:rFonts w:hint="eastAsia" w:ascii="宋体" w:hAnsi="宋体" w:cs="宋体"/>
                <w:b/>
                <w:bCs/>
                <w:kern w:val="0"/>
                <w:szCs w:val="21"/>
                <w:highlight w:val="none"/>
              </w:rPr>
              <w:t>增资后</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17" w:hRule="atLeast"/>
        </w:trPr>
        <w:tc>
          <w:tcPr>
            <w:tcW w:w="213" w:type="pct"/>
            <w:vMerge w:val="continue"/>
            <w:tcBorders>
              <w:tl2br w:val="nil"/>
              <w:tr2bl w:val="nil"/>
            </w:tcBorders>
            <w:vAlign w:val="center"/>
          </w:tcPr>
          <w:p>
            <w:pPr>
              <w:widowControl/>
              <w:jc w:val="left"/>
              <w:rPr>
                <w:rFonts w:ascii="Times New Roman" w:hAnsi="Times New Roman"/>
                <w:b/>
                <w:bCs/>
                <w:kern w:val="0"/>
                <w:szCs w:val="21"/>
                <w:highlight w:val="none"/>
              </w:rPr>
            </w:pPr>
          </w:p>
        </w:tc>
        <w:tc>
          <w:tcPr>
            <w:tcW w:w="1252" w:type="pct"/>
            <w:vMerge w:val="continue"/>
            <w:tcBorders>
              <w:tl2br w:val="nil"/>
              <w:tr2bl w:val="nil"/>
            </w:tcBorders>
            <w:vAlign w:val="center"/>
          </w:tcPr>
          <w:p>
            <w:pPr>
              <w:widowControl/>
              <w:jc w:val="left"/>
              <w:rPr>
                <w:rFonts w:ascii="Times New Roman" w:hAnsi="Times New Roman"/>
                <w:b/>
                <w:bCs/>
                <w:kern w:val="0"/>
                <w:szCs w:val="21"/>
                <w:highlight w:val="none"/>
              </w:rPr>
            </w:pPr>
          </w:p>
        </w:tc>
        <w:tc>
          <w:tcPr>
            <w:tcW w:w="819" w:type="pct"/>
            <w:tcBorders>
              <w:tl2br w:val="nil"/>
              <w:tr2bl w:val="nil"/>
            </w:tcBorders>
            <w:shd w:val="clear" w:color="000000" w:fill="D9D9D9"/>
            <w:vAlign w:val="center"/>
          </w:tcPr>
          <w:p>
            <w:pPr>
              <w:widowControl/>
              <w:jc w:val="center"/>
              <w:rPr>
                <w:rFonts w:hint="eastAsia" w:ascii="Times New Roman" w:hAnsi="Times New Roman" w:eastAsia="宋体"/>
                <w:b/>
                <w:bCs/>
                <w:kern w:val="0"/>
                <w:szCs w:val="21"/>
                <w:highlight w:val="none"/>
                <w:lang w:eastAsia="zh-CN"/>
              </w:rPr>
            </w:pPr>
            <w:r>
              <w:rPr>
                <w:rFonts w:hint="eastAsia" w:ascii="宋体" w:hAnsi="宋体"/>
                <w:b/>
                <w:bCs/>
                <w:kern w:val="0"/>
                <w:szCs w:val="21"/>
                <w:highlight w:val="none"/>
                <w:lang w:eastAsia="zh-CN"/>
              </w:rPr>
              <w:t>股数（股）</w:t>
            </w:r>
          </w:p>
        </w:tc>
        <w:tc>
          <w:tcPr>
            <w:tcW w:w="560" w:type="pct"/>
            <w:tcBorders>
              <w:tl2br w:val="nil"/>
              <w:tr2bl w:val="nil"/>
            </w:tcBorders>
            <w:shd w:val="clear" w:color="000000" w:fill="D9D9D9"/>
            <w:vAlign w:val="center"/>
          </w:tcPr>
          <w:p>
            <w:pPr>
              <w:widowControl/>
              <w:jc w:val="center"/>
              <w:rPr>
                <w:rFonts w:ascii="Times New Roman" w:hAnsi="Times New Roman"/>
                <w:b/>
                <w:bCs/>
                <w:kern w:val="0"/>
                <w:szCs w:val="21"/>
                <w:highlight w:val="none"/>
              </w:rPr>
            </w:pPr>
            <w:r>
              <w:rPr>
                <w:rFonts w:hint="eastAsia" w:ascii="宋体" w:hAnsi="宋体"/>
                <w:b/>
                <w:bCs/>
                <w:kern w:val="0"/>
                <w:szCs w:val="21"/>
                <w:highlight w:val="none"/>
              </w:rPr>
              <w:t>持股比例</w:t>
            </w:r>
          </w:p>
        </w:tc>
        <w:tc>
          <w:tcPr>
            <w:tcW w:w="779" w:type="pct"/>
            <w:tcBorders>
              <w:tl2br w:val="nil"/>
              <w:tr2bl w:val="nil"/>
            </w:tcBorders>
            <w:shd w:val="clear" w:color="000000" w:fill="D9D9D9"/>
            <w:vAlign w:val="center"/>
          </w:tcPr>
          <w:p>
            <w:pPr>
              <w:widowControl/>
              <w:jc w:val="center"/>
              <w:rPr>
                <w:rFonts w:ascii="Times New Roman" w:hAnsi="Times New Roman"/>
                <w:b/>
                <w:bCs/>
                <w:kern w:val="0"/>
                <w:szCs w:val="21"/>
                <w:highlight w:val="none"/>
              </w:rPr>
            </w:pPr>
            <w:r>
              <w:rPr>
                <w:rFonts w:hint="eastAsia" w:ascii="宋体" w:hAnsi="宋体"/>
                <w:b/>
                <w:bCs/>
                <w:kern w:val="0"/>
                <w:szCs w:val="21"/>
                <w:highlight w:val="none"/>
              </w:rPr>
              <w:t>新增</w:t>
            </w:r>
            <w:r>
              <w:rPr>
                <w:rFonts w:hint="eastAsia" w:ascii="宋体" w:hAnsi="宋体"/>
                <w:b/>
                <w:bCs/>
                <w:kern w:val="0"/>
                <w:szCs w:val="21"/>
                <w:highlight w:val="none"/>
                <w:lang w:eastAsia="zh-CN"/>
              </w:rPr>
              <w:t>股数（股）</w:t>
            </w:r>
          </w:p>
        </w:tc>
        <w:tc>
          <w:tcPr>
            <w:tcW w:w="788" w:type="pct"/>
            <w:tcBorders>
              <w:tl2br w:val="nil"/>
              <w:tr2bl w:val="nil"/>
            </w:tcBorders>
            <w:shd w:val="clear" w:color="000000" w:fill="D9D9D9"/>
            <w:vAlign w:val="center"/>
          </w:tcPr>
          <w:p>
            <w:pPr>
              <w:widowControl/>
              <w:jc w:val="center"/>
              <w:rPr>
                <w:rFonts w:hint="eastAsia" w:ascii="宋体" w:hAnsi="宋体" w:eastAsia="宋体" w:cs="宋体"/>
                <w:b/>
                <w:bCs/>
                <w:kern w:val="0"/>
                <w:szCs w:val="21"/>
                <w:highlight w:val="none"/>
                <w:lang w:eastAsia="zh-CN"/>
              </w:rPr>
            </w:pPr>
            <w:r>
              <w:rPr>
                <w:rFonts w:hint="eastAsia" w:ascii="宋体" w:hAnsi="宋体" w:cs="宋体"/>
                <w:b/>
                <w:bCs/>
                <w:kern w:val="0"/>
                <w:szCs w:val="21"/>
                <w:highlight w:val="none"/>
                <w:lang w:eastAsia="zh-CN"/>
              </w:rPr>
              <w:t>股数（股）</w:t>
            </w:r>
          </w:p>
        </w:tc>
        <w:tc>
          <w:tcPr>
            <w:tcW w:w="587" w:type="pct"/>
            <w:tcBorders>
              <w:tl2br w:val="nil"/>
              <w:tr2bl w:val="nil"/>
            </w:tcBorders>
            <w:shd w:val="clear" w:color="000000" w:fill="D9D9D9"/>
            <w:vAlign w:val="center"/>
          </w:tcPr>
          <w:p>
            <w:pPr>
              <w:widowControl/>
              <w:jc w:val="center"/>
              <w:rPr>
                <w:rFonts w:ascii="Times New Roman" w:hAnsi="Times New Roman"/>
                <w:b/>
                <w:bCs/>
                <w:kern w:val="0"/>
                <w:szCs w:val="21"/>
                <w:highlight w:val="none"/>
              </w:rPr>
            </w:pPr>
            <w:r>
              <w:rPr>
                <w:rFonts w:hint="eastAsia" w:ascii="宋体" w:hAnsi="宋体"/>
                <w:b/>
                <w:bCs/>
                <w:kern w:val="0"/>
                <w:szCs w:val="21"/>
                <w:highlight w:val="none"/>
              </w:rPr>
              <w:t>持股比例</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420" w:type="dxa"/>
            <w:tcBorders>
              <w:tl2br w:val="nil"/>
              <w:tr2bl w:val="nil"/>
            </w:tcBorders>
            <w:shd w:val="clear" w:color="auto" w:fill="auto"/>
            <w:vAlign w:val="center"/>
          </w:tcPr>
          <w:p>
            <w:pPr>
              <w:widowControl/>
              <w:jc w:val="center"/>
              <w:rPr>
                <w:rFonts w:ascii="Times New Roman" w:hAnsi="Times New Roman"/>
                <w:kern w:val="0"/>
                <w:szCs w:val="21"/>
                <w:highlight w:val="none"/>
              </w:rPr>
            </w:pPr>
            <w:r>
              <w:rPr>
                <w:rFonts w:ascii="Times New Roman" w:hAnsi="Times New Roman"/>
                <w:kern w:val="0"/>
                <w:szCs w:val="21"/>
                <w:highlight w:val="none"/>
              </w:rPr>
              <w:t>1</w:t>
            </w:r>
          </w:p>
        </w:tc>
        <w:tc>
          <w:tcPr>
            <w:tcW w:w="2465" w:type="dxa"/>
            <w:tcBorders>
              <w:tl2br w:val="nil"/>
              <w:tr2bl w:val="nil"/>
            </w:tcBorders>
            <w:shd w:val="clear" w:color="auto" w:fill="auto"/>
            <w:vAlign w:val="center"/>
          </w:tcPr>
          <w:p>
            <w:pPr>
              <w:widowControl/>
              <w:jc w:val="center"/>
              <w:textAlignment w:val="center"/>
              <w:rPr>
                <w:rFonts w:ascii="宋体" w:hAnsi="宋体" w:cs="宋体"/>
                <w:kern w:val="0"/>
                <w:szCs w:val="21"/>
                <w:highlight w:val="none"/>
              </w:rPr>
            </w:pPr>
            <w:r>
              <w:rPr>
                <w:rFonts w:ascii="仿宋_GB2312" w:hAnsi="宋体" w:eastAsia="仿宋_GB2312" w:cs="仿宋_GB2312"/>
                <w:color w:val="000000"/>
                <w:kern w:val="0"/>
                <w:szCs w:val="21"/>
                <w:highlight w:val="none"/>
                <w:lang w:bidi="ar"/>
              </w:rPr>
              <w:t>浙江海正集团有限公司</w:t>
            </w:r>
          </w:p>
        </w:tc>
        <w:tc>
          <w:tcPr>
            <w:tcW w:w="1612" w:type="dxa"/>
            <w:tcBorders>
              <w:tl2br w:val="nil"/>
              <w:tr2bl w:val="nil"/>
            </w:tcBorders>
            <w:vAlign w:val="center"/>
          </w:tcPr>
          <w:p>
            <w:pPr>
              <w:jc w:val="center"/>
              <w:rPr>
                <w:rFonts w:ascii="宋体" w:hAnsi="宋体"/>
                <w:kern w:val="0"/>
                <w:szCs w:val="21"/>
                <w:highlight w:val="none"/>
              </w:rPr>
            </w:pPr>
            <w:r>
              <w:rPr>
                <w:rFonts w:hint="eastAsia" w:ascii="仿宋_GB2312" w:eastAsia="仿宋_GB2312"/>
                <w:szCs w:val="21"/>
                <w:highlight w:val="none"/>
              </w:rPr>
              <w:t xml:space="preserve">60,090,000.00 </w:t>
            </w:r>
          </w:p>
        </w:tc>
        <w:tc>
          <w:tcPr>
            <w:tcW w:w="1102" w:type="dxa"/>
            <w:tcBorders>
              <w:tl2br w:val="nil"/>
              <w:tr2bl w:val="nil"/>
            </w:tcBorders>
            <w:vAlign w:val="center"/>
          </w:tcPr>
          <w:p>
            <w:pPr>
              <w:spacing w:line="500" w:lineRule="exact"/>
              <w:jc w:val="center"/>
              <w:rPr>
                <w:rFonts w:ascii="Times New Roman" w:hAnsi="Times New Roman"/>
                <w:kern w:val="0"/>
                <w:szCs w:val="21"/>
                <w:highlight w:val="none"/>
              </w:rPr>
            </w:pPr>
            <w:r>
              <w:rPr>
                <w:rFonts w:ascii="宋体" w:hAnsi="宋体" w:cs="宋体"/>
                <w:szCs w:val="21"/>
                <w:highlight w:val="none"/>
              </w:rPr>
              <w:t>65.6</w:t>
            </w:r>
            <w:r>
              <w:rPr>
                <w:rFonts w:hint="eastAsia" w:ascii="宋体" w:hAnsi="宋体" w:cs="宋体"/>
                <w:szCs w:val="21"/>
                <w:highlight w:val="none"/>
              </w:rPr>
              <w:t>8</w:t>
            </w:r>
            <w:r>
              <w:rPr>
                <w:rFonts w:ascii="宋体" w:hAnsi="宋体" w:cs="宋体"/>
                <w:szCs w:val="21"/>
                <w:highlight w:val="none"/>
              </w:rPr>
              <w:t>%</w:t>
            </w:r>
          </w:p>
        </w:tc>
        <w:tc>
          <w:tcPr>
            <w:tcW w:w="1534" w:type="dxa"/>
            <w:tcBorders>
              <w:tl2br w:val="nil"/>
              <w:tr2bl w:val="nil"/>
            </w:tcBorders>
            <w:shd w:val="clear" w:color="auto" w:fill="auto"/>
            <w:vAlign w:val="center"/>
          </w:tcPr>
          <w:p>
            <w:pPr>
              <w:widowControl/>
              <w:jc w:val="center"/>
              <w:textAlignment w:val="center"/>
              <w:rPr>
                <w:rFonts w:hint="default" w:ascii="Times New Roman" w:hAnsi="Times New Roman"/>
                <w:kern w:val="0"/>
                <w:szCs w:val="21"/>
                <w:highlight w:val="none"/>
                <w:lang w:val="en-US"/>
              </w:rPr>
            </w:pPr>
          </w:p>
        </w:tc>
        <w:tc>
          <w:tcPr>
            <w:tcW w:w="1552" w:type="dxa"/>
            <w:tcBorders>
              <w:tl2br w:val="nil"/>
              <w:tr2bl w:val="nil"/>
            </w:tcBorders>
            <w:vAlign w:val="center"/>
          </w:tcPr>
          <w:p>
            <w:pPr>
              <w:widowControl/>
              <w:jc w:val="right"/>
              <w:rPr>
                <w:rFonts w:ascii="宋体" w:hAnsi="宋体"/>
                <w:kern w:val="0"/>
                <w:szCs w:val="21"/>
                <w:highlight w:val="none"/>
              </w:rPr>
            </w:pPr>
            <w:r>
              <w:rPr>
                <w:rFonts w:hint="eastAsia" w:ascii="宋体" w:hAnsi="宋体"/>
                <w:color w:val="000000"/>
                <w:szCs w:val="21"/>
                <w:highlight w:val="none"/>
              </w:rPr>
              <w:t xml:space="preserve">60,090,000.00 </w:t>
            </w:r>
          </w:p>
        </w:tc>
        <w:tc>
          <w:tcPr>
            <w:tcW w:w="1155" w:type="dxa"/>
            <w:tcBorders>
              <w:tl2br w:val="nil"/>
              <w:tr2bl w:val="nil"/>
            </w:tcBorders>
            <w:vAlign w:val="center"/>
          </w:tcPr>
          <w:p>
            <w:pPr>
              <w:widowControl/>
              <w:jc w:val="center"/>
              <w:textAlignment w:val="center"/>
              <w:rPr>
                <w:rFonts w:asciiTheme="minorEastAsia" w:hAnsiTheme="minorEastAsia" w:eastAsiaTheme="minorEastAsia"/>
                <w:kern w:val="0"/>
                <w:szCs w:val="21"/>
                <w:highlight w:val="none"/>
              </w:rPr>
            </w:pPr>
            <w:r>
              <w:rPr>
                <w:rFonts w:hint="eastAsia" w:ascii="宋体" w:hAnsi="宋体" w:cs="宋体"/>
                <w:color w:val="000000"/>
                <w:kern w:val="0"/>
                <w:sz w:val="22"/>
                <w:highlight w:val="none"/>
                <w:lang w:bidi="ar"/>
              </w:rPr>
              <w:t>47.893%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420" w:type="dxa"/>
            <w:tcBorders>
              <w:tl2br w:val="nil"/>
              <w:tr2bl w:val="nil"/>
            </w:tcBorders>
            <w:shd w:val="clear" w:color="auto" w:fill="auto"/>
            <w:vAlign w:val="center"/>
          </w:tcPr>
          <w:p>
            <w:pPr>
              <w:widowControl/>
              <w:jc w:val="center"/>
              <w:rPr>
                <w:rFonts w:ascii="Times New Roman" w:hAnsi="Times New Roman"/>
                <w:kern w:val="0"/>
                <w:szCs w:val="21"/>
                <w:highlight w:val="none"/>
              </w:rPr>
            </w:pPr>
            <w:r>
              <w:rPr>
                <w:rFonts w:ascii="Times New Roman" w:hAnsi="Times New Roman"/>
                <w:kern w:val="0"/>
                <w:szCs w:val="21"/>
                <w:highlight w:val="none"/>
              </w:rPr>
              <w:t>2</w:t>
            </w:r>
          </w:p>
        </w:tc>
        <w:tc>
          <w:tcPr>
            <w:tcW w:w="2465" w:type="dxa"/>
            <w:tcBorders>
              <w:tl2br w:val="nil"/>
              <w:tr2bl w:val="nil"/>
            </w:tcBorders>
            <w:shd w:val="clear" w:color="auto" w:fill="auto"/>
            <w:vAlign w:val="center"/>
          </w:tcPr>
          <w:p>
            <w:pPr>
              <w:widowControl/>
              <w:jc w:val="center"/>
              <w:textAlignment w:val="center"/>
              <w:rPr>
                <w:rFonts w:ascii="宋体" w:hAnsi="宋体" w:cs="宋体"/>
                <w:szCs w:val="21"/>
                <w:highlight w:val="none"/>
              </w:rPr>
            </w:pPr>
            <w:r>
              <w:rPr>
                <w:rFonts w:ascii="仿宋_GB2312" w:hAnsi="宋体" w:eastAsia="仿宋_GB2312" w:cs="仿宋_GB2312"/>
                <w:color w:val="000000"/>
                <w:kern w:val="0"/>
                <w:szCs w:val="21"/>
                <w:highlight w:val="none"/>
                <w:lang w:bidi="ar"/>
              </w:rPr>
              <w:t>台州市国有资产投资集团有限公司</w:t>
            </w:r>
          </w:p>
        </w:tc>
        <w:tc>
          <w:tcPr>
            <w:tcW w:w="1612" w:type="dxa"/>
            <w:tcBorders>
              <w:tl2br w:val="nil"/>
              <w:tr2bl w:val="nil"/>
            </w:tcBorders>
            <w:vAlign w:val="center"/>
          </w:tcPr>
          <w:p>
            <w:pPr>
              <w:jc w:val="center"/>
              <w:rPr>
                <w:rFonts w:ascii="宋体" w:hAnsi="宋体"/>
                <w:kern w:val="0"/>
                <w:szCs w:val="21"/>
                <w:highlight w:val="none"/>
              </w:rPr>
            </w:pPr>
            <w:r>
              <w:rPr>
                <w:rFonts w:hint="eastAsia" w:ascii="仿宋_GB2312" w:eastAsia="仿宋_GB2312"/>
                <w:szCs w:val="21"/>
                <w:highlight w:val="none"/>
              </w:rPr>
              <w:t xml:space="preserve">2,000,000.00 </w:t>
            </w:r>
          </w:p>
        </w:tc>
        <w:tc>
          <w:tcPr>
            <w:tcW w:w="1102" w:type="dxa"/>
            <w:tcBorders>
              <w:tl2br w:val="nil"/>
              <w:tr2bl w:val="nil"/>
            </w:tcBorders>
            <w:vAlign w:val="center"/>
          </w:tcPr>
          <w:p>
            <w:pPr>
              <w:pStyle w:val="33"/>
              <w:spacing w:line="500" w:lineRule="exact"/>
              <w:jc w:val="center"/>
              <w:rPr>
                <w:rFonts w:ascii="Times New Roman" w:hAnsi="Times New Roman"/>
                <w:kern w:val="0"/>
                <w:szCs w:val="21"/>
                <w:highlight w:val="none"/>
              </w:rPr>
            </w:pPr>
            <w:r>
              <w:rPr>
                <w:rFonts w:hAnsi="宋体"/>
                <w:sz w:val="21"/>
                <w:szCs w:val="21"/>
                <w:highlight w:val="none"/>
              </w:rPr>
              <w:t>2.19%</w:t>
            </w:r>
          </w:p>
        </w:tc>
        <w:tc>
          <w:tcPr>
            <w:tcW w:w="1534" w:type="dxa"/>
            <w:tcBorders>
              <w:tl2br w:val="nil"/>
              <w:tr2bl w:val="nil"/>
            </w:tcBorders>
            <w:shd w:val="clear" w:color="auto" w:fill="auto"/>
            <w:vAlign w:val="center"/>
          </w:tcPr>
          <w:p>
            <w:pPr>
              <w:widowControl/>
              <w:jc w:val="center"/>
              <w:textAlignment w:val="center"/>
              <w:rPr>
                <w:rFonts w:hint="default" w:ascii="Times New Roman" w:hAnsi="Times New Roman"/>
                <w:kern w:val="0"/>
                <w:szCs w:val="21"/>
                <w:highlight w:val="none"/>
                <w:lang w:val="en-US"/>
              </w:rPr>
            </w:pPr>
          </w:p>
        </w:tc>
        <w:tc>
          <w:tcPr>
            <w:tcW w:w="1552" w:type="dxa"/>
            <w:tcBorders>
              <w:tl2br w:val="nil"/>
              <w:tr2bl w:val="nil"/>
            </w:tcBorders>
            <w:vAlign w:val="center"/>
          </w:tcPr>
          <w:p>
            <w:pPr>
              <w:widowControl/>
              <w:jc w:val="right"/>
              <w:rPr>
                <w:rFonts w:ascii="宋体" w:hAnsi="宋体"/>
                <w:kern w:val="0"/>
                <w:szCs w:val="21"/>
                <w:highlight w:val="none"/>
              </w:rPr>
            </w:pPr>
            <w:r>
              <w:rPr>
                <w:rFonts w:hint="eastAsia" w:ascii="宋体" w:hAnsi="宋体"/>
                <w:color w:val="000000"/>
                <w:szCs w:val="21"/>
                <w:highlight w:val="none"/>
              </w:rPr>
              <w:t xml:space="preserve">2,000,000.00 </w:t>
            </w:r>
          </w:p>
        </w:tc>
        <w:tc>
          <w:tcPr>
            <w:tcW w:w="1155" w:type="dxa"/>
            <w:tcBorders>
              <w:tl2br w:val="nil"/>
              <w:tr2bl w:val="nil"/>
            </w:tcBorders>
            <w:vAlign w:val="center"/>
          </w:tcPr>
          <w:p>
            <w:pPr>
              <w:widowControl/>
              <w:jc w:val="center"/>
              <w:textAlignment w:val="center"/>
              <w:rPr>
                <w:rFonts w:asciiTheme="minorEastAsia" w:hAnsiTheme="minorEastAsia" w:eastAsiaTheme="minorEastAsia"/>
                <w:kern w:val="0"/>
                <w:szCs w:val="21"/>
                <w:highlight w:val="none"/>
              </w:rPr>
            </w:pPr>
            <w:r>
              <w:rPr>
                <w:rFonts w:hint="eastAsia" w:ascii="宋体" w:hAnsi="宋体" w:cs="宋体"/>
                <w:color w:val="000000"/>
                <w:kern w:val="0"/>
                <w:sz w:val="22"/>
                <w:highlight w:val="none"/>
                <w:lang w:bidi="ar"/>
              </w:rPr>
              <w:t>1.594%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420" w:type="dxa"/>
            <w:tcBorders>
              <w:tl2br w:val="nil"/>
              <w:tr2bl w:val="nil"/>
            </w:tcBorders>
            <w:shd w:val="clear" w:color="auto" w:fill="auto"/>
            <w:vAlign w:val="center"/>
          </w:tcPr>
          <w:p>
            <w:pPr>
              <w:widowControl/>
              <w:jc w:val="center"/>
              <w:rPr>
                <w:rFonts w:ascii="Times New Roman" w:hAnsi="Times New Roman"/>
                <w:kern w:val="0"/>
                <w:szCs w:val="21"/>
                <w:highlight w:val="none"/>
              </w:rPr>
            </w:pPr>
            <w:r>
              <w:rPr>
                <w:rFonts w:ascii="Times New Roman" w:hAnsi="Times New Roman"/>
                <w:kern w:val="0"/>
                <w:szCs w:val="21"/>
                <w:highlight w:val="none"/>
              </w:rPr>
              <w:t>3</w:t>
            </w:r>
          </w:p>
        </w:tc>
        <w:tc>
          <w:tcPr>
            <w:tcW w:w="2465" w:type="dxa"/>
            <w:tcBorders>
              <w:tl2br w:val="nil"/>
              <w:tr2bl w:val="nil"/>
            </w:tcBorders>
            <w:shd w:val="clear" w:color="auto" w:fill="auto"/>
            <w:vAlign w:val="center"/>
          </w:tcPr>
          <w:p>
            <w:pPr>
              <w:widowControl/>
              <w:jc w:val="center"/>
              <w:textAlignment w:val="center"/>
              <w:rPr>
                <w:rFonts w:ascii="宋体" w:hAnsi="宋体" w:cs="宋体"/>
                <w:szCs w:val="21"/>
                <w:highlight w:val="none"/>
              </w:rPr>
            </w:pPr>
            <w:r>
              <w:rPr>
                <w:rFonts w:ascii="仿宋_GB2312" w:hAnsi="宋体" w:eastAsia="仿宋_GB2312" w:cs="仿宋_GB2312"/>
                <w:color w:val="000000"/>
                <w:kern w:val="0"/>
                <w:szCs w:val="21"/>
                <w:highlight w:val="none"/>
                <w:lang w:bidi="ar"/>
              </w:rPr>
              <w:t>台州市椒江区基础设施投资公司</w:t>
            </w:r>
          </w:p>
        </w:tc>
        <w:tc>
          <w:tcPr>
            <w:tcW w:w="1612" w:type="dxa"/>
            <w:tcBorders>
              <w:tl2br w:val="nil"/>
              <w:tr2bl w:val="nil"/>
            </w:tcBorders>
            <w:shd w:val="clear" w:color="auto" w:fill="auto"/>
            <w:vAlign w:val="center"/>
          </w:tcPr>
          <w:p>
            <w:pPr>
              <w:jc w:val="center"/>
              <w:rPr>
                <w:rFonts w:ascii="宋体" w:hAnsi="宋体"/>
                <w:kern w:val="0"/>
                <w:szCs w:val="21"/>
                <w:highlight w:val="none"/>
              </w:rPr>
            </w:pPr>
            <w:r>
              <w:rPr>
                <w:rFonts w:hint="eastAsia" w:ascii="仿宋_GB2312" w:eastAsia="仿宋_GB2312"/>
                <w:szCs w:val="21"/>
                <w:highlight w:val="none"/>
              </w:rPr>
              <w:t xml:space="preserve">2,000,000.00 </w:t>
            </w:r>
          </w:p>
        </w:tc>
        <w:tc>
          <w:tcPr>
            <w:tcW w:w="1102" w:type="dxa"/>
            <w:tcBorders>
              <w:tl2br w:val="nil"/>
              <w:tr2bl w:val="nil"/>
            </w:tcBorders>
            <w:shd w:val="clear" w:color="auto" w:fill="auto"/>
            <w:vAlign w:val="center"/>
          </w:tcPr>
          <w:p>
            <w:pPr>
              <w:pStyle w:val="33"/>
              <w:spacing w:line="500" w:lineRule="exact"/>
              <w:jc w:val="center"/>
              <w:rPr>
                <w:rFonts w:ascii="Times New Roman" w:hAnsi="Times New Roman"/>
                <w:kern w:val="0"/>
                <w:szCs w:val="21"/>
                <w:highlight w:val="none"/>
              </w:rPr>
            </w:pPr>
            <w:r>
              <w:rPr>
                <w:rFonts w:hAnsi="宋体"/>
                <w:sz w:val="21"/>
                <w:szCs w:val="21"/>
                <w:highlight w:val="none"/>
              </w:rPr>
              <w:t>2.19%</w:t>
            </w:r>
          </w:p>
        </w:tc>
        <w:tc>
          <w:tcPr>
            <w:tcW w:w="1534" w:type="dxa"/>
            <w:tcBorders>
              <w:tl2br w:val="nil"/>
              <w:tr2bl w:val="nil"/>
            </w:tcBorders>
            <w:shd w:val="clear" w:color="auto" w:fill="auto"/>
            <w:vAlign w:val="center"/>
          </w:tcPr>
          <w:p>
            <w:pPr>
              <w:jc w:val="center"/>
              <w:rPr>
                <w:rFonts w:ascii="Times New Roman" w:hAnsi="Times New Roman"/>
                <w:kern w:val="0"/>
                <w:szCs w:val="21"/>
                <w:highlight w:val="none"/>
              </w:rPr>
            </w:pPr>
          </w:p>
        </w:tc>
        <w:tc>
          <w:tcPr>
            <w:tcW w:w="1552" w:type="dxa"/>
            <w:tcBorders>
              <w:tl2br w:val="nil"/>
              <w:tr2bl w:val="nil"/>
            </w:tcBorders>
            <w:vAlign w:val="center"/>
          </w:tcPr>
          <w:p>
            <w:pPr>
              <w:widowControl/>
              <w:jc w:val="right"/>
              <w:rPr>
                <w:rFonts w:ascii="宋体" w:hAnsi="宋体"/>
                <w:kern w:val="0"/>
                <w:szCs w:val="21"/>
                <w:highlight w:val="none"/>
              </w:rPr>
            </w:pPr>
            <w:r>
              <w:rPr>
                <w:rFonts w:hint="eastAsia" w:ascii="宋体" w:hAnsi="宋体"/>
                <w:color w:val="000000"/>
                <w:szCs w:val="21"/>
                <w:highlight w:val="none"/>
              </w:rPr>
              <w:t xml:space="preserve">2,000,000.00 </w:t>
            </w:r>
          </w:p>
        </w:tc>
        <w:tc>
          <w:tcPr>
            <w:tcW w:w="1155" w:type="dxa"/>
            <w:tcBorders>
              <w:tl2br w:val="nil"/>
              <w:tr2bl w:val="nil"/>
            </w:tcBorders>
            <w:vAlign w:val="center"/>
          </w:tcPr>
          <w:p>
            <w:pPr>
              <w:widowControl/>
              <w:jc w:val="center"/>
              <w:textAlignment w:val="center"/>
              <w:rPr>
                <w:rFonts w:asciiTheme="minorEastAsia" w:hAnsiTheme="minorEastAsia" w:eastAsiaTheme="minorEastAsia"/>
                <w:kern w:val="0"/>
                <w:szCs w:val="21"/>
                <w:highlight w:val="none"/>
              </w:rPr>
            </w:pPr>
            <w:r>
              <w:rPr>
                <w:rFonts w:hint="eastAsia" w:ascii="宋体" w:hAnsi="宋体" w:cs="宋体"/>
                <w:color w:val="000000"/>
                <w:kern w:val="0"/>
                <w:sz w:val="22"/>
                <w:highlight w:val="none"/>
                <w:lang w:bidi="ar"/>
              </w:rPr>
              <w:t>1.594%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420" w:type="dxa"/>
            <w:tcBorders>
              <w:tl2br w:val="nil"/>
              <w:tr2bl w:val="nil"/>
            </w:tcBorders>
            <w:shd w:val="clear" w:color="auto" w:fill="auto"/>
            <w:vAlign w:val="center"/>
          </w:tcPr>
          <w:p>
            <w:pPr>
              <w:widowControl/>
              <w:jc w:val="center"/>
              <w:rPr>
                <w:rFonts w:ascii="Times New Roman" w:hAnsi="Times New Roman"/>
                <w:kern w:val="0"/>
                <w:szCs w:val="21"/>
                <w:highlight w:val="none"/>
              </w:rPr>
            </w:pPr>
            <w:r>
              <w:rPr>
                <w:rFonts w:hint="eastAsia" w:ascii="Times New Roman" w:hAnsi="Times New Roman"/>
                <w:kern w:val="0"/>
                <w:szCs w:val="21"/>
                <w:highlight w:val="none"/>
              </w:rPr>
              <w:t>4</w:t>
            </w:r>
          </w:p>
        </w:tc>
        <w:tc>
          <w:tcPr>
            <w:tcW w:w="2465" w:type="dxa"/>
            <w:tcBorders>
              <w:tl2br w:val="nil"/>
              <w:tr2bl w:val="nil"/>
            </w:tcBorders>
            <w:shd w:val="clear" w:color="auto" w:fill="auto"/>
            <w:vAlign w:val="center"/>
          </w:tcPr>
          <w:p>
            <w:pPr>
              <w:widowControl/>
              <w:jc w:val="center"/>
              <w:textAlignment w:val="center"/>
              <w:rPr>
                <w:rFonts w:ascii="宋体" w:hAnsi="宋体" w:cs="宋体"/>
                <w:szCs w:val="21"/>
                <w:highlight w:val="none"/>
              </w:rPr>
            </w:pPr>
            <w:r>
              <w:rPr>
                <w:rFonts w:ascii="仿宋_GB2312" w:hAnsi="宋体" w:eastAsia="仿宋_GB2312" w:cs="仿宋_GB2312"/>
                <w:color w:val="000000"/>
                <w:kern w:val="0"/>
                <w:szCs w:val="21"/>
                <w:highlight w:val="none"/>
                <w:lang w:bidi="ar"/>
              </w:rPr>
              <w:t>苏州市玮琪生物科技有限公司</w:t>
            </w:r>
          </w:p>
        </w:tc>
        <w:tc>
          <w:tcPr>
            <w:tcW w:w="1612" w:type="dxa"/>
            <w:tcBorders>
              <w:tl2br w:val="nil"/>
              <w:tr2bl w:val="nil"/>
            </w:tcBorders>
            <w:shd w:val="clear" w:color="auto" w:fill="auto"/>
            <w:vAlign w:val="center"/>
          </w:tcPr>
          <w:p>
            <w:pPr>
              <w:jc w:val="center"/>
              <w:rPr>
                <w:rFonts w:ascii="宋体" w:hAnsi="宋体"/>
                <w:kern w:val="0"/>
                <w:szCs w:val="21"/>
                <w:highlight w:val="none"/>
              </w:rPr>
            </w:pPr>
            <w:r>
              <w:rPr>
                <w:rFonts w:hint="eastAsia" w:ascii="仿宋_GB2312" w:eastAsia="仿宋_GB2312"/>
                <w:szCs w:val="21"/>
                <w:highlight w:val="none"/>
              </w:rPr>
              <w:t xml:space="preserve">6,620,000.00 </w:t>
            </w:r>
          </w:p>
        </w:tc>
        <w:tc>
          <w:tcPr>
            <w:tcW w:w="1102" w:type="dxa"/>
            <w:tcBorders>
              <w:tl2br w:val="nil"/>
              <w:tr2bl w:val="nil"/>
            </w:tcBorders>
            <w:shd w:val="clear" w:color="auto" w:fill="auto"/>
            <w:vAlign w:val="center"/>
          </w:tcPr>
          <w:p>
            <w:pPr>
              <w:spacing w:line="500" w:lineRule="exact"/>
              <w:jc w:val="center"/>
              <w:rPr>
                <w:rFonts w:ascii="Times New Roman" w:hAnsi="Times New Roman"/>
                <w:kern w:val="0"/>
                <w:szCs w:val="21"/>
                <w:highlight w:val="none"/>
              </w:rPr>
            </w:pPr>
            <w:r>
              <w:rPr>
                <w:rFonts w:ascii="宋体" w:hAnsi="宋体" w:cs="宋体"/>
                <w:szCs w:val="21"/>
                <w:highlight w:val="none"/>
              </w:rPr>
              <w:t>7.24%</w:t>
            </w:r>
          </w:p>
        </w:tc>
        <w:tc>
          <w:tcPr>
            <w:tcW w:w="1534" w:type="dxa"/>
            <w:tcBorders>
              <w:tl2br w:val="nil"/>
              <w:tr2bl w:val="nil"/>
            </w:tcBorders>
            <w:shd w:val="clear" w:color="auto" w:fill="auto"/>
            <w:vAlign w:val="center"/>
          </w:tcPr>
          <w:p>
            <w:pPr>
              <w:widowControl/>
              <w:jc w:val="center"/>
              <w:textAlignment w:val="center"/>
              <w:rPr>
                <w:rFonts w:hint="default" w:ascii="Times New Roman" w:hAnsi="Times New Roman" w:eastAsia="Times New Roman"/>
                <w:kern w:val="0"/>
                <w:szCs w:val="21"/>
                <w:highlight w:val="none"/>
                <w:lang w:val="en-US"/>
              </w:rPr>
            </w:pPr>
          </w:p>
        </w:tc>
        <w:tc>
          <w:tcPr>
            <w:tcW w:w="1552" w:type="dxa"/>
            <w:tcBorders>
              <w:tl2br w:val="nil"/>
              <w:tr2bl w:val="nil"/>
            </w:tcBorders>
            <w:vAlign w:val="center"/>
          </w:tcPr>
          <w:p>
            <w:pPr>
              <w:widowControl/>
              <w:jc w:val="right"/>
              <w:rPr>
                <w:rFonts w:ascii="宋体" w:hAnsi="宋体"/>
                <w:kern w:val="0"/>
                <w:szCs w:val="21"/>
                <w:highlight w:val="none"/>
              </w:rPr>
            </w:pPr>
            <w:r>
              <w:rPr>
                <w:rFonts w:hint="eastAsia" w:ascii="宋体" w:hAnsi="宋体"/>
                <w:color w:val="000000"/>
                <w:szCs w:val="21"/>
                <w:highlight w:val="none"/>
              </w:rPr>
              <w:t xml:space="preserve">6,620,000.00 </w:t>
            </w:r>
          </w:p>
        </w:tc>
        <w:tc>
          <w:tcPr>
            <w:tcW w:w="1155" w:type="dxa"/>
            <w:tcBorders>
              <w:tl2br w:val="nil"/>
              <w:tr2bl w:val="nil"/>
            </w:tcBorders>
            <w:vAlign w:val="center"/>
          </w:tcPr>
          <w:p>
            <w:pPr>
              <w:widowControl/>
              <w:jc w:val="center"/>
              <w:textAlignment w:val="center"/>
              <w:rPr>
                <w:rFonts w:asciiTheme="minorEastAsia" w:hAnsiTheme="minorEastAsia" w:eastAsiaTheme="minorEastAsia"/>
                <w:kern w:val="0"/>
                <w:szCs w:val="21"/>
                <w:highlight w:val="none"/>
              </w:rPr>
            </w:pPr>
            <w:r>
              <w:rPr>
                <w:rFonts w:hint="eastAsia" w:ascii="宋体" w:hAnsi="宋体" w:cs="宋体"/>
                <w:color w:val="000000"/>
                <w:kern w:val="0"/>
                <w:sz w:val="22"/>
                <w:highlight w:val="none"/>
                <w:lang w:bidi="ar"/>
              </w:rPr>
              <w:t>5.276%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420" w:type="dxa"/>
            <w:tcBorders>
              <w:tl2br w:val="nil"/>
              <w:tr2bl w:val="nil"/>
            </w:tcBorders>
            <w:shd w:val="clear" w:color="auto" w:fill="auto"/>
            <w:vAlign w:val="center"/>
          </w:tcPr>
          <w:p>
            <w:pPr>
              <w:widowControl/>
              <w:jc w:val="center"/>
              <w:rPr>
                <w:rFonts w:ascii="Times New Roman" w:hAnsi="Times New Roman"/>
                <w:kern w:val="0"/>
                <w:szCs w:val="21"/>
                <w:highlight w:val="none"/>
              </w:rPr>
            </w:pPr>
            <w:r>
              <w:rPr>
                <w:rFonts w:hint="eastAsia" w:ascii="Times New Roman" w:hAnsi="Times New Roman"/>
                <w:kern w:val="0"/>
                <w:szCs w:val="21"/>
                <w:highlight w:val="none"/>
              </w:rPr>
              <w:t>5</w:t>
            </w:r>
          </w:p>
        </w:tc>
        <w:tc>
          <w:tcPr>
            <w:tcW w:w="2465" w:type="dxa"/>
            <w:tcBorders>
              <w:tl2br w:val="nil"/>
              <w:tr2bl w:val="nil"/>
            </w:tcBorders>
            <w:shd w:val="clear" w:color="auto" w:fill="auto"/>
            <w:vAlign w:val="center"/>
          </w:tcPr>
          <w:p>
            <w:pPr>
              <w:widowControl/>
              <w:jc w:val="center"/>
              <w:textAlignment w:val="center"/>
              <w:rPr>
                <w:rFonts w:ascii="宋体" w:hAnsi="宋体" w:cs="宋体"/>
                <w:szCs w:val="21"/>
                <w:highlight w:val="none"/>
              </w:rPr>
            </w:pPr>
            <w:r>
              <w:rPr>
                <w:rFonts w:ascii="仿宋_GB2312" w:hAnsi="宋体" w:eastAsia="仿宋_GB2312" w:cs="仿宋_GB2312"/>
                <w:color w:val="000000"/>
                <w:kern w:val="0"/>
                <w:szCs w:val="21"/>
                <w:highlight w:val="none"/>
                <w:lang w:bidi="ar"/>
              </w:rPr>
              <w:t>中国科学院长春应用化学科技总公司</w:t>
            </w:r>
          </w:p>
        </w:tc>
        <w:tc>
          <w:tcPr>
            <w:tcW w:w="1612" w:type="dxa"/>
            <w:tcBorders>
              <w:tl2br w:val="nil"/>
              <w:tr2bl w:val="nil"/>
            </w:tcBorders>
            <w:shd w:val="clear" w:color="auto" w:fill="auto"/>
            <w:vAlign w:val="center"/>
          </w:tcPr>
          <w:p>
            <w:pPr>
              <w:jc w:val="center"/>
              <w:rPr>
                <w:rFonts w:ascii="宋体" w:hAnsi="宋体"/>
                <w:kern w:val="0"/>
                <w:szCs w:val="21"/>
                <w:highlight w:val="none"/>
              </w:rPr>
            </w:pPr>
            <w:r>
              <w:rPr>
                <w:rFonts w:hint="eastAsia" w:ascii="仿宋_GB2312" w:eastAsia="仿宋_GB2312"/>
                <w:szCs w:val="21"/>
                <w:highlight w:val="none"/>
              </w:rPr>
              <w:t xml:space="preserve">9,200,000.00 </w:t>
            </w:r>
          </w:p>
        </w:tc>
        <w:tc>
          <w:tcPr>
            <w:tcW w:w="1102" w:type="dxa"/>
            <w:tcBorders>
              <w:tl2br w:val="nil"/>
              <w:tr2bl w:val="nil"/>
            </w:tcBorders>
            <w:shd w:val="clear" w:color="auto" w:fill="auto"/>
            <w:vAlign w:val="center"/>
          </w:tcPr>
          <w:p>
            <w:pPr>
              <w:pStyle w:val="33"/>
              <w:spacing w:line="500" w:lineRule="exact"/>
              <w:jc w:val="center"/>
              <w:rPr>
                <w:rFonts w:ascii="Times New Roman" w:hAnsi="Times New Roman"/>
                <w:kern w:val="0"/>
                <w:szCs w:val="21"/>
                <w:highlight w:val="none"/>
              </w:rPr>
            </w:pPr>
            <w:r>
              <w:rPr>
                <w:rFonts w:hAnsi="宋体"/>
                <w:sz w:val="21"/>
                <w:szCs w:val="21"/>
                <w:highlight w:val="none"/>
              </w:rPr>
              <w:t>10.06%</w:t>
            </w:r>
          </w:p>
        </w:tc>
        <w:tc>
          <w:tcPr>
            <w:tcW w:w="1534" w:type="dxa"/>
            <w:tcBorders>
              <w:tl2br w:val="nil"/>
              <w:tr2bl w:val="nil"/>
            </w:tcBorders>
            <w:shd w:val="clear" w:color="auto" w:fill="auto"/>
            <w:vAlign w:val="center"/>
          </w:tcPr>
          <w:p>
            <w:pPr>
              <w:jc w:val="center"/>
              <w:rPr>
                <w:rFonts w:ascii="Times New Roman" w:hAnsi="Times New Roman" w:eastAsia="Times New Roman"/>
                <w:kern w:val="0"/>
                <w:szCs w:val="21"/>
                <w:highlight w:val="none"/>
              </w:rPr>
            </w:pPr>
          </w:p>
        </w:tc>
        <w:tc>
          <w:tcPr>
            <w:tcW w:w="1552" w:type="dxa"/>
            <w:tcBorders>
              <w:tl2br w:val="nil"/>
              <w:tr2bl w:val="nil"/>
            </w:tcBorders>
            <w:vAlign w:val="center"/>
          </w:tcPr>
          <w:p>
            <w:pPr>
              <w:widowControl/>
              <w:jc w:val="right"/>
              <w:rPr>
                <w:rFonts w:ascii="宋体" w:hAnsi="宋体"/>
                <w:kern w:val="0"/>
                <w:szCs w:val="21"/>
                <w:highlight w:val="none"/>
              </w:rPr>
            </w:pPr>
            <w:r>
              <w:rPr>
                <w:rFonts w:hint="eastAsia" w:ascii="宋体" w:hAnsi="宋体"/>
                <w:color w:val="000000"/>
                <w:szCs w:val="21"/>
                <w:highlight w:val="none"/>
              </w:rPr>
              <w:t xml:space="preserve">9,200,000.00 </w:t>
            </w:r>
          </w:p>
        </w:tc>
        <w:tc>
          <w:tcPr>
            <w:tcW w:w="1155" w:type="dxa"/>
            <w:tcBorders>
              <w:tl2br w:val="nil"/>
              <w:tr2bl w:val="nil"/>
            </w:tcBorders>
            <w:vAlign w:val="center"/>
          </w:tcPr>
          <w:p>
            <w:pPr>
              <w:widowControl/>
              <w:jc w:val="center"/>
              <w:textAlignment w:val="center"/>
              <w:rPr>
                <w:rFonts w:asciiTheme="minorEastAsia" w:hAnsiTheme="minorEastAsia" w:eastAsiaTheme="minorEastAsia"/>
                <w:kern w:val="0"/>
                <w:szCs w:val="21"/>
                <w:highlight w:val="none"/>
              </w:rPr>
            </w:pPr>
            <w:r>
              <w:rPr>
                <w:rFonts w:hint="eastAsia" w:ascii="宋体" w:hAnsi="宋体" w:cs="宋体"/>
                <w:color w:val="000000"/>
                <w:kern w:val="0"/>
                <w:sz w:val="22"/>
                <w:highlight w:val="none"/>
                <w:lang w:bidi="ar"/>
              </w:rPr>
              <w:t>7.333%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420" w:type="dxa"/>
            <w:tcBorders>
              <w:tl2br w:val="nil"/>
              <w:tr2bl w:val="nil"/>
            </w:tcBorders>
            <w:shd w:val="clear" w:color="auto" w:fill="auto"/>
            <w:vAlign w:val="center"/>
          </w:tcPr>
          <w:p>
            <w:pPr>
              <w:widowControl/>
              <w:jc w:val="center"/>
              <w:rPr>
                <w:rFonts w:ascii="Times New Roman" w:hAnsi="Times New Roman"/>
                <w:kern w:val="0"/>
                <w:szCs w:val="21"/>
                <w:highlight w:val="none"/>
              </w:rPr>
            </w:pPr>
            <w:r>
              <w:rPr>
                <w:rFonts w:hint="eastAsia" w:ascii="Times New Roman" w:hAnsi="Times New Roman"/>
                <w:kern w:val="0"/>
                <w:szCs w:val="21"/>
                <w:highlight w:val="none"/>
              </w:rPr>
              <w:t>6</w:t>
            </w:r>
          </w:p>
        </w:tc>
        <w:tc>
          <w:tcPr>
            <w:tcW w:w="2465" w:type="dxa"/>
            <w:tcBorders>
              <w:tl2br w:val="nil"/>
              <w:tr2bl w:val="nil"/>
            </w:tcBorders>
            <w:shd w:val="clear" w:color="auto" w:fill="auto"/>
            <w:vAlign w:val="center"/>
          </w:tcPr>
          <w:p>
            <w:pPr>
              <w:widowControl/>
              <w:jc w:val="center"/>
              <w:textAlignment w:val="center"/>
              <w:rPr>
                <w:rFonts w:ascii="宋体" w:hAnsi="宋体" w:cs="宋体"/>
                <w:szCs w:val="21"/>
                <w:highlight w:val="none"/>
                <w:lang w:eastAsia="en-US"/>
              </w:rPr>
            </w:pPr>
            <w:r>
              <w:rPr>
                <w:rFonts w:ascii="仿宋_GB2312" w:hAnsi="宋体" w:eastAsia="仿宋_GB2312" w:cs="仿宋_GB2312"/>
                <w:color w:val="000000"/>
                <w:kern w:val="0"/>
                <w:szCs w:val="21"/>
                <w:highlight w:val="none"/>
                <w:lang w:bidi="ar"/>
              </w:rPr>
              <w:t>边新超</w:t>
            </w:r>
          </w:p>
        </w:tc>
        <w:tc>
          <w:tcPr>
            <w:tcW w:w="1612" w:type="dxa"/>
            <w:tcBorders>
              <w:tl2br w:val="nil"/>
              <w:tr2bl w:val="nil"/>
            </w:tcBorders>
            <w:shd w:val="clear" w:color="auto" w:fill="auto"/>
            <w:vAlign w:val="center"/>
          </w:tcPr>
          <w:p>
            <w:pPr>
              <w:jc w:val="center"/>
              <w:rPr>
                <w:rFonts w:ascii="宋体" w:hAnsi="宋体"/>
                <w:kern w:val="0"/>
                <w:szCs w:val="21"/>
                <w:highlight w:val="none"/>
              </w:rPr>
            </w:pPr>
            <w:r>
              <w:rPr>
                <w:rFonts w:hint="eastAsia" w:ascii="仿宋_GB2312" w:eastAsia="仿宋_GB2312"/>
                <w:szCs w:val="21"/>
                <w:highlight w:val="none"/>
              </w:rPr>
              <w:t xml:space="preserve">3,000,000.00 </w:t>
            </w:r>
          </w:p>
        </w:tc>
        <w:tc>
          <w:tcPr>
            <w:tcW w:w="1102" w:type="dxa"/>
            <w:tcBorders>
              <w:tl2br w:val="nil"/>
              <w:tr2bl w:val="nil"/>
            </w:tcBorders>
            <w:shd w:val="clear" w:color="auto" w:fill="auto"/>
            <w:vAlign w:val="center"/>
          </w:tcPr>
          <w:p>
            <w:pPr>
              <w:pStyle w:val="33"/>
              <w:spacing w:line="500" w:lineRule="exact"/>
              <w:jc w:val="center"/>
              <w:rPr>
                <w:rFonts w:ascii="Times New Roman" w:hAnsi="Times New Roman"/>
                <w:kern w:val="0"/>
                <w:szCs w:val="21"/>
                <w:highlight w:val="none"/>
              </w:rPr>
            </w:pPr>
            <w:r>
              <w:rPr>
                <w:rFonts w:hAnsi="宋体"/>
                <w:sz w:val="21"/>
                <w:szCs w:val="21"/>
                <w:highlight w:val="none"/>
              </w:rPr>
              <w:t>3.28%</w:t>
            </w:r>
          </w:p>
        </w:tc>
        <w:tc>
          <w:tcPr>
            <w:tcW w:w="1534" w:type="dxa"/>
            <w:tcBorders>
              <w:tl2br w:val="nil"/>
              <w:tr2bl w:val="nil"/>
            </w:tcBorders>
            <w:shd w:val="clear" w:color="auto" w:fill="auto"/>
            <w:vAlign w:val="center"/>
          </w:tcPr>
          <w:p>
            <w:pPr>
              <w:jc w:val="center"/>
              <w:rPr>
                <w:rFonts w:ascii="Times New Roman" w:hAnsi="Times New Roman" w:eastAsia="Times New Roman"/>
                <w:kern w:val="0"/>
                <w:szCs w:val="21"/>
                <w:highlight w:val="none"/>
                <w:lang w:eastAsia="en-US"/>
              </w:rPr>
            </w:pPr>
          </w:p>
        </w:tc>
        <w:tc>
          <w:tcPr>
            <w:tcW w:w="1552" w:type="dxa"/>
            <w:tcBorders>
              <w:tl2br w:val="nil"/>
              <w:tr2bl w:val="nil"/>
            </w:tcBorders>
            <w:vAlign w:val="center"/>
          </w:tcPr>
          <w:p>
            <w:pPr>
              <w:widowControl/>
              <w:jc w:val="right"/>
              <w:rPr>
                <w:rFonts w:ascii="宋体" w:hAnsi="宋体"/>
                <w:kern w:val="0"/>
                <w:szCs w:val="21"/>
                <w:highlight w:val="none"/>
                <w:lang w:eastAsia="en-US"/>
              </w:rPr>
            </w:pPr>
            <w:r>
              <w:rPr>
                <w:rFonts w:hint="eastAsia" w:ascii="宋体" w:hAnsi="宋体"/>
                <w:color w:val="000000"/>
                <w:szCs w:val="21"/>
                <w:highlight w:val="none"/>
              </w:rPr>
              <w:t xml:space="preserve">3,000,000.00 </w:t>
            </w:r>
          </w:p>
        </w:tc>
        <w:tc>
          <w:tcPr>
            <w:tcW w:w="1155" w:type="dxa"/>
            <w:tcBorders>
              <w:tl2br w:val="nil"/>
              <w:tr2bl w:val="nil"/>
            </w:tcBorders>
            <w:vAlign w:val="center"/>
          </w:tcPr>
          <w:p>
            <w:pPr>
              <w:widowControl/>
              <w:jc w:val="center"/>
              <w:textAlignment w:val="center"/>
              <w:rPr>
                <w:rFonts w:asciiTheme="minorEastAsia" w:hAnsiTheme="minorEastAsia" w:eastAsiaTheme="minorEastAsia"/>
                <w:kern w:val="0"/>
                <w:szCs w:val="21"/>
                <w:highlight w:val="none"/>
                <w:lang w:eastAsia="en-US"/>
              </w:rPr>
            </w:pPr>
            <w:r>
              <w:rPr>
                <w:rFonts w:hint="eastAsia" w:ascii="宋体" w:hAnsi="宋体" w:cs="宋体"/>
                <w:color w:val="000000"/>
                <w:kern w:val="0"/>
                <w:sz w:val="22"/>
                <w:highlight w:val="none"/>
                <w:lang w:bidi="ar"/>
              </w:rPr>
              <w:t>2.391%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420" w:type="dxa"/>
            <w:tcBorders>
              <w:tl2br w:val="nil"/>
              <w:tr2bl w:val="nil"/>
            </w:tcBorders>
            <w:shd w:val="clear" w:color="auto" w:fill="auto"/>
            <w:vAlign w:val="center"/>
          </w:tcPr>
          <w:p>
            <w:pPr>
              <w:widowControl/>
              <w:jc w:val="center"/>
              <w:rPr>
                <w:rFonts w:ascii="Times New Roman" w:hAnsi="Times New Roman"/>
                <w:kern w:val="0"/>
                <w:szCs w:val="21"/>
                <w:highlight w:val="none"/>
              </w:rPr>
            </w:pPr>
            <w:r>
              <w:rPr>
                <w:rFonts w:hint="eastAsia" w:ascii="Times New Roman" w:hAnsi="Times New Roman"/>
                <w:kern w:val="0"/>
                <w:szCs w:val="21"/>
                <w:highlight w:val="none"/>
              </w:rPr>
              <w:t>7</w:t>
            </w:r>
          </w:p>
        </w:tc>
        <w:tc>
          <w:tcPr>
            <w:tcW w:w="2465" w:type="dxa"/>
            <w:tcBorders>
              <w:tl2br w:val="nil"/>
              <w:tr2bl w:val="nil"/>
            </w:tcBorders>
            <w:shd w:val="clear" w:color="auto" w:fill="auto"/>
            <w:vAlign w:val="center"/>
          </w:tcPr>
          <w:p>
            <w:pPr>
              <w:widowControl/>
              <w:jc w:val="center"/>
              <w:textAlignment w:val="center"/>
              <w:rPr>
                <w:rFonts w:ascii="宋体" w:hAnsi="宋体" w:cs="宋体"/>
                <w:szCs w:val="21"/>
                <w:highlight w:val="none"/>
                <w:lang w:eastAsia="en-US"/>
              </w:rPr>
            </w:pPr>
            <w:r>
              <w:rPr>
                <w:rFonts w:ascii="仿宋_GB2312" w:hAnsi="宋体" w:eastAsia="仿宋_GB2312" w:cs="仿宋_GB2312"/>
                <w:color w:val="000000"/>
                <w:kern w:val="0"/>
                <w:szCs w:val="21"/>
                <w:highlight w:val="none"/>
                <w:lang w:bidi="ar"/>
              </w:rPr>
              <w:t>陈志明</w:t>
            </w:r>
          </w:p>
        </w:tc>
        <w:tc>
          <w:tcPr>
            <w:tcW w:w="1612" w:type="dxa"/>
            <w:tcBorders>
              <w:tl2br w:val="nil"/>
              <w:tr2bl w:val="nil"/>
            </w:tcBorders>
            <w:shd w:val="clear" w:color="auto" w:fill="auto"/>
            <w:vAlign w:val="center"/>
          </w:tcPr>
          <w:p>
            <w:pPr>
              <w:jc w:val="center"/>
              <w:rPr>
                <w:rFonts w:ascii="宋体" w:hAnsi="宋体"/>
                <w:kern w:val="0"/>
                <w:szCs w:val="21"/>
                <w:highlight w:val="none"/>
              </w:rPr>
            </w:pPr>
            <w:r>
              <w:rPr>
                <w:rFonts w:hint="eastAsia" w:ascii="仿宋_GB2312" w:eastAsia="仿宋_GB2312"/>
                <w:szCs w:val="21"/>
                <w:highlight w:val="none"/>
              </w:rPr>
              <w:t xml:space="preserve">5,760,000.00 </w:t>
            </w:r>
          </w:p>
        </w:tc>
        <w:tc>
          <w:tcPr>
            <w:tcW w:w="1102" w:type="dxa"/>
            <w:tcBorders>
              <w:tl2br w:val="nil"/>
              <w:tr2bl w:val="nil"/>
            </w:tcBorders>
            <w:shd w:val="clear" w:color="auto" w:fill="auto"/>
            <w:vAlign w:val="center"/>
          </w:tcPr>
          <w:p>
            <w:pPr>
              <w:spacing w:line="500" w:lineRule="exact"/>
              <w:jc w:val="center"/>
              <w:rPr>
                <w:rFonts w:ascii="Times New Roman" w:hAnsi="Times New Roman"/>
                <w:kern w:val="0"/>
                <w:szCs w:val="21"/>
                <w:highlight w:val="none"/>
              </w:rPr>
            </w:pPr>
            <w:r>
              <w:rPr>
                <w:rFonts w:ascii="宋体" w:hAnsi="宋体" w:cs="宋体"/>
                <w:szCs w:val="21"/>
                <w:highlight w:val="none"/>
              </w:rPr>
              <w:t>6.29%</w:t>
            </w:r>
          </w:p>
        </w:tc>
        <w:tc>
          <w:tcPr>
            <w:tcW w:w="1534" w:type="dxa"/>
            <w:tcBorders>
              <w:tl2br w:val="nil"/>
              <w:tr2bl w:val="nil"/>
            </w:tcBorders>
            <w:shd w:val="clear" w:color="auto" w:fill="auto"/>
            <w:vAlign w:val="center"/>
          </w:tcPr>
          <w:p>
            <w:pPr>
              <w:widowControl/>
              <w:jc w:val="center"/>
              <w:textAlignment w:val="center"/>
              <w:rPr>
                <w:rFonts w:hint="default" w:ascii="Times New Roman" w:hAnsi="Times New Roman" w:eastAsia="Times New Roman"/>
                <w:kern w:val="0"/>
                <w:szCs w:val="21"/>
                <w:highlight w:val="none"/>
                <w:lang w:val="en-US" w:eastAsia="en-US"/>
              </w:rPr>
            </w:pPr>
          </w:p>
        </w:tc>
        <w:tc>
          <w:tcPr>
            <w:tcW w:w="1552" w:type="dxa"/>
            <w:tcBorders>
              <w:tl2br w:val="nil"/>
              <w:tr2bl w:val="nil"/>
            </w:tcBorders>
            <w:vAlign w:val="center"/>
          </w:tcPr>
          <w:p>
            <w:pPr>
              <w:widowControl/>
              <w:jc w:val="right"/>
              <w:rPr>
                <w:rFonts w:ascii="宋体" w:hAnsi="宋体"/>
                <w:kern w:val="0"/>
                <w:szCs w:val="21"/>
                <w:highlight w:val="none"/>
                <w:lang w:eastAsia="en-US"/>
              </w:rPr>
            </w:pPr>
            <w:r>
              <w:rPr>
                <w:rFonts w:hint="eastAsia" w:ascii="宋体" w:hAnsi="宋体"/>
                <w:color w:val="000000"/>
                <w:szCs w:val="21"/>
                <w:highlight w:val="none"/>
              </w:rPr>
              <w:t xml:space="preserve">5,760,000.00 </w:t>
            </w:r>
          </w:p>
        </w:tc>
        <w:tc>
          <w:tcPr>
            <w:tcW w:w="1155" w:type="dxa"/>
            <w:tcBorders>
              <w:tl2br w:val="nil"/>
              <w:tr2bl w:val="nil"/>
            </w:tcBorders>
            <w:vAlign w:val="center"/>
          </w:tcPr>
          <w:p>
            <w:pPr>
              <w:widowControl/>
              <w:jc w:val="center"/>
              <w:textAlignment w:val="center"/>
              <w:rPr>
                <w:rFonts w:asciiTheme="minorEastAsia" w:hAnsiTheme="minorEastAsia" w:eastAsiaTheme="minorEastAsia"/>
                <w:kern w:val="0"/>
                <w:szCs w:val="21"/>
                <w:highlight w:val="none"/>
                <w:lang w:eastAsia="en-US"/>
              </w:rPr>
            </w:pPr>
            <w:r>
              <w:rPr>
                <w:rFonts w:hint="eastAsia" w:ascii="宋体" w:hAnsi="宋体" w:cs="宋体"/>
                <w:color w:val="000000"/>
                <w:kern w:val="0"/>
                <w:sz w:val="22"/>
                <w:highlight w:val="none"/>
                <w:lang w:bidi="ar"/>
              </w:rPr>
              <w:t>4.591%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420" w:type="dxa"/>
            <w:tcBorders>
              <w:tl2br w:val="nil"/>
              <w:tr2bl w:val="nil"/>
            </w:tcBorders>
            <w:shd w:val="clear" w:color="auto" w:fill="auto"/>
            <w:vAlign w:val="center"/>
          </w:tcPr>
          <w:p>
            <w:pPr>
              <w:widowControl/>
              <w:jc w:val="center"/>
              <w:rPr>
                <w:rFonts w:ascii="Times New Roman" w:hAnsi="Times New Roman"/>
                <w:kern w:val="0"/>
                <w:szCs w:val="21"/>
                <w:highlight w:val="none"/>
              </w:rPr>
            </w:pPr>
            <w:r>
              <w:rPr>
                <w:rFonts w:hint="eastAsia" w:ascii="Times New Roman" w:hAnsi="Times New Roman"/>
                <w:kern w:val="0"/>
                <w:szCs w:val="21"/>
                <w:highlight w:val="none"/>
              </w:rPr>
              <w:t>8</w:t>
            </w:r>
          </w:p>
        </w:tc>
        <w:tc>
          <w:tcPr>
            <w:tcW w:w="2465" w:type="dxa"/>
            <w:tcBorders>
              <w:tl2br w:val="nil"/>
              <w:tr2bl w:val="nil"/>
            </w:tcBorders>
            <w:shd w:val="clear" w:color="auto" w:fill="auto"/>
            <w:vAlign w:val="center"/>
          </w:tcPr>
          <w:p>
            <w:pPr>
              <w:widowControl/>
              <w:jc w:val="center"/>
              <w:textAlignment w:val="center"/>
              <w:rPr>
                <w:rFonts w:ascii="宋体" w:hAnsi="宋体" w:cs="宋体"/>
                <w:szCs w:val="21"/>
                <w:highlight w:val="none"/>
                <w:lang w:eastAsia="en-US"/>
              </w:rPr>
            </w:pPr>
            <w:r>
              <w:rPr>
                <w:rFonts w:ascii="仿宋_GB2312" w:hAnsi="宋体" w:eastAsia="仿宋_GB2312" w:cs="仿宋_GB2312"/>
                <w:color w:val="000000"/>
                <w:kern w:val="0"/>
                <w:szCs w:val="21"/>
                <w:highlight w:val="none"/>
                <w:lang w:bidi="ar"/>
              </w:rPr>
              <w:t>陈学思</w:t>
            </w:r>
          </w:p>
        </w:tc>
        <w:tc>
          <w:tcPr>
            <w:tcW w:w="1612" w:type="dxa"/>
            <w:tcBorders>
              <w:tl2br w:val="nil"/>
              <w:tr2bl w:val="nil"/>
            </w:tcBorders>
            <w:shd w:val="clear" w:color="auto" w:fill="auto"/>
            <w:vAlign w:val="center"/>
          </w:tcPr>
          <w:p>
            <w:pPr>
              <w:jc w:val="center"/>
              <w:rPr>
                <w:rFonts w:ascii="宋体" w:hAnsi="宋体"/>
                <w:kern w:val="0"/>
                <w:szCs w:val="21"/>
                <w:highlight w:val="none"/>
              </w:rPr>
            </w:pPr>
            <w:r>
              <w:rPr>
                <w:rFonts w:hint="eastAsia" w:ascii="仿宋_GB2312" w:eastAsia="仿宋_GB2312"/>
                <w:szCs w:val="21"/>
                <w:highlight w:val="none"/>
              </w:rPr>
              <w:t xml:space="preserve">800,000.00 </w:t>
            </w:r>
          </w:p>
        </w:tc>
        <w:tc>
          <w:tcPr>
            <w:tcW w:w="1102" w:type="dxa"/>
            <w:tcBorders>
              <w:tl2br w:val="nil"/>
              <w:tr2bl w:val="nil"/>
            </w:tcBorders>
            <w:shd w:val="clear" w:color="auto" w:fill="auto"/>
            <w:vAlign w:val="center"/>
          </w:tcPr>
          <w:p>
            <w:pPr>
              <w:pStyle w:val="33"/>
              <w:spacing w:line="500" w:lineRule="exact"/>
              <w:jc w:val="center"/>
              <w:rPr>
                <w:rFonts w:ascii="Times New Roman" w:hAnsi="Times New Roman"/>
                <w:kern w:val="0"/>
                <w:szCs w:val="21"/>
                <w:highlight w:val="none"/>
              </w:rPr>
            </w:pPr>
            <w:r>
              <w:rPr>
                <w:rFonts w:hAnsi="宋体"/>
                <w:sz w:val="21"/>
                <w:szCs w:val="21"/>
                <w:highlight w:val="none"/>
              </w:rPr>
              <w:t>0.87%</w:t>
            </w:r>
          </w:p>
        </w:tc>
        <w:tc>
          <w:tcPr>
            <w:tcW w:w="1534" w:type="dxa"/>
            <w:tcBorders>
              <w:tl2br w:val="nil"/>
              <w:tr2bl w:val="nil"/>
            </w:tcBorders>
            <w:shd w:val="clear" w:color="auto" w:fill="auto"/>
            <w:vAlign w:val="center"/>
          </w:tcPr>
          <w:p>
            <w:pPr>
              <w:jc w:val="center"/>
              <w:rPr>
                <w:rFonts w:ascii="Times New Roman" w:hAnsi="Times New Roman" w:eastAsia="Times New Roman"/>
                <w:kern w:val="0"/>
                <w:szCs w:val="21"/>
                <w:highlight w:val="none"/>
                <w:lang w:eastAsia="en-US"/>
              </w:rPr>
            </w:pPr>
          </w:p>
        </w:tc>
        <w:tc>
          <w:tcPr>
            <w:tcW w:w="1552" w:type="dxa"/>
            <w:tcBorders>
              <w:tl2br w:val="nil"/>
              <w:tr2bl w:val="nil"/>
            </w:tcBorders>
            <w:vAlign w:val="center"/>
          </w:tcPr>
          <w:p>
            <w:pPr>
              <w:widowControl/>
              <w:jc w:val="right"/>
              <w:rPr>
                <w:rFonts w:ascii="宋体" w:hAnsi="宋体"/>
                <w:kern w:val="0"/>
                <w:szCs w:val="21"/>
                <w:highlight w:val="none"/>
                <w:lang w:eastAsia="en-US"/>
              </w:rPr>
            </w:pPr>
            <w:r>
              <w:rPr>
                <w:rFonts w:hint="eastAsia" w:ascii="宋体" w:hAnsi="宋体"/>
                <w:color w:val="000000"/>
                <w:szCs w:val="21"/>
                <w:highlight w:val="none"/>
              </w:rPr>
              <w:t xml:space="preserve">800,000.00 </w:t>
            </w:r>
          </w:p>
        </w:tc>
        <w:tc>
          <w:tcPr>
            <w:tcW w:w="1155" w:type="dxa"/>
            <w:tcBorders>
              <w:tl2br w:val="nil"/>
              <w:tr2bl w:val="nil"/>
            </w:tcBorders>
            <w:vAlign w:val="center"/>
          </w:tcPr>
          <w:p>
            <w:pPr>
              <w:widowControl/>
              <w:jc w:val="center"/>
              <w:textAlignment w:val="center"/>
              <w:rPr>
                <w:rFonts w:asciiTheme="minorEastAsia" w:hAnsiTheme="minorEastAsia" w:eastAsiaTheme="minorEastAsia"/>
                <w:kern w:val="0"/>
                <w:szCs w:val="21"/>
                <w:highlight w:val="none"/>
                <w:lang w:eastAsia="en-US"/>
              </w:rPr>
            </w:pPr>
            <w:r>
              <w:rPr>
                <w:rFonts w:hint="eastAsia" w:ascii="宋体" w:hAnsi="宋体" w:cs="宋体"/>
                <w:color w:val="000000"/>
                <w:kern w:val="0"/>
                <w:sz w:val="22"/>
                <w:highlight w:val="none"/>
                <w:lang w:bidi="ar"/>
              </w:rPr>
              <w:t>0.638%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420" w:type="dxa"/>
            <w:tcBorders>
              <w:tl2br w:val="nil"/>
              <w:tr2bl w:val="nil"/>
            </w:tcBorders>
            <w:shd w:val="clear" w:color="auto" w:fill="auto"/>
            <w:vAlign w:val="center"/>
          </w:tcPr>
          <w:p>
            <w:pPr>
              <w:widowControl/>
              <w:jc w:val="center"/>
              <w:rPr>
                <w:rFonts w:ascii="Times New Roman" w:hAnsi="Times New Roman"/>
                <w:kern w:val="0"/>
                <w:szCs w:val="21"/>
                <w:highlight w:val="none"/>
              </w:rPr>
            </w:pPr>
            <w:r>
              <w:rPr>
                <w:rFonts w:hint="eastAsia" w:ascii="Times New Roman" w:hAnsi="Times New Roman"/>
                <w:kern w:val="0"/>
                <w:szCs w:val="21"/>
                <w:highlight w:val="none"/>
              </w:rPr>
              <w:t>9</w:t>
            </w:r>
          </w:p>
        </w:tc>
        <w:tc>
          <w:tcPr>
            <w:tcW w:w="2465" w:type="dxa"/>
            <w:tcBorders>
              <w:tl2br w:val="nil"/>
              <w:tr2bl w:val="nil"/>
            </w:tcBorders>
            <w:shd w:val="clear" w:color="auto" w:fill="auto"/>
            <w:vAlign w:val="center"/>
          </w:tcPr>
          <w:p>
            <w:pPr>
              <w:widowControl/>
              <w:jc w:val="center"/>
              <w:textAlignment w:val="center"/>
              <w:rPr>
                <w:rFonts w:ascii="宋体" w:hAnsi="宋体" w:cs="宋体"/>
                <w:szCs w:val="21"/>
                <w:highlight w:val="none"/>
              </w:rPr>
            </w:pPr>
            <w:r>
              <w:rPr>
                <w:rFonts w:ascii="仿宋_GB2312" w:hAnsi="宋体" w:eastAsia="仿宋_GB2312" w:cs="仿宋_GB2312"/>
                <w:color w:val="000000"/>
                <w:kern w:val="0"/>
                <w:szCs w:val="21"/>
                <w:highlight w:val="none"/>
                <w:lang w:bidi="ar"/>
              </w:rPr>
              <w:t>台州创熠企业管理服务中心（有限合伙）</w:t>
            </w:r>
          </w:p>
        </w:tc>
        <w:tc>
          <w:tcPr>
            <w:tcW w:w="1612" w:type="dxa"/>
            <w:tcBorders>
              <w:tl2br w:val="nil"/>
              <w:tr2bl w:val="nil"/>
            </w:tcBorders>
            <w:shd w:val="clear" w:color="auto" w:fill="auto"/>
            <w:vAlign w:val="center"/>
          </w:tcPr>
          <w:p>
            <w:pPr>
              <w:jc w:val="center"/>
              <w:rPr>
                <w:rFonts w:ascii="宋体" w:hAnsi="宋体"/>
                <w:kern w:val="0"/>
                <w:szCs w:val="21"/>
                <w:highlight w:val="none"/>
              </w:rPr>
            </w:pPr>
            <w:r>
              <w:rPr>
                <w:rFonts w:hint="eastAsia" w:ascii="仿宋_GB2312" w:eastAsia="仿宋_GB2312"/>
                <w:szCs w:val="21"/>
                <w:highlight w:val="none"/>
              </w:rPr>
              <w:t>2,010,000.00</w:t>
            </w:r>
          </w:p>
        </w:tc>
        <w:tc>
          <w:tcPr>
            <w:tcW w:w="1102" w:type="dxa"/>
            <w:tcBorders>
              <w:tl2br w:val="nil"/>
              <w:tr2bl w:val="nil"/>
            </w:tcBorders>
            <w:shd w:val="clear" w:color="auto" w:fill="auto"/>
            <w:vAlign w:val="center"/>
          </w:tcPr>
          <w:p>
            <w:pPr>
              <w:pStyle w:val="33"/>
              <w:spacing w:line="500" w:lineRule="exact"/>
              <w:jc w:val="center"/>
              <w:rPr>
                <w:rFonts w:ascii="Times New Roman" w:hAnsi="Times New Roman"/>
                <w:kern w:val="0"/>
                <w:szCs w:val="21"/>
                <w:highlight w:val="none"/>
              </w:rPr>
            </w:pPr>
            <w:r>
              <w:rPr>
                <w:rFonts w:hAnsi="宋体"/>
                <w:sz w:val="21"/>
                <w:szCs w:val="21"/>
                <w:highlight w:val="none"/>
              </w:rPr>
              <w:t>2.20%</w:t>
            </w:r>
          </w:p>
        </w:tc>
        <w:tc>
          <w:tcPr>
            <w:tcW w:w="1534" w:type="dxa"/>
            <w:tcBorders>
              <w:tl2br w:val="nil"/>
              <w:tr2bl w:val="nil"/>
            </w:tcBorders>
            <w:shd w:val="clear" w:color="auto" w:fill="auto"/>
            <w:vAlign w:val="center"/>
          </w:tcPr>
          <w:p>
            <w:pPr>
              <w:jc w:val="center"/>
              <w:rPr>
                <w:rFonts w:ascii="Times New Roman" w:hAnsi="Times New Roman" w:eastAsia="Times New Roman"/>
                <w:kern w:val="0"/>
                <w:szCs w:val="21"/>
                <w:highlight w:val="none"/>
              </w:rPr>
            </w:pPr>
          </w:p>
        </w:tc>
        <w:tc>
          <w:tcPr>
            <w:tcW w:w="1552" w:type="dxa"/>
            <w:tcBorders>
              <w:tl2br w:val="nil"/>
              <w:tr2bl w:val="nil"/>
            </w:tcBorders>
            <w:vAlign w:val="center"/>
          </w:tcPr>
          <w:p>
            <w:pPr>
              <w:widowControl/>
              <w:jc w:val="right"/>
              <w:rPr>
                <w:rFonts w:ascii="宋体" w:hAnsi="宋体"/>
                <w:kern w:val="0"/>
                <w:szCs w:val="21"/>
                <w:highlight w:val="none"/>
              </w:rPr>
            </w:pPr>
            <w:r>
              <w:rPr>
                <w:rFonts w:hint="eastAsia" w:ascii="宋体" w:hAnsi="宋体"/>
                <w:color w:val="000000"/>
                <w:szCs w:val="21"/>
                <w:highlight w:val="none"/>
              </w:rPr>
              <w:t xml:space="preserve">2,010,000.00 </w:t>
            </w:r>
          </w:p>
        </w:tc>
        <w:tc>
          <w:tcPr>
            <w:tcW w:w="1155" w:type="dxa"/>
            <w:tcBorders>
              <w:tl2br w:val="nil"/>
              <w:tr2bl w:val="nil"/>
            </w:tcBorders>
            <w:vAlign w:val="center"/>
          </w:tcPr>
          <w:p>
            <w:pPr>
              <w:widowControl/>
              <w:jc w:val="center"/>
              <w:textAlignment w:val="center"/>
              <w:rPr>
                <w:rFonts w:asciiTheme="minorEastAsia" w:hAnsiTheme="minorEastAsia" w:eastAsiaTheme="minorEastAsia"/>
                <w:kern w:val="0"/>
                <w:szCs w:val="21"/>
                <w:highlight w:val="none"/>
              </w:rPr>
            </w:pPr>
            <w:r>
              <w:rPr>
                <w:rFonts w:hint="eastAsia" w:ascii="宋体" w:hAnsi="宋体" w:cs="宋体"/>
                <w:color w:val="000000"/>
                <w:kern w:val="0"/>
                <w:sz w:val="22"/>
                <w:highlight w:val="none"/>
                <w:lang w:bidi="ar"/>
              </w:rPr>
              <w:t>1.602%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420" w:type="dxa"/>
            <w:tcBorders>
              <w:tl2br w:val="nil"/>
              <w:tr2bl w:val="nil"/>
            </w:tcBorders>
            <w:shd w:val="clear" w:color="auto" w:fill="auto"/>
            <w:vAlign w:val="center"/>
          </w:tcPr>
          <w:p>
            <w:pPr>
              <w:widowControl/>
              <w:jc w:val="center"/>
              <w:rPr>
                <w:rFonts w:ascii="Times New Roman" w:hAnsi="Times New Roman"/>
                <w:kern w:val="0"/>
                <w:szCs w:val="21"/>
                <w:highlight w:val="none"/>
              </w:rPr>
            </w:pPr>
            <w:r>
              <w:rPr>
                <w:rFonts w:hint="eastAsia" w:ascii="Times New Roman" w:hAnsi="Times New Roman"/>
                <w:kern w:val="0"/>
                <w:szCs w:val="21"/>
                <w:highlight w:val="none"/>
              </w:rPr>
              <w:t>10</w:t>
            </w:r>
          </w:p>
        </w:tc>
        <w:tc>
          <w:tcPr>
            <w:tcW w:w="2465" w:type="dxa"/>
            <w:tcBorders>
              <w:tl2br w:val="nil"/>
              <w:tr2bl w:val="nil"/>
            </w:tcBorders>
            <w:shd w:val="clear" w:color="auto" w:fill="auto"/>
            <w:vAlign w:val="center"/>
          </w:tcPr>
          <w:p>
            <w:pPr>
              <w:widowControl/>
              <w:jc w:val="center"/>
              <w:textAlignment w:val="center"/>
              <w:rPr>
                <w:rFonts w:ascii="宋体" w:hAnsi="宋体" w:cs="宋体"/>
                <w:szCs w:val="21"/>
                <w:highlight w:val="none"/>
              </w:rPr>
            </w:pPr>
            <w:r>
              <w:rPr>
                <w:rFonts w:hint="eastAsia" w:ascii="仿宋_GB2312" w:hAnsi="宋体" w:eastAsia="仿宋_GB2312" w:cs="仿宋_GB2312"/>
                <w:color w:val="000000"/>
                <w:kern w:val="0"/>
                <w:szCs w:val="21"/>
                <w:highlight w:val="none"/>
                <w:lang w:eastAsia="zh-CN" w:bidi="ar"/>
              </w:rPr>
              <w:t>新</w:t>
            </w:r>
            <w:r>
              <w:rPr>
                <w:rFonts w:ascii="仿宋_GB2312" w:hAnsi="宋体" w:eastAsia="仿宋_GB2312" w:cs="仿宋_GB2312"/>
                <w:color w:val="000000"/>
                <w:kern w:val="0"/>
                <w:szCs w:val="21"/>
                <w:highlight w:val="none"/>
                <w:lang w:bidi="ar"/>
              </w:rPr>
              <w:t>投资者</w:t>
            </w:r>
            <w:r>
              <w:rPr>
                <w:rFonts w:hint="eastAsia" w:ascii="仿宋_GB2312" w:hAnsi="宋体" w:eastAsia="仿宋_GB2312" w:cs="仿宋_GB2312"/>
                <w:color w:val="000000"/>
                <w:kern w:val="0"/>
                <w:szCs w:val="21"/>
                <w:highlight w:val="none"/>
                <w:lang w:bidi="ar"/>
              </w:rPr>
              <w:t>A</w:t>
            </w:r>
            <w:r>
              <w:rPr>
                <w:rFonts w:ascii="仿宋_GB2312" w:hAnsi="宋体" w:eastAsia="仿宋_GB2312" w:cs="仿宋_GB2312"/>
                <w:color w:val="000000"/>
                <w:kern w:val="0"/>
                <w:szCs w:val="21"/>
                <w:highlight w:val="none"/>
                <w:lang w:bidi="ar"/>
              </w:rPr>
              <w:t>（台交所</w:t>
            </w:r>
            <w:r>
              <w:rPr>
                <w:rFonts w:hint="eastAsia" w:ascii="仿宋_GB2312" w:hAnsi="宋体" w:eastAsia="仿宋_GB2312" w:cs="仿宋_GB2312"/>
                <w:color w:val="000000"/>
                <w:kern w:val="0"/>
                <w:szCs w:val="21"/>
                <w:highlight w:val="none"/>
                <w:lang w:bidi="ar"/>
              </w:rPr>
              <w:t>挂</w:t>
            </w:r>
            <w:r>
              <w:rPr>
                <w:rFonts w:ascii="仿宋_GB2312" w:hAnsi="宋体" w:eastAsia="仿宋_GB2312" w:cs="仿宋_GB2312"/>
                <w:color w:val="000000"/>
                <w:kern w:val="0"/>
                <w:szCs w:val="21"/>
                <w:highlight w:val="none"/>
                <w:lang w:bidi="ar"/>
              </w:rPr>
              <w:t>【2020】15</w:t>
            </w:r>
            <w:r>
              <w:rPr>
                <w:rFonts w:hint="eastAsia" w:ascii="仿宋_GB2312" w:hAnsi="宋体" w:eastAsia="仿宋_GB2312" w:cs="仿宋_GB2312"/>
                <w:color w:val="000000"/>
                <w:kern w:val="0"/>
                <w:szCs w:val="21"/>
                <w:highlight w:val="none"/>
                <w:lang w:bidi="ar"/>
              </w:rPr>
              <w:t>号</w:t>
            </w:r>
            <w:r>
              <w:rPr>
                <w:rFonts w:ascii="仿宋_GB2312" w:hAnsi="宋体" w:eastAsia="仿宋_GB2312" w:cs="仿宋_GB2312"/>
                <w:color w:val="000000"/>
                <w:kern w:val="0"/>
                <w:szCs w:val="21"/>
                <w:highlight w:val="none"/>
                <w:lang w:bidi="ar"/>
              </w:rPr>
              <w:t>）</w:t>
            </w:r>
          </w:p>
        </w:tc>
        <w:tc>
          <w:tcPr>
            <w:tcW w:w="1612" w:type="dxa"/>
            <w:tcBorders>
              <w:tl2br w:val="nil"/>
              <w:tr2bl w:val="nil"/>
            </w:tcBorders>
            <w:shd w:val="clear" w:color="auto" w:fill="auto"/>
            <w:vAlign w:val="center"/>
          </w:tcPr>
          <w:p>
            <w:pPr>
              <w:widowControl/>
              <w:jc w:val="center"/>
              <w:rPr>
                <w:rFonts w:ascii="宋体" w:hAnsi="宋体"/>
                <w:kern w:val="0"/>
                <w:szCs w:val="21"/>
                <w:highlight w:val="none"/>
              </w:rPr>
            </w:pPr>
            <w:r>
              <w:rPr>
                <w:rFonts w:hint="eastAsia" w:ascii="宋体" w:hAnsi="宋体"/>
                <w:color w:val="000000"/>
                <w:szCs w:val="21"/>
                <w:highlight w:val="none"/>
              </w:rPr>
              <w:t>-</w:t>
            </w:r>
          </w:p>
        </w:tc>
        <w:tc>
          <w:tcPr>
            <w:tcW w:w="1102" w:type="dxa"/>
            <w:tcBorders>
              <w:tl2br w:val="nil"/>
              <w:tr2bl w:val="nil"/>
            </w:tcBorders>
            <w:shd w:val="clear" w:color="auto" w:fill="auto"/>
            <w:vAlign w:val="center"/>
          </w:tcPr>
          <w:p>
            <w:pPr>
              <w:widowControl/>
              <w:jc w:val="center"/>
              <w:rPr>
                <w:rFonts w:ascii="Times New Roman" w:hAnsi="Times New Roman"/>
                <w:kern w:val="0"/>
                <w:szCs w:val="21"/>
                <w:highlight w:val="none"/>
              </w:rPr>
            </w:pPr>
            <w:r>
              <w:rPr>
                <w:rFonts w:hint="eastAsia" w:ascii="宋体" w:hAnsi="宋体"/>
                <w:color w:val="000000"/>
                <w:szCs w:val="21"/>
                <w:highlight w:val="none"/>
              </w:rPr>
              <w:t>-</w:t>
            </w:r>
          </w:p>
        </w:tc>
        <w:tc>
          <w:tcPr>
            <w:tcW w:w="1534" w:type="dxa"/>
            <w:tcBorders>
              <w:tl2br w:val="nil"/>
              <w:tr2bl w:val="nil"/>
            </w:tcBorders>
            <w:shd w:val="clear" w:color="auto" w:fill="auto"/>
            <w:vAlign w:val="center"/>
          </w:tcPr>
          <w:p>
            <w:pPr>
              <w:widowControl/>
              <w:jc w:val="right"/>
              <w:textAlignment w:val="auto"/>
              <w:rPr>
                <w:rFonts w:hint="default" w:ascii="Times New Roman" w:hAnsi="Times New Roman" w:eastAsia="Times New Roman"/>
                <w:kern w:val="0"/>
                <w:szCs w:val="21"/>
                <w:highlight w:val="none"/>
                <w:lang w:val="en-US" w:eastAsia="en-US"/>
              </w:rPr>
            </w:pPr>
            <w:r>
              <w:rPr>
                <w:rFonts w:hint="eastAsia" w:ascii="宋体" w:hAnsi="宋体" w:cs="Times New Roman"/>
                <w:color w:val="000000"/>
                <w:kern w:val="2"/>
                <w:szCs w:val="21"/>
                <w:highlight w:val="none"/>
                <w:lang w:bidi="ar"/>
              </w:rPr>
              <w:t>15,686,274.00</w:t>
            </w:r>
          </w:p>
        </w:tc>
        <w:tc>
          <w:tcPr>
            <w:tcW w:w="1552" w:type="dxa"/>
            <w:tcBorders>
              <w:tl2br w:val="nil"/>
              <w:tr2bl w:val="nil"/>
            </w:tcBorders>
            <w:vAlign w:val="center"/>
          </w:tcPr>
          <w:p>
            <w:pPr>
              <w:widowControl/>
              <w:jc w:val="right"/>
              <w:textAlignment w:val="auto"/>
              <w:rPr>
                <w:rFonts w:ascii="宋体" w:hAnsi="宋体"/>
                <w:kern w:val="0"/>
                <w:szCs w:val="21"/>
                <w:highlight w:val="none"/>
                <w:lang w:eastAsia="en-US"/>
              </w:rPr>
            </w:pPr>
            <w:r>
              <w:rPr>
                <w:rFonts w:hint="eastAsia" w:ascii="宋体" w:hAnsi="宋体" w:cs="Times New Roman"/>
                <w:color w:val="000000"/>
                <w:kern w:val="2"/>
                <w:szCs w:val="21"/>
                <w:highlight w:val="none"/>
                <w:lang w:bidi="ar"/>
              </w:rPr>
              <w:t>15,686,274.00</w:t>
            </w:r>
          </w:p>
        </w:tc>
        <w:tc>
          <w:tcPr>
            <w:tcW w:w="1155" w:type="dxa"/>
            <w:tcBorders>
              <w:tl2br w:val="nil"/>
              <w:tr2bl w:val="nil"/>
            </w:tcBorders>
            <w:vAlign w:val="center"/>
          </w:tcPr>
          <w:p>
            <w:pPr>
              <w:widowControl/>
              <w:jc w:val="center"/>
              <w:textAlignment w:val="auto"/>
              <w:rPr>
                <w:rFonts w:asciiTheme="minorEastAsia" w:hAnsiTheme="minorEastAsia" w:eastAsiaTheme="minorEastAsia"/>
                <w:kern w:val="0"/>
                <w:szCs w:val="21"/>
                <w:highlight w:val="none"/>
                <w:lang w:eastAsia="en-US"/>
              </w:rPr>
            </w:pPr>
            <w:r>
              <w:rPr>
                <w:rFonts w:hint="eastAsia" w:ascii="宋体" w:hAnsi="宋体" w:cs="Times New Roman"/>
                <w:color w:val="000000"/>
                <w:kern w:val="2"/>
                <w:sz w:val="21"/>
                <w:szCs w:val="21"/>
                <w:highlight w:val="none"/>
                <w:lang w:bidi="ar"/>
              </w:rPr>
              <w:t>12.502%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420" w:type="dxa"/>
            <w:tcBorders>
              <w:tl2br w:val="nil"/>
              <w:tr2bl w:val="nil"/>
            </w:tcBorders>
            <w:shd w:val="clear" w:color="auto" w:fill="auto"/>
            <w:vAlign w:val="center"/>
          </w:tcPr>
          <w:p>
            <w:pPr>
              <w:widowControl/>
              <w:jc w:val="center"/>
              <w:rPr>
                <w:rFonts w:hint="default" w:ascii="Times New Roman" w:hAnsi="Times New Roman" w:eastAsia="宋体"/>
                <w:kern w:val="0"/>
                <w:szCs w:val="21"/>
                <w:highlight w:val="none"/>
                <w:lang w:val="en-US" w:eastAsia="zh-CN"/>
              </w:rPr>
            </w:pPr>
            <w:r>
              <w:rPr>
                <w:rFonts w:hint="eastAsia" w:ascii="Times New Roman" w:hAnsi="Times New Roman"/>
                <w:kern w:val="0"/>
                <w:szCs w:val="21"/>
                <w:highlight w:val="none"/>
              </w:rPr>
              <w:t>11</w:t>
            </w:r>
          </w:p>
        </w:tc>
        <w:tc>
          <w:tcPr>
            <w:tcW w:w="2465" w:type="dxa"/>
            <w:tcBorders>
              <w:tl2br w:val="nil"/>
              <w:tr2bl w:val="nil"/>
            </w:tcBorders>
            <w:shd w:val="clear" w:color="auto" w:fill="auto"/>
            <w:vAlign w:val="center"/>
          </w:tcPr>
          <w:p>
            <w:pPr>
              <w:widowControl/>
              <w:jc w:val="center"/>
              <w:textAlignment w:val="center"/>
              <w:rPr>
                <w:rFonts w:hint="eastAsia" w:ascii="宋体" w:hAnsi="宋体" w:cs="宋体"/>
                <w:szCs w:val="21"/>
                <w:highlight w:val="none"/>
              </w:rPr>
            </w:pPr>
            <w:r>
              <w:rPr>
                <w:rFonts w:ascii="仿宋_GB2312" w:hAnsi="宋体" w:eastAsia="仿宋_GB2312" w:cs="仿宋_GB2312"/>
                <w:color w:val="000000"/>
                <w:kern w:val="0"/>
                <w:szCs w:val="21"/>
                <w:highlight w:val="none"/>
                <w:lang w:bidi="ar"/>
              </w:rPr>
              <w:t>新投资者</w:t>
            </w:r>
            <w:r>
              <w:rPr>
                <w:rFonts w:hint="eastAsia" w:ascii="仿宋_GB2312" w:hAnsi="宋体" w:eastAsia="仿宋_GB2312" w:cs="仿宋_GB2312"/>
                <w:color w:val="000000"/>
                <w:kern w:val="0"/>
                <w:szCs w:val="21"/>
                <w:highlight w:val="none"/>
                <w:lang w:bidi="ar"/>
              </w:rPr>
              <w:t>B</w:t>
            </w:r>
            <w:r>
              <w:rPr>
                <w:rFonts w:ascii="仿宋_GB2312" w:hAnsi="宋体" w:eastAsia="仿宋_GB2312" w:cs="仿宋_GB2312"/>
                <w:color w:val="000000"/>
                <w:kern w:val="0"/>
                <w:szCs w:val="21"/>
                <w:highlight w:val="none"/>
                <w:lang w:bidi="ar"/>
              </w:rPr>
              <w:t>（台交所</w:t>
            </w:r>
            <w:r>
              <w:rPr>
                <w:rFonts w:hint="eastAsia" w:ascii="仿宋_GB2312" w:hAnsi="宋体" w:eastAsia="仿宋_GB2312" w:cs="仿宋_GB2312"/>
                <w:color w:val="000000"/>
                <w:kern w:val="0"/>
                <w:szCs w:val="21"/>
                <w:highlight w:val="none"/>
                <w:lang w:bidi="ar"/>
              </w:rPr>
              <w:t>挂</w:t>
            </w:r>
            <w:r>
              <w:rPr>
                <w:rFonts w:ascii="仿宋_GB2312" w:hAnsi="宋体" w:eastAsia="仿宋_GB2312" w:cs="仿宋_GB2312"/>
                <w:color w:val="000000"/>
                <w:kern w:val="0"/>
                <w:szCs w:val="21"/>
                <w:highlight w:val="none"/>
                <w:lang w:bidi="ar"/>
              </w:rPr>
              <w:t>【2020】16</w:t>
            </w:r>
            <w:r>
              <w:rPr>
                <w:rFonts w:hint="eastAsia" w:ascii="仿宋_GB2312" w:hAnsi="宋体" w:eastAsia="仿宋_GB2312" w:cs="仿宋_GB2312"/>
                <w:color w:val="000000"/>
                <w:kern w:val="0"/>
                <w:szCs w:val="21"/>
                <w:highlight w:val="none"/>
                <w:lang w:bidi="ar"/>
              </w:rPr>
              <w:t>号</w:t>
            </w:r>
            <w:r>
              <w:rPr>
                <w:rFonts w:ascii="仿宋_GB2312" w:hAnsi="宋体" w:eastAsia="仿宋_GB2312" w:cs="仿宋_GB2312"/>
                <w:color w:val="000000"/>
                <w:kern w:val="0"/>
                <w:szCs w:val="21"/>
                <w:highlight w:val="none"/>
                <w:lang w:bidi="ar"/>
              </w:rPr>
              <w:t>）</w:t>
            </w:r>
          </w:p>
        </w:tc>
        <w:tc>
          <w:tcPr>
            <w:tcW w:w="1612" w:type="dxa"/>
            <w:tcBorders>
              <w:tl2br w:val="nil"/>
              <w:tr2bl w:val="nil"/>
            </w:tcBorders>
            <w:shd w:val="clear" w:color="auto" w:fill="auto"/>
            <w:vAlign w:val="center"/>
          </w:tcPr>
          <w:p>
            <w:pPr>
              <w:widowControl/>
              <w:jc w:val="center"/>
              <w:rPr>
                <w:rFonts w:hint="eastAsia" w:ascii="宋体" w:hAnsi="宋体"/>
                <w:color w:val="000000"/>
                <w:szCs w:val="21"/>
                <w:highlight w:val="none"/>
              </w:rPr>
            </w:pPr>
            <w:r>
              <w:rPr>
                <w:rFonts w:hint="eastAsia" w:ascii="宋体" w:hAnsi="宋体"/>
                <w:color w:val="000000"/>
                <w:szCs w:val="21"/>
                <w:highlight w:val="none"/>
              </w:rPr>
              <w:t>-</w:t>
            </w:r>
          </w:p>
        </w:tc>
        <w:tc>
          <w:tcPr>
            <w:tcW w:w="1102" w:type="dxa"/>
            <w:tcBorders>
              <w:tl2br w:val="nil"/>
              <w:tr2bl w:val="nil"/>
            </w:tcBorders>
            <w:shd w:val="clear" w:color="auto" w:fill="auto"/>
            <w:vAlign w:val="center"/>
          </w:tcPr>
          <w:p>
            <w:pPr>
              <w:widowControl/>
              <w:jc w:val="center"/>
              <w:rPr>
                <w:rFonts w:asciiTheme="minorEastAsia" w:hAnsiTheme="minorEastAsia" w:eastAsiaTheme="minorEastAsia"/>
                <w:color w:val="000000"/>
                <w:szCs w:val="21"/>
                <w:highlight w:val="none"/>
              </w:rPr>
            </w:pPr>
            <w:r>
              <w:rPr>
                <w:rFonts w:hint="eastAsia" w:ascii="宋体" w:hAnsi="宋体"/>
                <w:color w:val="000000"/>
                <w:szCs w:val="21"/>
                <w:highlight w:val="none"/>
              </w:rPr>
              <w:t>-</w:t>
            </w:r>
          </w:p>
        </w:tc>
        <w:tc>
          <w:tcPr>
            <w:tcW w:w="1534" w:type="dxa"/>
            <w:tcBorders>
              <w:tl2br w:val="nil"/>
              <w:tr2bl w:val="nil"/>
            </w:tcBorders>
            <w:shd w:val="clear" w:color="auto" w:fill="auto"/>
            <w:vAlign w:val="center"/>
          </w:tcPr>
          <w:p>
            <w:pPr>
              <w:widowControl/>
              <w:jc w:val="right"/>
              <w:textAlignment w:val="auto"/>
              <w:rPr>
                <w:rFonts w:hint="default" w:asciiTheme="minorEastAsia" w:hAnsiTheme="minorEastAsia" w:eastAsiaTheme="minorEastAsia"/>
                <w:kern w:val="0"/>
                <w:szCs w:val="21"/>
                <w:highlight w:val="none"/>
                <w:lang w:val="en-US"/>
              </w:rPr>
            </w:pPr>
            <w:r>
              <w:rPr>
                <w:rFonts w:hint="eastAsia" w:ascii="宋体" w:hAnsi="宋体" w:cs="Times New Roman"/>
                <w:color w:val="000000"/>
                <w:kern w:val="2"/>
                <w:szCs w:val="21"/>
                <w:highlight w:val="none"/>
                <w:lang w:bidi="ar"/>
              </w:rPr>
              <w:t>10,457,516.00</w:t>
            </w:r>
          </w:p>
        </w:tc>
        <w:tc>
          <w:tcPr>
            <w:tcW w:w="1552" w:type="dxa"/>
            <w:tcBorders>
              <w:tl2br w:val="nil"/>
              <w:tr2bl w:val="nil"/>
            </w:tcBorders>
            <w:vAlign w:val="center"/>
          </w:tcPr>
          <w:p>
            <w:pPr>
              <w:widowControl/>
              <w:jc w:val="right"/>
              <w:textAlignment w:val="auto"/>
              <w:rPr>
                <w:rFonts w:hint="eastAsia" w:cs="Times New Roman" w:asciiTheme="minorEastAsia" w:hAnsiTheme="minorEastAsia" w:eastAsiaTheme="minorEastAsia"/>
                <w:kern w:val="0"/>
                <w:sz w:val="21"/>
                <w:szCs w:val="21"/>
                <w:highlight w:val="none"/>
                <w:lang w:val="en-US" w:eastAsia="zh-CN" w:bidi="ar-SA"/>
              </w:rPr>
            </w:pPr>
            <w:r>
              <w:rPr>
                <w:rFonts w:hint="eastAsia" w:ascii="宋体" w:hAnsi="宋体" w:cs="Times New Roman"/>
                <w:color w:val="000000"/>
                <w:kern w:val="2"/>
                <w:szCs w:val="21"/>
                <w:highlight w:val="none"/>
                <w:lang w:bidi="ar"/>
              </w:rPr>
              <w:t>10,457,516.00</w:t>
            </w:r>
          </w:p>
        </w:tc>
        <w:tc>
          <w:tcPr>
            <w:tcW w:w="1155" w:type="dxa"/>
            <w:tcBorders>
              <w:tl2br w:val="nil"/>
              <w:tr2bl w:val="nil"/>
            </w:tcBorders>
            <w:vAlign w:val="center"/>
          </w:tcPr>
          <w:p>
            <w:pPr>
              <w:widowControl/>
              <w:jc w:val="center"/>
              <w:textAlignment w:val="auto"/>
              <w:rPr>
                <w:rFonts w:hint="eastAsia" w:ascii="仿宋_GB2312" w:eastAsia="仿宋_GB2312"/>
                <w:szCs w:val="21"/>
                <w:highlight w:val="none"/>
              </w:rPr>
            </w:pPr>
            <w:r>
              <w:rPr>
                <w:rFonts w:hint="eastAsia" w:ascii="宋体" w:hAnsi="宋体" w:cs="Times New Roman"/>
                <w:color w:val="000000"/>
                <w:kern w:val="2"/>
                <w:sz w:val="21"/>
                <w:szCs w:val="21"/>
                <w:highlight w:val="none"/>
                <w:lang w:bidi="ar"/>
              </w:rPr>
              <w:t>8.335%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420" w:type="dxa"/>
            <w:tcBorders>
              <w:tl2br w:val="nil"/>
              <w:tr2bl w:val="nil"/>
            </w:tcBorders>
            <w:shd w:val="clear" w:color="auto" w:fill="auto"/>
            <w:vAlign w:val="center"/>
          </w:tcPr>
          <w:p>
            <w:pPr>
              <w:widowControl/>
              <w:jc w:val="center"/>
              <w:rPr>
                <w:rFonts w:hint="default" w:ascii="Times New Roman" w:hAnsi="Times New Roman"/>
                <w:kern w:val="0"/>
                <w:szCs w:val="21"/>
                <w:highlight w:val="none"/>
                <w:lang w:val="en-US" w:eastAsia="zh-CN"/>
              </w:rPr>
            </w:pPr>
            <w:r>
              <w:rPr>
                <w:rFonts w:hint="eastAsia" w:ascii="Times New Roman" w:hAnsi="Times New Roman"/>
                <w:kern w:val="0"/>
                <w:szCs w:val="21"/>
                <w:highlight w:val="none"/>
              </w:rPr>
              <w:t>12</w:t>
            </w:r>
          </w:p>
        </w:tc>
        <w:tc>
          <w:tcPr>
            <w:tcW w:w="2465" w:type="dxa"/>
            <w:tcBorders>
              <w:tl2br w:val="nil"/>
              <w:tr2bl w:val="nil"/>
            </w:tcBorders>
            <w:shd w:val="clear" w:color="auto" w:fill="auto"/>
            <w:vAlign w:val="center"/>
          </w:tcPr>
          <w:p>
            <w:pPr>
              <w:widowControl/>
              <w:jc w:val="center"/>
              <w:textAlignment w:val="center"/>
              <w:rPr>
                <w:rFonts w:hint="default" w:ascii="仿宋_GB2312" w:hAnsi="宋体" w:eastAsia="仿宋_GB2312" w:cs="仿宋_GB2312"/>
                <w:i w:val="0"/>
                <w:color w:val="000000"/>
                <w:kern w:val="0"/>
                <w:sz w:val="21"/>
                <w:szCs w:val="21"/>
                <w:highlight w:val="none"/>
                <w:u w:val="none"/>
                <w:lang w:val="en-US" w:eastAsia="zh-CN" w:bidi="ar"/>
              </w:rPr>
            </w:pPr>
            <w:r>
              <w:rPr>
                <w:rFonts w:ascii="仿宋_GB2312" w:hAnsi="宋体" w:eastAsia="仿宋_GB2312" w:cs="仿宋_GB2312"/>
                <w:color w:val="000000"/>
                <w:kern w:val="0"/>
                <w:szCs w:val="21"/>
                <w:highlight w:val="none"/>
                <w:lang w:bidi="ar"/>
              </w:rPr>
              <w:t>新投资者</w:t>
            </w:r>
            <w:r>
              <w:rPr>
                <w:rFonts w:hint="eastAsia" w:ascii="仿宋_GB2312" w:hAnsi="宋体" w:eastAsia="仿宋_GB2312" w:cs="仿宋_GB2312"/>
                <w:color w:val="000000"/>
                <w:kern w:val="0"/>
                <w:szCs w:val="21"/>
                <w:highlight w:val="none"/>
                <w:lang w:bidi="ar"/>
              </w:rPr>
              <w:t>C</w:t>
            </w:r>
            <w:r>
              <w:rPr>
                <w:rFonts w:ascii="仿宋_GB2312" w:hAnsi="宋体" w:eastAsia="仿宋_GB2312" w:cs="仿宋_GB2312"/>
                <w:color w:val="000000"/>
                <w:kern w:val="0"/>
                <w:szCs w:val="21"/>
                <w:highlight w:val="none"/>
                <w:lang w:bidi="ar"/>
              </w:rPr>
              <w:t>（台交所</w:t>
            </w:r>
            <w:r>
              <w:rPr>
                <w:rFonts w:hint="eastAsia" w:ascii="仿宋_GB2312" w:hAnsi="宋体" w:eastAsia="仿宋_GB2312" w:cs="仿宋_GB2312"/>
                <w:color w:val="000000"/>
                <w:kern w:val="0"/>
                <w:szCs w:val="21"/>
                <w:highlight w:val="none"/>
                <w:lang w:bidi="ar"/>
              </w:rPr>
              <w:t>挂</w:t>
            </w:r>
            <w:r>
              <w:rPr>
                <w:rFonts w:ascii="仿宋_GB2312" w:hAnsi="宋体" w:eastAsia="仿宋_GB2312" w:cs="仿宋_GB2312"/>
                <w:color w:val="000000"/>
                <w:kern w:val="0"/>
                <w:szCs w:val="21"/>
                <w:highlight w:val="none"/>
                <w:lang w:bidi="ar"/>
              </w:rPr>
              <w:t>【2020】1</w:t>
            </w:r>
            <w:r>
              <w:rPr>
                <w:rFonts w:hint="eastAsia" w:ascii="仿宋_GB2312" w:hAnsi="宋体" w:eastAsia="仿宋_GB2312" w:cs="仿宋_GB2312"/>
                <w:color w:val="000000"/>
                <w:kern w:val="0"/>
                <w:szCs w:val="21"/>
                <w:highlight w:val="none"/>
                <w:lang w:bidi="ar"/>
              </w:rPr>
              <w:t>9号</w:t>
            </w:r>
            <w:r>
              <w:rPr>
                <w:rFonts w:ascii="仿宋_GB2312" w:hAnsi="宋体" w:eastAsia="仿宋_GB2312" w:cs="仿宋_GB2312"/>
                <w:color w:val="000000"/>
                <w:kern w:val="0"/>
                <w:szCs w:val="21"/>
                <w:highlight w:val="none"/>
                <w:lang w:bidi="ar"/>
              </w:rPr>
              <w:t>）</w:t>
            </w:r>
          </w:p>
        </w:tc>
        <w:tc>
          <w:tcPr>
            <w:tcW w:w="1612" w:type="dxa"/>
            <w:tcBorders>
              <w:tl2br w:val="nil"/>
              <w:tr2bl w:val="nil"/>
            </w:tcBorders>
            <w:shd w:val="clear" w:color="auto" w:fill="auto"/>
            <w:vAlign w:val="center"/>
          </w:tcPr>
          <w:p>
            <w:pPr>
              <w:widowControl/>
              <w:jc w:val="center"/>
              <w:rPr>
                <w:rFonts w:hint="eastAsia" w:ascii="宋体" w:hAnsi="宋体"/>
                <w:color w:val="000000"/>
                <w:szCs w:val="21"/>
                <w:highlight w:val="none"/>
              </w:rPr>
            </w:pPr>
          </w:p>
        </w:tc>
        <w:tc>
          <w:tcPr>
            <w:tcW w:w="1102" w:type="dxa"/>
            <w:tcBorders>
              <w:tl2br w:val="nil"/>
              <w:tr2bl w:val="nil"/>
            </w:tcBorders>
            <w:shd w:val="clear" w:color="auto" w:fill="auto"/>
            <w:vAlign w:val="center"/>
          </w:tcPr>
          <w:p>
            <w:pPr>
              <w:widowControl/>
              <w:jc w:val="center"/>
              <w:rPr>
                <w:rFonts w:hint="eastAsia" w:ascii="宋体" w:hAnsi="宋体"/>
                <w:color w:val="000000"/>
                <w:szCs w:val="21"/>
                <w:highlight w:val="none"/>
              </w:rPr>
            </w:pPr>
          </w:p>
        </w:tc>
        <w:tc>
          <w:tcPr>
            <w:tcW w:w="1534" w:type="dxa"/>
            <w:tcBorders>
              <w:tl2br w:val="nil"/>
              <w:tr2bl w:val="nil"/>
            </w:tcBorders>
            <w:shd w:val="clear" w:color="auto" w:fill="auto"/>
            <w:vAlign w:val="center"/>
          </w:tcPr>
          <w:p>
            <w:pPr>
              <w:widowControl/>
              <w:jc w:val="right"/>
              <w:textAlignment w:val="auto"/>
              <w:rPr>
                <w:rFonts w:hint="eastAsia" w:ascii="宋体" w:hAnsi="宋体" w:cs="Times New Roman"/>
                <w:i w:val="0"/>
                <w:color w:val="000000"/>
                <w:kern w:val="2"/>
                <w:sz w:val="21"/>
                <w:szCs w:val="21"/>
                <w:highlight w:val="none"/>
                <w:u w:val="none"/>
                <w:lang w:val="en-US" w:eastAsia="zh-CN" w:bidi="ar"/>
              </w:rPr>
            </w:pPr>
            <w:r>
              <w:rPr>
                <w:rFonts w:hint="eastAsia" w:ascii="宋体" w:hAnsi="宋体" w:eastAsia="宋体"/>
                <w:color w:val="000000"/>
                <w:szCs w:val="21"/>
                <w:highlight w:val="none"/>
              </w:rPr>
              <w:t>7,843,137.00</w:t>
            </w:r>
          </w:p>
        </w:tc>
        <w:tc>
          <w:tcPr>
            <w:tcW w:w="1552" w:type="dxa"/>
            <w:tcBorders>
              <w:tl2br w:val="nil"/>
              <w:tr2bl w:val="nil"/>
            </w:tcBorders>
            <w:vAlign w:val="center"/>
          </w:tcPr>
          <w:p>
            <w:pPr>
              <w:widowControl/>
              <w:jc w:val="right"/>
              <w:textAlignment w:val="auto"/>
              <w:rPr>
                <w:rFonts w:hint="eastAsia" w:ascii="宋体" w:hAnsi="宋体" w:cs="Times New Roman"/>
                <w:i w:val="0"/>
                <w:color w:val="000000"/>
                <w:kern w:val="2"/>
                <w:sz w:val="21"/>
                <w:szCs w:val="21"/>
                <w:highlight w:val="none"/>
                <w:u w:val="none"/>
                <w:lang w:val="en-US" w:eastAsia="zh-CN" w:bidi="ar"/>
              </w:rPr>
            </w:pPr>
            <w:r>
              <w:rPr>
                <w:rFonts w:hint="eastAsia" w:ascii="宋体" w:hAnsi="宋体" w:eastAsia="宋体"/>
                <w:color w:val="000000"/>
                <w:szCs w:val="21"/>
                <w:highlight w:val="none"/>
              </w:rPr>
              <w:t>7,843,137.00</w:t>
            </w:r>
          </w:p>
        </w:tc>
        <w:tc>
          <w:tcPr>
            <w:tcW w:w="1155" w:type="dxa"/>
            <w:tcBorders>
              <w:tl2br w:val="nil"/>
              <w:tr2bl w:val="nil"/>
            </w:tcBorders>
            <w:vAlign w:val="center"/>
          </w:tcPr>
          <w:p>
            <w:pPr>
              <w:widowControl/>
              <w:jc w:val="center"/>
              <w:textAlignment w:val="auto"/>
              <w:rPr>
                <w:rFonts w:hint="eastAsia" w:ascii="仿宋_GB2312" w:hAnsi="Calibri" w:eastAsia="仿宋_GB2312" w:cs="Times New Roman"/>
                <w:i w:val="0"/>
                <w:kern w:val="2"/>
                <w:sz w:val="21"/>
                <w:szCs w:val="21"/>
                <w:highlight w:val="none"/>
                <w:u w:val="none"/>
                <w:lang w:val="en-US" w:eastAsia="zh-CN" w:bidi="ar"/>
              </w:rPr>
            </w:pPr>
            <w:r>
              <w:rPr>
                <w:rFonts w:hint="eastAsia" w:ascii="宋体" w:hAnsi="宋体" w:cs="Times New Roman"/>
                <w:color w:val="000000"/>
                <w:kern w:val="2"/>
                <w:sz w:val="21"/>
                <w:szCs w:val="21"/>
                <w:highlight w:val="none"/>
                <w:lang w:bidi="ar"/>
              </w:rPr>
              <w:t>6.251%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17" w:hRule="atLeast"/>
        </w:trPr>
        <w:tc>
          <w:tcPr>
            <w:tcW w:w="2885" w:type="dxa"/>
            <w:gridSpan w:val="2"/>
            <w:tcBorders>
              <w:tl2br w:val="nil"/>
              <w:tr2bl w:val="nil"/>
            </w:tcBorders>
            <w:shd w:val="clear" w:color="auto" w:fill="auto"/>
            <w:vAlign w:val="center"/>
          </w:tcPr>
          <w:p>
            <w:pPr>
              <w:widowControl/>
              <w:jc w:val="center"/>
              <w:rPr>
                <w:rFonts w:ascii="Times New Roman" w:hAnsi="Times New Roman"/>
                <w:b/>
                <w:bCs/>
                <w:kern w:val="0"/>
                <w:szCs w:val="21"/>
                <w:highlight w:val="none"/>
              </w:rPr>
            </w:pPr>
            <w:r>
              <w:rPr>
                <w:rFonts w:ascii="Times New Roman" w:hAnsi="Times New Roman"/>
                <w:b/>
                <w:bCs/>
                <w:kern w:val="0"/>
                <w:szCs w:val="21"/>
                <w:highlight w:val="none"/>
              </w:rPr>
              <w:t>　</w:t>
            </w:r>
          </w:p>
          <w:p>
            <w:pPr>
              <w:widowControl/>
              <w:jc w:val="center"/>
              <w:rPr>
                <w:rFonts w:ascii="Times New Roman" w:hAnsi="Times New Roman"/>
                <w:b/>
                <w:bCs/>
                <w:kern w:val="0"/>
                <w:szCs w:val="21"/>
                <w:highlight w:val="none"/>
              </w:rPr>
            </w:pPr>
            <w:r>
              <w:rPr>
                <w:rFonts w:hint="eastAsia" w:ascii="宋体" w:hAnsi="宋体"/>
                <w:b/>
                <w:bCs/>
                <w:kern w:val="0"/>
                <w:szCs w:val="21"/>
                <w:highlight w:val="none"/>
              </w:rPr>
              <w:t>合计</w:t>
            </w:r>
          </w:p>
        </w:tc>
        <w:tc>
          <w:tcPr>
            <w:tcW w:w="1612" w:type="dxa"/>
            <w:tcBorders>
              <w:tl2br w:val="nil"/>
              <w:tr2bl w:val="nil"/>
            </w:tcBorders>
            <w:shd w:val="clear" w:color="auto" w:fill="auto"/>
            <w:vAlign w:val="center"/>
          </w:tcPr>
          <w:p>
            <w:pPr>
              <w:widowControl/>
              <w:jc w:val="right"/>
              <w:rPr>
                <w:rFonts w:ascii="宋体" w:hAnsi="宋体"/>
                <w:b/>
                <w:bCs/>
                <w:kern w:val="0"/>
                <w:szCs w:val="21"/>
                <w:highlight w:val="none"/>
              </w:rPr>
            </w:pPr>
            <w:r>
              <w:rPr>
                <w:rFonts w:hint="eastAsia" w:ascii="宋体" w:hAnsi="宋体"/>
                <w:b/>
                <w:bCs/>
                <w:color w:val="000000"/>
                <w:szCs w:val="21"/>
                <w:highlight w:val="none"/>
              </w:rPr>
              <w:t xml:space="preserve">91,480,000.00 </w:t>
            </w:r>
          </w:p>
        </w:tc>
        <w:tc>
          <w:tcPr>
            <w:tcW w:w="1102" w:type="dxa"/>
            <w:tcBorders>
              <w:tl2br w:val="nil"/>
              <w:tr2bl w:val="nil"/>
            </w:tcBorders>
            <w:shd w:val="clear" w:color="auto" w:fill="auto"/>
            <w:vAlign w:val="center"/>
          </w:tcPr>
          <w:p>
            <w:pPr>
              <w:widowControl/>
              <w:jc w:val="right"/>
              <w:rPr>
                <w:rFonts w:ascii="Times New Roman" w:hAnsi="Times New Roman"/>
                <w:b/>
                <w:bCs/>
                <w:kern w:val="0"/>
                <w:szCs w:val="21"/>
                <w:highlight w:val="none"/>
              </w:rPr>
            </w:pPr>
            <w:r>
              <w:rPr>
                <w:rFonts w:asciiTheme="minorEastAsia" w:hAnsiTheme="minorEastAsia" w:eastAsiaTheme="minorEastAsia"/>
                <w:b/>
                <w:bCs/>
                <w:color w:val="000000"/>
                <w:szCs w:val="21"/>
                <w:highlight w:val="none"/>
              </w:rPr>
              <w:t>100.00%</w:t>
            </w:r>
          </w:p>
        </w:tc>
        <w:tc>
          <w:tcPr>
            <w:tcW w:w="1534" w:type="dxa"/>
            <w:tcBorders>
              <w:tl2br w:val="nil"/>
              <w:tr2bl w:val="nil"/>
            </w:tcBorders>
            <w:shd w:val="clear" w:color="auto" w:fill="auto"/>
            <w:vAlign w:val="center"/>
          </w:tcPr>
          <w:p>
            <w:pPr>
              <w:widowControl/>
              <w:jc w:val="right"/>
              <w:rPr>
                <w:rFonts w:hint="default" w:ascii="宋体" w:hAnsi="宋体" w:eastAsia="宋体" w:cs="宋体"/>
                <w:i w:val="0"/>
                <w:color w:val="000000"/>
                <w:kern w:val="0"/>
                <w:sz w:val="21"/>
                <w:szCs w:val="21"/>
                <w:highlight w:val="none"/>
                <w:u w:val="none"/>
                <w:lang w:val="en-US" w:eastAsia="zh-CN" w:bidi="ar"/>
              </w:rPr>
            </w:pPr>
            <w:r>
              <w:rPr>
                <w:rFonts w:asciiTheme="minorEastAsia" w:hAnsiTheme="minorEastAsia" w:eastAsiaTheme="minorEastAsia"/>
                <w:b/>
                <w:bCs/>
                <w:color w:val="000000"/>
                <w:szCs w:val="21"/>
                <w:highlight w:val="none"/>
                <w:lang w:bidi="ar"/>
              </w:rPr>
              <w:t>33,986,927.00</w:t>
            </w:r>
          </w:p>
        </w:tc>
        <w:tc>
          <w:tcPr>
            <w:tcW w:w="1552" w:type="dxa"/>
            <w:tcBorders>
              <w:tl2br w:val="nil"/>
              <w:tr2bl w:val="nil"/>
            </w:tcBorders>
            <w:vAlign w:val="center"/>
          </w:tcPr>
          <w:p>
            <w:pPr>
              <w:widowControl/>
              <w:jc w:val="right"/>
              <w:rPr>
                <w:rFonts w:hint="eastAsia" w:cs="Times New Roman" w:asciiTheme="minorEastAsia" w:hAnsiTheme="minorEastAsia" w:eastAsiaTheme="minorEastAsia"/>
                <w:b/>
                <w:bCs/>
                <w:i w:val="0"/>
                <w:color w:val="000000"/>
                <w:kern w:val="2"/>
                <w:sz w:val="21"/>
                <w:szCs w:val="21"/>
                <w:highlight w:val="none"/>
                <w:u w:val="none"/>
                <w:lang w:val="en-US" w:eastAsia="zh-CN" w:bidi="ar"/>
              </w:rPr>
            </w:pPr>
            <w:r>
              <w:rPr>
                <w:rFonts w:asciiTheme="minorEastAsia" w:hAnsiTheme="minorEastAsia" w:eastAsiaTheme="minorEastAsia"/>
                <w:b/>
                <w:bCs/>
                <w:color w:val="000000"/>
                <w:szCs w:val="21"/>
                <w:highlight w:val="none"/>
              </w:rPr>
              <w:t>125,466,927.00</w:t>
            </w:r>
          </w:p>
        </w:tc>
        <w:tc>
          <w:tcPr>
            <w:tcW w:w="1155" w:type="dxa"/>
            <w:tcBorders>
              <w:tl2br w:val="nil"/>
              <w:tr2bl w:val="nil"/>
            </w:tcBorders>
            <w:shd w:val="clear" w:color="auto" w:fill="auto"/>
            <w:vAlign w:val="center"/>
          </w:tcPr>
          <w:p>
            <w:pPr>
              <w:widowControl/>
              <w:jc w:val="center"/>
              <w:rPr>
                <w:rFonts w:hint="eastAsia" w:asciiTheme="minorEastAsia" w:hAnsiTheme="minorEastAsia" w:eastAsiaTheme="minorEastAsia"/>
                <w:b/>
                <w:bCs/>
                <w:color w:val="000000"/>
                <w:kern w:val="2"/>
                <w:szCs w:val="21"/>
                <w:highlight w:val="none"/>
                <w:u w:val="none"/>
                <w:lang w:bidi="ar"/>
              </w:rPr>
            </w:pPr>
            <w:r>
              <w:rPr>
                <w:rFonts w:asciiTheme="minorEastAsia" w:hAnsiTheme="minorEastAsia" w:eastAsiaTheme="minorEastAsia"/>
                <w:b/>
                <w:bCs/>
                <w:color w:val="000000"/>
                <w:szCs w:val="21"/>
                <w:highlight w:val="none"/>
              </w:rPr>
              <w:t>100.00%</w:t>
            </w:r>
          </w:p>
        </w:tc>
      </w:tr>
    </w:tbl>
    <w:p>
      <w:pPr>
        <w:spacing w:line="500" w:lineRule="atLeast"/>
        <w:ind w:firstLine="482" w:firstLineChars="200"/>
        <w:rPr>
          <w:rFonts w:hint="default" w:ascii="宋体" w:hAnsi="宋体" w:eastAsia="宋体"/>
          <w:b/>
          <w:bCs/>
          <w:sz w:val="24"/>
          <w:highlight w:val="none"/>
          <w:lang w:val="en-US" w:eastAsia="zh-CN"/>
        </w:rPr>
      </w:pPr>
      <w:r>
        <w:rPr>
          <w:rFonts w:hint="eastAsia" w:ascii="宋体" w:hAnsi="宋体"/>
          <w:b/>
          <w:bCs/>
          <w:sz w:val="24"/>
          <w:highlight w:val="none"/>
          <w:lang w:val="en-US" w:eastAsia="zh-CN"/>
        </w:rPr>
        <w:t>（注：上表中不包含浙江海正生物材料股份有限公司原有股东同比例增资金额、浙江海正生物材料股份有限公司员工持股平台同步增资金额，以及</w:t>
      </w:r>
      <w:r>
        <w:rPr>
          <w:rFonts w:hint="eastAsia" w:ascii="宋体" w:hAnsi="宋体"/>
          <w:b/>
          <w:bCs/>
          <w:sz w:val="24"/>
          <w:highlight w:val="none"/>
        </w:rPr>
        <w:t>台州市椒江城市发展投资集团有限公司</w:t>
      </w:r>
      <w:r>
        <w:rPr>
          <w:rFonts w:hint="eastAsia" w:ascii="宋体" w:hAnsi="宋体"/>
          <w:b/>
          <w:bCs/>
          <w:sz w:val="24"/>
          <w:highlight w:val="none"/>
          <w:lang w:val="en-US" w:eastAsia="zh-CN"/>
        </w:rPr>
        <w:t>增资金额。增资完成后，浙江海正生物材料股份有限公司股权结构可能会发生相应的变化。)</w:t>
      </w:r>
    </w:p>
    <w:p>
      <w:pPr>
        <w:spacing w:line="500" w:lineRule="atLeast"/>
        <w:ind w:firstLine="482" w:firstLineChars="200"/>
        <w:rPr>
          <w:rFonts w:ascii="宋体" w:hAnsi="宋体"/>
          <w:b/>
          <w:bCs/>
          <w:sz w:val="24"/>
          <w:highlight w:val="none"/>
        </w:rPr>
      </w:pPr>
      <w:r>
        <w:rPr>
          <w:rFonts w:hint="eastAsia" w:ascii="宋体" w:hAnsi="宋体"/>
          <w:b/>
          <w:bCs/>
          <w:sz w:val="24"/>
          <w:highlight w:val="none"/>
        </w:rPr>
        <w:t>（三）增资程序及时间安排</w:t>
      </w:r>
    </w:p>
    <w:p>
      <w:pPr>
        <w:numPr>
          <w:ilvl w:val="255"/>
          <w:numId w:val="0"/>
        </w:numPr>
        <w:spacing w:line="500" w:lineRule="atLeast"/>
        <w:ind w:firstLine="480" w:firstLineChars="200"/>
        <w:rPr>
          <w:rFonts w:ascii="宋体"/>
          <w:sz w:val="24"/>
          <w:szCs w:val="24"/>
          <w:highlight w:val="none"/>
        </w:rPr>
      </w:pPr>
      <w:r>
        <w:rPr>
          <w:rFonts w:hint="eastAsia" w:ascii="宋体" w:hAnsi="宋体"/>
          <w:sz w:val="24"/>
          <w:szCs w:val="24"/>
          <w:highlight w:val="none"/>
        </w:rPr>
        <w:t>1.本次增资程序</w:t>
      </w:r>
      <w:r>
        <w:rPr>
          <w:rFonts w:hint="eastAsia" w:ascii="宋体" w:hAnsi="宋体"/>
          <w:sz w:val="24"/>
          <w:szCs w:val="24"/>
          <w:highlight w:val="none"/>
          <w:lang w:val="en-US" w:eastAsia="zh-CN"/>
        </w:rPr>
        <w:t>包括</w:t>
      </w:r>
      <w:r>
        <w:rPr>
          <w:rFonts w:hint="eastAsia" w:ascii="宋体" w:hAnsi="宋体"/>
          <w:sz w:val="24"/>
          <w:szCs w:val="24"/>
          <w:highlight w:val="none"/>
        </w:rPr>
        <w:t>报名（递交保证金）、多次报价、确定投资方、签署增资协议、缴纳增资款。</w:t>
      </w:r>
    </w:p>
    <w:p>
      <w:pPr>
        <w:numPr>
          <w:ilvl w:val="255"/>
          <w:numId w:val="0"/>
        </w:numPr>
        <w:spacing w:line="500" w:lineRule="atLeast"/>
        <w:ind w:firstLine="480" w:firstLineChars="200"/>
        <w:rPr>
          <w:rFonts w:ascii="宋体"/>
          <w:sz w:val="24"/>
          <w:szCs w:val="24"/>
          <w:highlight w:val="none"/>
        </w:rPr>
      </w:pPr>
      <w:r>
        <w:rPr>
          <w:rFonts w:hint="eastAsia" w:ascii="宋体" w:hAnsi="宋体"/>
          <w:sz w:val="24"/>
          <w:szCs w:val="24"/>
          <w:highlight w:val="none"/>
        </w:rPr>
        <w:t>2.主要增资条件：</w:t>
      </w:r>
    </w:p>
    <w:p>
      <w:pPr>
        <w:spacing w:line="480" w:lineRule="atLeast"/>
        <w:ind w:right="105" w:rightChars="50" w:firstLine="480" w:firstLineChars="200"/>
        <w:jc w:val="left"/>
        <w:rPr>
          <w:rFonts w:ascii="宋体" w:hAnsi="宋体"/>
          <w:sz w:val="24"/>
          <w:highlight w:val="none"/>
        </w:rPr>
      </w:pPr>
      <w:r>
        <w:rPr>
          <w:rFonts w:hint="eastAsia" w:ascii="宋体" w:hAnsi="宋体"/>
          <w:sz w:val="24"/>
          <w:highlight w:val="none"/>
        </w:rPr>
        <w:t>（1）本次增资标的为浙江海正生物材料股份有限公司新增</w:t>
      </w:r>
      <w:r>
        <w:rPr>
          <w:rFonts w:hint="eastAsia" w:ascii="宋体"/>
          <w:sz w:val="24"/>
          <w:szCs w:val="24"/>
          <w:highlight w:val="none"/>
          <w:lang w:val="en-US" w:eastAsia="zh-CN"/>
        </w:rPr>
        <w:t>10,457,516</w:t>
      </w:r>
      <w:r>
        <w:rPr>
          <w:rFonts w:hint="eastAsia" w:ascii="宋体" w:hAnsi="宋体"/>
          <w:sz w:val="24"/>
          <w:highlight w:val="none"/>
          <w:lang w:eastAsia="zh-CN"/>
        </w:rPr>
        <w:t>股</w:t>
      </w:r>
      <w:r>
        <w:rPr>
          <w:rFonts w:hint="eastAsia" w:ascii="宋体" w:hAnsi="宋体"/>
          <w:sz w:val="24"/>
          <w:highlight w:val="none"/>
        </w:rPr>
        <w:t>，</w:t>
      </w:r>
      <w:r>
        <w:rPr>
          <w:rFonts w:hint="eastAsia" w:ascii="宋体" w:hAnsi="宋体"/>
          <w:sz w:val="24"/>
          <w:szCs w:val="24"/>
          <w:highlight w:val="none"/>
        </w:rPr>
        <w:t>每股</w:t>
      </w:r>
      <w:r>
        <w:rPr>
          <w:rFonts w:ascii="宋体" w:hAnsi="宋体"/>
          <w:sz w:val="24"/>
          <w:szCs w:val="24"/>
          <w:highlight w:val="none"/>
        </w:rPr>
        <w:t>价格</w:t>
      </w:r>
      <w:r>
        <w:rPr>
          <w:rFonts w:hint="eastAsia" w:ascii="宋体" w:hAnsi="宋体"/>
          <w:sz w:val="24"/>
          <w:szCs w:val="24"/>
          <w:highlight w:val="none"/>
        </w:rPr>
        <w:t>为不低</w:t>
      </w:r>
      <w:r>
        <w:rPr>
          <w:rFonts w:hint="eastAsia" w:ascii="宋体" w:hAnsi="宋体"/>
          <w:sz w:val="24"/>
          <w:highlight w:val="none"/>
        </w:rPr>
        <w:t>于7.65元人民币。</w:t>
      </w:r>
    </w:p>
    <w:p>
      <w:pPr>
        <w:spacing w:line="480" w:lineRule="atLeast"/>
        <w:ind w:right="105" w:rightChars="50" w:firstLine="480" w:firstLineChars="200"/>
        <w:jc w:val="left"/>
        <w:rPr>
          <w:rFonts w:ascii="宋体" w:hAnsi="宋体"/>
          <w:sz w:val="24"/>
          <w:highlight w:val="none"/>
        </w:rPr>
      </w:pPr>
      <w:r>
        <w:rPr>
          <w:rFonts w:hint="eastAsia" w:ascii="宋体" w:hAnsi="宋体"/>
          <w:sz w:val="24"/>
          <w:highlight w:val="none"/>
        </w:rPr>
        <w:t>（2）投资方认购资金不低于</w:t>
      </w:r>
      <w:r>
        <w:rPr>
          <w:rFonts w:hint="eastAsia" w:ascii="宋体" w:hAnsi="宋体"/>
          <w:sz w:val="24"/>
          <w:highlight w:val="none"/>
          <w:lang w:val="en-US" w:eastAsia="zh-CN"/>
        </w:rPr>
        <w:t>80,000,000.00</w:t>
      </w:r>
      <w:r>
        <w:rPr>
          <w:rFonts w:hint="eastAsia" w:ascii="宋体" w:hAnsi="宋体"/>
          <w:sz w:val="24"/>
          <w:highlight w:val="none"/>
        </w:rPr>
        <w:t>元</w:t>
      </w:r>
      <w:r>
        <w:rPr>
          <w:rFonts w:hint="eastAsia" w:ascii="宋体" w:hAnsi="宋体"/>
          <w:sz w:val="24"/>
          <w:szCs w:val="24"/>
          <w:highlight w:val="none"/>
        </w:rPr>
        <w:t>人民币</w:t>
      </w:r>
      <w:r>
        <w:rPr>
          <w:rFonts w:hint="eastAsia" w:ascii="宋体" w:hAnsi="宋体"/>
          <w:sz w:val="24"/>
          <w:highlight w:val="none"/>
        </w:rPr>
        <w:t>。</w:t>
      </w:r>
    </w:p>
    <w:p>
      <w:pPr>
        <w:spacing w:line="480" w:lineRule="atLeast"/>
        <w:ind w:right="105" w:rightChars="50" w:firstLine="480" w:firstLineChars="200"/>
        <w:jc w:val="left"/>
        <w:rPr>
          <w:rFonts w:ascii="宋体" w:hAnsi="宋体"/>
          <w:sz w:val="24"/>
          <w:highlight w:val="none"/>
        </w:rPr>
      </w:pPr>
      <w:r>
        <w:rPr>
          <w:rFonts w:hint="eastAsia" w:ascii="宋体" w:hAnsi="宋体"/>
          <w:sz w:val="24"/>
          <w:szCs w:val="24"/>
          <w:highlight w:val="none"/>
          <w:lang w:eastAsia="zh-CN"/>
        </w:rPr>
        <w:t>（</w:t>
      </w:r>
      <w:r>
        <w:rPr>
          <w:rFonts w:hint="eastAsia" w:ascii="宋体" w:hAnsi="宋体"/>
          <w:sz w:val="24"/>
          <w:szCs w:val="24"/>
          <w:highlight w:val="none"/>
          <w:lang w:val="en-US" w:eastAsia="zh-CN"/>
        </w:rPr>
        <w:t>3</w:t>
      </w:r>
      <w:r>
        <w:rPr>
          <w:rFonts w:hint="eastAsia" w:ascii="宋体" w:hAnsi="宋体"/>
          <w:sz w:val="24"/>
          <w:szCs w:val="24"/>
          <w:highlight w:val="none"/>
          <w:lang w:eastAsia="zh-CN"/>
        </w:rPr>
        <w:t>）</w:t>
      </w:r>
      <w:r>
        <w:rPr>
          <w:rFonts w:hint="eastAsia" w:ascii="宋体" w:hAnsi="宋体"/>
          <w:sz w:val="24"/>
          <w:highlight w:val="none"/>
        </w:rPr>
        <w:t>浙江海正生物材料股份有限公司原股东</w:t>
      </w:r>
      <w:r>
        <w:rPr>
          <w:rFonts w:hint="eastAsia" w:ascii="宋体" w:hAnsi="宋体"/>
          <w:sz w:val="24"/>
          <w:highlight w:val="none"/>
          <w:lang w:val="en-US" w:eastAsia="zh-CN"/>
        </w:rPr>
        <w:t>享有同比例增资权利</w:t>
      </w:r>
      <w:r>
        <w:rPr>
          <w:rFonts w:hint="eastAsia" w:ascii="宋体" w:hAnsi="宋体"/>
          <w:sz w:val="24"/>
          <w:highlight w:val="none"/>
        </w:rPr>
        <w:t>，</w:t>
      </w:r>
      <w:r>
        <w:rPr>
          <w:rFonts w:hint="eastAsia" w:ascii="宋体" w:hAnsi="宋体"/>
          <w:sz w:val="24"/>
          <w:highlight w:val="none"/>
          <w:lang w:eastAsia="zh-CN"/>
        </w:rPr>
        <w:t>浙江海正生物材料股份有限公司员工同步增资，增资</w:t>
      </w:r>
      <w:r>
        <w:rPr>
          <w:rFonts w:hint="eastAsia" w:ascii="宋体" w:hAnsi="宋体"/>
          <w:sz w:val="24"/>
          <w:highlight w:val="none"/>
        </w:rPr>
        <w:t>认购价格为本次</w:t>
      </w:r>
      <w:r>
        <w:rPr>
          <w:rFonts w:hint="eastAsia" w:ascii="宋体" w:hAnsi="宋体"/>
          <w:sz w:val="24"/>
          <w:highlight w:val="none"/>
          <w:lang w:val="en-US" w:eastAsia="zh-CN"/>
        </w:rPr>
        <w:t>挂牌</w:t>
      </w:r>
      <w:r>
        <w:rPr>
          <w:rFonts w:hint="eastAsia" w:ascii="宋体" w:hAnsi="宋体"/>
          <w:sz w:val="24"/>
          <w:highlight w:val="none"/>
          <w:lang w:eastAsia="zh-CN"/>
        </w:rPr>
        <w:t>成交价</w:t>
      </w:r>
      <w:r>
        <w:rPr>
          <w:rFonts w:hint="eastAsia" w:ascii="宋体" w:hAnsi="宋体"/>
          <w:sz w:val="24"/>
          <w:highlight w:val="none"/>
        </w:rPr>
        <w:t>。</w:t>
      </w:r>
    </w:p>
    <w:p>
      <w:pPr>
        <w:spacing w:line="480" w:lineRule="atLeast"/>
        <w:ind w:right="105" w:rightChars="50" w:firstLine="480" w:firstLineChars="200"/>
        <w:jc w:val="left"/>
        <w:rPr>
          <w:rFonts w:ascii="宋体" w:hAnsi="宋体"/>
          <w:sz w:val="24"/>
          <w:highlight w:val="none"/>
        </w:rPr>
      </w:pPr>
      <w:r>
        <w:rPr>
          <w:rFonts w:hint="eastAsia" w:ascii="宋体" w:hAnsi="宋体"/>
          <w:sz w:val="24"/>
          <w:highlight w:val="none"/>
          <w:lang w:eastAsia="zh-CN"/>
        </w:rPr>
        <w:t>（</w:t>
      </w:r>
      <w:r>
        <w:rPr>
          <w:rFonts w:hint="eastAsia" w:ascii="宋体" w:hAnsi="宋体"/>
          <w:sz w:val="24"/>
          <w:highlight w:val="none"/>
          <w:lang w:val="en-US" w:eastAsia="zh-CN"/>
        </w:rPr>
        <w:t>4</w:t>
      </w:r>
      <w:r>
        <w:rPr>
          <w:rFonts w:hint="eastAsia" w:ascii="宋体" w:hAnsi="宋体"/>
          <w:sz w:val="24"/>
          <w:highlight w:val="none"/>
          <w:lang w:eastAsia="zh-CN"/>
        </w:rPr>
        <w:t>）</w:t>
      </w:r>
      <w:r>
        <w:rPr>
          <w:rFonts w:hint="eastAsia" w:ascii="宋体" w:hAnsi="宋体"/>
          <w:sz w:val="24"/>
          <w:highlight w:val="none"/>
        </w:rPr>
        <w:t>台州市椒江城市发展投资集团有限公司根据</w:t>
      </w:r>
      <w:r>
        <w:rPr>
          <w:rFonts w:hint="eastAsia" w:ascii="宋体" w:hAnsi="宋体"/>
          <w:sz w:val="24"/>
          <w:highlight w:val="none"/>
          <w:lang w:val="en-US" w:eastAsia="zh-CN"/>
        </w:rPr>
        <w:t>椒国资办【2020】20号文件同步增资，增资金额不超过2,000.00万元</w:t>
      </w:r>
      <w:r>
        <w:rPr>
          <w:rFonts w:hint="eastAsia" w:ascii="宋体" w:hAnsi="宋体"/>
          <w:sz w:val="24"/>
          <w:highlight w:val="none"/>
        </w:rPr>
        <w:t>，</w:t>
      </w:r>
      <w:r>
        <w:rPr>
          <w:rFonts w:hint="eastAsia" w:ascii="宋体" w:hAnsi="宋体"/>
          <w:sz w:val="24"/>
          <w:highlight w:val="none"/>
          <w:lang w:val="en-US" w:eastAsia="zh-CN"/>
        </w:rPr>
        <w:t>增资</w:t>
      </w:r>
      <w:r>
        <w:rPr>
          <w:rFonts w:hint="eastAsia" w:ascii="宋体" w:hAnsi="宋体"/>
          <w:sz w:val="24"/>
          <w:highlight w:val="none"/>
        </w:rPr>
        <w:t>认购价格为本次</w:t>
      </w:r>
      <w:r>
        <w:rPr>
          <w:rFonts w:hint="eastAsia" w:ascii="宋体" w:hAnsi="宋体"/>
          <w:sz w:val="24"/>
          <w:highlight w:val="none"/>
          <w:lang w:val="en-US" w:eastAsia="zh-CN"/>
        </w:rPr>
        <w:t>挂牌成交价</w:t>
      </w:r>
      <w:r>
        <w:rPr>
          <w:rFonts w:hint="eastAsia" w:ascii="宋体" w:hAnsi="宋体"/>
          <w:sz w:val="24"/>
          <w:highlight w:val="none"/>
        </w:rPr>
        <w:t>。</w:t>
      </w:r>
    </w:p>
    <w:p>
      <w:pPr>
        <w:numPr>
          <w:ilvl w:val="255"/>
          <w:numId w:val="0"/>
        </w:numPr>
        <w:spacing w:line="500" w:lineRule="atLeast"/>
        <w:ind w:firstLine="480" w:firstLineChars="200"/>
        <w:rPr>
          <w:rFonts w:ascii="宋体" w:hAnsi="宋体"/>
          <w:sz w:val="24"/>
          <w:highlight w:val="none"/>
        </w:rPr>
      </w:pPr>
      <w:r>
        <w:rPr>
          <w:rFonts w:hint="eastAsia" w:ascii="宋体" w:hAnsi="宋体"/>
          <w:sz w:val="24"/>
          <w:highlight w:val="none"/>
        </w:rPr>
        <w:t>3.报名主体条件：</w:t>
      </w:r>
    </w:p>
    <w:p>
      <w:pPr>
        <w:widowControl/>
        <w:numPr>
          <w:ilvl w:val="255"/>
          <w:numId w:val="0"/>
        </w:numPr>
        <w:spacing w:line="500" w:lineRule="atLeast"/>
        <w:ind w:firstLine="480" w:firstLineChars="200"/>
        <w:rPr>
          <w:rFonts w:hint="eastAsia" w:ascii="宋体" w:hAnsi="宋体" w:eastAsia="宋体" w:cs="Times New Roman"/>
          <w:sz w:val="24"/>
          <w:szCs w:val="24"/>
          <w:highlight w:val="none"/>
          <w:lang w:eastAsia="zh-CN"/>
        </w:rPr>
      </w:pPr>
      <w:r>
        <w:rPr>
          <w:rFonts w:hint="eastAsia" w:ascii="宋体" w:hAnsi="宋体" w:eastAsia="宋体" w:cs="Times New Roman"/>
          <w:sz w:val="24"/>
          <w:szCs w:val="24"/>
          <w:highlight w:val="none"/>
          <w:lang w:eastAsia="zh-CN"/>
        </w:rPr>
        <w:t>意向投资方为根据中国证券基金业协会的相关规定完成备案的基金（须提供登记证明文件或以中国证券投资基金业协会网站查询结果为准），且须同时满足以下条件：</w:t>
      </w:r>
    </w:p>
    <w:p>
      <w:pPr>
        <w:widowControl/>
        <w:numPr>
          <w:ilvl w:val="255"/>
          <w:numId w:val="0"/>
        </w:numPr>
        <w:spacing w:line="500" w:lineRule="atLeast"/>
        <w:ind w:firstLine="480" w:firstLineChars="200"/>
        <w:rPr>
          <w:rFonts w:hint="eastAsia" w:ascii="宋体" w:hAnsi="宋体" w:eastAsia="宋体" w:cs="Times New Roman"/>
          <w:kern w:val="2"/>
          <w:sz w:val="24"/>
          <w:szCs w:val="24"/>
          <w:highlight w:val="none"/>
        </w:rPr>
      </w:pPr>
      <w:r>
        <w:rPr>
          <w:rFonts w:hint="eastAsia" w:ascii="宋体" w:hAnsi="宋体" w:eastAsia="宋体" w:cs="Times New Roman"/>
          <w:kern w:val="2"/>
          <w:sz w:val="24"/>
          <w:szCs w:val="24"/>
          <w:highlight w:val="none"/>
          <w:lang w:eastAsia="zh-CN"/>
        </w:rPr>
        <w:t>（</w:t>
      </w:r>
      <w:r>
        <w:rPr>
          <w:rFonts w:hint="eastAsia" w:ascii="宋体" w:hAnsi="宋体" w:eastAsia="宋体" w:cs="Times New Roman"/>
          <w:kern w:val="2"/>
          <w:sz w:val="24"/>
          <w:szCs w:val="24"/>
          <w:highlight w:val="none"/>
          <w:lang w:val="en-US" w:eastAsia="zh-CN"/>
        </w:rPr>
        <w:t>1</w:t>
      </w:r>
      <w:r>
        <w:rPr>
          <w:rFonts w:hint="eastAsia" w:ascii="宋体" w:hAnsi="宋体" w:eastAsia="宋体" w:cs="Times New Roman"/>
          <w:kern w:val="2"/>
          <w:sz w:val="24"/>
          <w:szCs w:val="24"/>
          <w:highlight w:val="none"/>
          <w:lang w:eastAsia="zh-CN"/>
        </w:rPr>
        <w:t>）</w:t>
      </w:r>
      <w:r>
        <w:rPr>
          <w:rFonts w:hint="eastAsia" w:ascii="宋体" w:hAnsi="宋体" w:eastAsia="宋体" w:cs="Times New Roman"/>
          <w:kern w:val="2"/>
          <w:sz w:val="24"/>
          <w:szCs w:val="24"/>
          <w:highlight w:val="none"/>
        </w:rPr>
        <w:t>意向投资方具有良好的商业信誉、良好的财务状况和支付能力、无重大违法违规行为。</w:t>
      </w:r>
    </w:p>
    <w:p>
      <w:pPr>
        <w:widowControl/>
        <w:numPr>
          <w:ilvl w:val="255"/>
          <w:numId w:val="0"/>
        </w:numPr>
        <w:spacing w:line="500" w:lineRule="atLeast"/>
        <w:ind w:firstLine="480" w:firstLineChars="200"/>
        <w:rPr>
          <w:rFonts w:hint="eastAsia" w:ascii="宋体" w:hAnsi="宋体" w:eastAsia="宋体" w:cs="Times New Roman"/>
          <w:kern w:val="2"/>
          <w:sz w:val="24"/>
          <w:szCs w:val="24"/>
          <w:highlight w:val="none"/>
        </w:rPr>
      </w:pPr>
      <w:r>
        <w:rPr>
          <w:rFonts w:hint="eastAsia" w:ascii="宋体" w:hAnsi="宋体" w:eastAsia="宋体" w:cs="Times New Roman"/>
          <w:kern w:val="2"/>
          <w:sz w:val="24"/>
          <w:szCs w:val="24"/>
          <w:highlight w:val="none"/>
          <w:lang w:eastAsia="zh-CN"/>
        </w:rPr>
        <w:t>（</w:t>
      </w:r>
      <w:r>
        <w:rPr>
          <w:rFonts w:hint="eastAsia" w:ascii="宋体" w:hAnsi="宋体" w:eastAsia="宋体" w:cs="Times New Roman"/>
          <w:kern w:val="2"/>
          <w:sz w:val="24"/>
          <w:szCs w:val="24"/>
          <w:highlight w:val="none"/>
          <w:lang w:val="en-US" w:eastAsia="zh-CN"/>
        </w:rPr>
        <w:t>2</w:t>
      </w:r>
      <w:r>
        <w:rPr>
          <w:rFonts w:hint="eastAsia" w:ascii="宋体" w:hAnsi="宋体" w:eastAsia="宋体" w:cs="Times New Roman"/>
          <w:kern w:val="2"/>
          <w:sz w:val="24"/>
          <w:szCs w:val="24"/>
          <w:highlight w:val="none"/>
          <w:lang w:eastAsia="zh-CN"/>
        </w:rPr>
        <w:t>）</w:t>
      </w:r>
      <w:r>
        <w:rPr>
          <w:rFonts w:hint="eastAsia" w:ascii="宋体" w:hAnsi="宋体" w:eastAsia="宋体" w:cs="Times New Roman"/>
          <w:kern w:val="2"/>
          <w:sz w:val="24"/>
          <w:szCs w:val="24"/>
          <w:highlight w:val="none"/>
        </w:rPr>
        <w:t>意向投资方及其控制的企业不得与挂牌标的公司存在同业竞争关系。</w:t>
      </w:r>
    </w:p>
    <w:p>
      <w:pPr>
        <w:widowControl/>
        <w:numPr>
          <w:ilvl w:val="255"/>
          <w:numId w:val="0"/>
        </w:numPr>
        <w:spacing w:line="500" w:lineRule="atLeast"/>
        <w:ind w:firstLine="480" w:firstLineChars="200"/>
        <w:rPr>
          <w:rFonts w:hint="eastAsia" w:ascii="宋体" w:hAnsi="宋体" w:eastAsia="宋体" w:cs="Times New Roman"/>
          <w:kern w:val="2"/>
          <w:sz w:val="24"/>
          <w:szCs w:val="24"/>
          <w:highlight w:val="none"/>
        </w:rPr>
      </w:pPr>
      <w:r>
        <w:rPr>
          <w:rFonts w:hint="eastAsia" w:ascii="宋体" w:hAnsi="宋体" w:eastAsia="宋体" w:cs="Times New Roman"/>
          <w:kern w:val="2"/>
          <w:sz w:val="24"/>
          <w:szCs w:val="24"/>
          <w:highlight w:val="none"/>
          <w:lang w:eastAsia="zh-CN"/>
        </w:rPr>
        <w:t>（</w:t>
      </w:r>
      <w:r>
        <w:rPr>
          <w:rFonts w:hint="eastAsia" w:ascii="宋体" w:hAnsi="宋体" w:cs="Times New Roman"/>
          <w:kern w:val="2"/>
          <w:sz w:val="24"/>
          <w:szCs w:val="24"/>
          <w:highlight w:val="none"/>
          <w:lang w:val="en-US" w:eastAsia="zh-CN"/>
        </w:rPr>
        <w:t>3</w:t>
      </w:r>
      <w:r>
        <w:rPr>
          <w:rFonts w:hint="eastAsia" w:ascii="宋体" w:hAnsi="宋体" w:eastAsia="宋体" w:cs="Times New Roman"/>
          <w:kern w:val="2"/>
          <w:sz w:val="24"/>
          <w:szCs w:val="24"/>
          <w:highlight w:val="none"/>
          <w:lang w:eastAsia="zh-CN"/>
        </w:rPr>
        <w:t>）</w:t>
      </w:r>
      <w:r>
        <w:rPr>
          <w:rFonts w:hint="eastAsia" w:ascii="宋体" w:hAnsi="宋体" w:eastAsia="宋体" w:cs="Times New Roman"/>
          <w:kern w:val="2"/>
          <w:sz w:val="24"/>
          <w:szCs w:val="24"/>
          <w:highlight w:val="none"/>
        </w:rPr>
        <w:t>意向投资方为单一主体，不存在以联合体形式参与增资的情形。</w:t>
      </w:r>
    </w:p>
    <w:p>
      <w:pPr>
        <w:widowControl/>
        <w:numPr>
          <w:ilvl w:val="255"/>
          <w:numId w:val="0"/>
        </w:numPr>
        <w:spacing w:line="500" w:lineRule="atLeast"/>
        <w:ind w:firstLine="480" w:firstLineChars="200"/>
        <w:rPr>
          <w:rFonts w:hint="eastAsia" w:ascii="宋体" w:hAnsi="宋体" w:eastAsia="宋体" w:cs="Times New Roman"/>
          <w:kern w:val="2"/>
          <w:sz w:val="24"/>
          <w:szCs w:val="24"/>
          <w:highlight w:val="none"/>
        </w:rPr>
      </w:pPr>
      <w:r>
        <w:rPr>
          <w:rFonts w:hint="eastAsia" w:ascii="宋体" w:hAnsi="宋体" w:cs="Times New Roman"/>
          <w:kern w:val="2"/>
          <w:sz w:val="24"/>
          <w:szCs w:val="24"/>
          <w:highlight w:val="none"/>
          <w:lang w:val="en-US" w:eastAsia="zh-CN"/>
        </w:rPr>
        <w:t>（4）</w:t>
      </w:r>
      <w:r>
        <w:rPr>
          <w:rFonts w:hint="eastAsia" w:ascii="宋体" w:hAnsi="宋体" w:eastAsia="宋体" w:cs="Times New Roman"/>
          <w:kern w:val="2"/>
          <w:sz w:val="24"/>
          <w:szCs w:val="24"/>
          <w:highlight w:val="none"/>
        </w:rPr>
        <w:t>基金已完成两家或以上材料行业企业投资</w:t>
      </w:r>
      <w:r>
        <w:rPr>
          <w:rFonts w:hint="eastAsia" w:ascii="宋体" w:hAnsi="宋体" w:cs="Times New Roman"/>
          <w:kern w:val="2"/>
          <w:sz w:val="24"/>
          <w:szCs w:val="24"/>
          <w:highlight w:val="none"/>
          <w:lang w:eastAsia="zh-CN"/>
        </w:rPr>
        <w:t>。</w:t>
      </w:r>
    </w:p>
    <w:p>
      <w:pPr>
        <w:widowControl/>
        <w:numPr>
          <w:ilvl w:val="255"/>
          <w:numId w:val="0"/>
        </w:numPr>
        <w:spacing w:line="500" w:lineRule="atLeast"/>
        <w:ind w:firstLine="480" w:firstLineChars="200"/>
        <w:rPr>
          <w:rFonts w:hint="eastAsia" w:ascii="宋体" w:hAnsi="宋体" w:eastAsia="宋体" w:cs="Times New Roman"/>
          <w:kern w:val="2"/>
          <w:sz w:val="24"/>
          <w:szCs w:val="24"/>
          <w:highlight w:val="none"/>
        </w:rPr>
      </w:pPr>
      <w:r>
        <w:rPr>
          <w:rFonts w:hint="eastAsia" w:ascii="宋体" w:hAnsi="宋体" w:cs="Times New Roman"/>
          <w:kern w:val="2"/>
          <w:sz w:val="24"/>
          <w:szCs w:val="24"/>
          <w:highlight w:val="none"/>
          <w:lang w:eastAsia="zh-CN"/>
        </w:rPr>
        <w:t>（</w:t>
      </w:r>
      <w:r>
        <w:rPr>
          <w:rFonts w:hint="eastAsia" w:ascii="宋体" w:hAnsi="宋体" w:cs="Times New Roman"/>
          <w:kern w:val="2"/>
          <w:sz w:val="24"/>
          <w:szCs w:val="24"/>
          <w:highlight w:val="none"/>
          <w:lang w:val="en-US" w:eastAsia="zh-CN"/>
        </w:rPr>
        <w:t>5</w:t>
      </w:r>
      <w:r>
        <w:rPr>
          <w:rFonts w:hint="eastAsia" w:ascii="宋体" w:hAnsi="宋体" w:cs="Times New Roman"/>
          <w:kern w:val="2"/>
          <w:sz w:val="24"/>
          <w:szCs w:val="24"/>
          <w:highlight w:val="none"/>
          <w:lang w:eastAsia="zh-CN"/>
        </w:rPr>
        <w:t>）</w:t>
      </w:r>
      <w:r>
        <w:rPr>
          <w:rFonts w:hint="eastAsia" w:ascii="宋体" w:hAnsi="宋体" w:eastAsia="宋体" w:cs="Times New Roman"/>
          <w:kern w:val="2"/>
          <w:sz w:val="24"/>
          <w:szCs w:val="24"/>
          <w:highlight w:val="none"/>
        </w:rPr>
        <w:t>基金已投资公司中至少有一家已递交IPO申请并获得受理</w:t>
      </w:r>
      <w:r>
        <w:rPr>
          <w:rFonts w:hint="eastAsia" w:ascii="宋体" w:hAnsi="宋体" w:cs="Times New Roman"/>
          <w:kern w:val="2"/>
          <w:sz w:val="24"/>
          <w:szCs w:val="24"/>
          <w:highlight w:val="none"/>
          <w:lang w:eastAsia="zh-CN"/>
        </w:rPr>
        <w:t>。</w:t>
      </w:r>
    </w:p>
    <w:p>
      <w:pPr>
        <w:widowControl/>
        <w:numPr>
          <w:ilvl w:val="255"/>
          <w:numId w:val="0"/>
        </w:numPr>
        <w:spacing w:line="500" w:lineRule="atLeast"/>
        <w:ind w:firstLine="480" w:firstLineChars="200"/>
        <w:rPr>
          <w:rFonts w:hint="eastAsia" w:ascii="宋体" w:hAnsi="宋体" w:eastAsia="宋体" w:cs="Times New Roman"/>
          <w:kern w:val="2"/>
          <w:sz w:val="24"/>
          <w:szCs w:val="24"/>
          <w:highlight w:val="none"/>
        </w:rPr>
      </w:pPr>
      <w:r>
        <w:rPr>
          <w:rFonts w:hint="eastAsia" w:ascii="宋体" w:hAnsi="宋体" w:cs="Times New Roman"/>
          <w:kern w:val="2"/>
          <w:sz w:val="24"/>
          <w:szCs w:val="24"/>
          <w:highlight w:val="none"/>
          <w:lang w:eastAsia="zh-CN"/>
        </w:rPr>
        <w:t>（</w:t>
      </w:r>
      <w:r>
        <w:rPr>
          <w:rFonts w:hint="eastAsia" w:ascii="宋体" w:hAnsi="宋体" w:cs="Times New Roman"/>
          <w:kern w:val="2"/>
          <w:sz w:val="24"/>
          <w:szCs w:val="24"/>
          <w:highlight w:val="none"/>
          <w:lang w:val="en-US" w:eastAsia="zh-CN"/>
        </w:rPr>
        <w:t>6</w:t>
      </w:r>
      <w:r>
        <w:rPr>
          <w:rFonts w:hint="eastAsia" w:ascii="宋体" w:hAnsi="宋体" w:cs="Times New Roman"/>
          <w:kern w:val="2"/>
          <w:sz w:val="24"/>
          <w:szCs w:val="24"/>
          <w:highlight w:val="none"/>
          <w:lang w:eastAsia="zh-CN"/>
        </w:rPr>
        <w:t>）</w:t>
      </w:r>
      <w:r>
        <w:rPr>
          <w:rFonts w:hint="eastAsia" w:ascii="宋体" w:hAnsi="宋体" w:eastAsia="宋体" w:cs="Times New Roman"/>
          <w:kern w:val="2"/>
          <w:sz w:val="24"/>
          <w:szCs w:val="24"/>
          <w:highlight w:val="none"/>
        </w:rPr>
        <w:t>基金管理人有能力和资源为融资方提供产业和研发资源的多方面支持，主要股东（持股比例不低于33%）或主要股东的实际控制人须同时包括：</w:t>
      </w:r>
    </w:p>
    <w:p>
      <w:pPr>
        <w:widowControl/>
        <w:numPr>
          <w:ilvl w:val="255"/>
          <w:numId w:val="0"/>
        </w:numPr>
        <w:spacing w:line="500" w:lineRule="atLeast"/>
        <w:ind w:firstLine="480" w:firstLineChars="200"/>
        <w:rPr>
          <w:rFonts w:hint="eastAsia" w:ascii="宋体" w:hAnsi="宋体" w:eastAsia="宋体" w:cs="Times New Roman"/>
          <w:kern w:val="2"/>
          <w:sz w:val="24"/>
          <w:szCs w:val="24"/>
          <w:highlight w:val="none"/>
        </w:rPr>
      </w:pPr>
      <w:r>
        <w:rPr>
          <w:rFonts w:hint="eastAsia" w:ascii="宋体" w:hAnsi="宋体" w:eastAsia="宋体" w:cs="Times New Roman"/>
          <w:kern w:val="2"/>
          <w:sz w:val="24"/>
          <w:szCs w:val="24"/>
          <w:highlight w:val="none"/>
        </w:rPr>
        <w:t>Ⅰ</w:t>
      </w:r>
      <w:r>
        <w:rPr>
          <w:rFonts w:hint="eastAsia" w:ascii="宋体" w:hAnsi="宋体" w:eastAsia="宋体" w:cs="Times New Roman"/>
          <w:kern w:val="2"/>
          <w:sz w:val="24"/>
          <w:szCs w:val="24"/>
          <w:highlight w:val="none"/>
          <w:lang w:val="en-US" w:eastAsia="zh-CN"/>
        </w:rPr>
        <w:t>.</w:t>
      </w:r>
      <w:r>
        <w:rPr>
          <w:rFonts w:hint="eastAsia" w:ascii="宋体" w:hAnsi="宋体" w:eastAsia="宋体" w:cs="Times New Roman"/>
          <w:kern w:val="2"/>
          <w:sz w:val="24"/>
          <w:szCs w:val="24"/>
          <w:highlight w:val="none"/>
        </w:rPr>
        <w:t>世界500强企业且排名在100名内（以《财富》杂志2019年公布的榜单为准），注册地在中国大陆，注册资本不低于400亿元人民币，2019年销售额不低于5000亿人民币，且在材料领域有广泛的产业布局和运营管理经验，具备为融资方提供产业支持的资源和能力</w:t>
      </w:r>
      <w:r>
        <w:rPr>
          <w:rFonts w:hint="eastAsia" w:ascii="宋体" w:hAnsi="宋体" w:cs="Times New Roman"/>
          <w:kern w:val="2"/>
          <w:sz w:val="24"/>
          <w:szCs w:val="24"/>
          <w:highlight w:val="none"/>
          <w:lang w:eastAsia="zh-CN"/>
        </w:rPr>
        <w:t>。</w:t>
      </w:r>
    </w:p>
    <w:p>
      <w:pPr>
        <w:widowControl/>
        <w:numPr>
          <w:ilvl w:val="255"/>
          <w:numId w:val="0"/>
        </w:numPr>
        <w:spacing w:line="500" w:lineRule="atLeast"/>
        <w:ind w:firstLine="480" w:firstLineChars="200"/>
        <w:rPr>
          <w:rFonts w:hint="eastAsia" w:ascii="宋体" w:hAnsi="宋体" w:eastAsia="宋体" w:cs="Times New Roman"/>
          <w:kern w:val="2"/>
          <w:sz w:val="24"/>
          <w:szCs w:val="24"/>
          <w:highlight w:val="none"/>
        </w:rPr>
      </w:pPr>
      <w:r>
        <w:rPr>
          <w:rFonts w:hint="eastAsia" w:ascii="宋体" w:hAnsi="宋体" w:eastAsia="宋体" w:cs="Times New Roman"/>
          <w:kern w:val="2"/>
          <w:sz w:val="24"/>
          <w:szCs w:val="24"/>
          <w:highlight w:val="none"/>
        </w:rPr>
        <w:t>Ⅱ</w:t>
      </w:r>
      <w:r>
        <w:rPr>
          <w:rFonts w:hint="eastAsia" w:ascii="宋体" w:hAnsi="宋体" w:eastAsia="宋体" w:cs="Times New Roman"/>
          <w:kern w:val="2"/>
          <w:sz w:val="24"/>
          <w:szCs w:val="24"/>
          <w:highlight w:val="none"/>
          <w:lang w:val="en-US" w:eastAsia="zh-CN"/>
        </w:rPr>
        <w:t>.</w:t>
      </w:r>
      <w:r>
        <w:rPr>
          <w:rFonts w:hint="eastAsia" w:ascii="宋体" w:hAnsi="宋体" w:eastAsia="宋体" w:cs="Times New Roman"/>
          <w:kern w:val="2"/>
          <w:sz w:val="24"/>
          <w:szCs w:val="24"/>
          <w:highlight w:val="none"/>
        </w:rPr>
        <w:t>国内知名院校（以教育部2017年公布的</w:t>
      </w:r>
      <w:r>
        <w:rPr>
          <w:rFonts w:hint="eastAsia" w:ascii="宋体" w:hAnsi="宋体" w:eastAsia="宋体" w:cs="Times New Roman"/>
          <w:kern w:val="2"/>
          <w:sz w:val="24"/>
          <w:szCs w:val="24"/>
          <w:highlight w:val="none"/>
        </w:rPr>
        <w:fldChar w:fldCharType="begin"/>
      </w:r>
      <w:r>
        <w:rPr>
          <w:rFonts w:hint="eastAsia" w:ascii="宋体" w:hAnsi="宋体" w:eastAsia="宋体" w:cs="Times New Roman"/>
          <w:kern w:val="2"/>
          <w:sz w:val="24"/>
          <w:szCs w:val="24"/>
          <w:highlight w:val="none"/>
        </w:rPr>
        <w:instrText xml:space="preserve"> HYPERLINK "http://www.moe.gov.cn/srcsite/A22/moe_843/201709/W020170921369558197676.docx" \t "_blank" </w:instrText>
      </w:r>
      <w:r>
        <w:rPr>
          <w:rFonts w:hint="eastAsia" w:ascii="宋体" w:hAnsi="宋体" w:eastAsia="宋体" w:cs="Times New Roman"/>
          <w:kern w:val="2"/>
          <w:sz w:val="24"/>
          <w:szCs w:val="24"/>
          <w:highlight w:val="none"/>
        </w:rPr>
        <w:fldChar w:fldCharType="separate"/>
      </w:r>
      <w:r>
        <w:rPr>
          <w:rFonts w:hint="eastAsia" w:ascii="宋体" w:hAnsi="宋体" w:eastAsia="宋体" w:cs="Times New Roman"/>
          <w:kern w:val="2"/>
          <w:sz w:val="24"/>
          <w:szCs w:val="24"/>
          <w:highlight w:val="none"/>
        </w:rPr>
        <w:t>“双一流”建设高校名单</w:t>
      </w:r>
      <w:r>
        <w:rPr>
          <w:rFonts w:hint="eastAsia" w:ascii="宋体" w:hAnsi="宋体" w:eastAsia="宋体" w:cs="Times New Roman"/>
          <w:kern w:val="2"/>
          <w:sz w:val="24"/>
          <w:szCs w:val="24"/>
          <w:highlight w:val="none"/>
        </w:rPr>
        <w:fldChar w:fldCharType="end"/>
      </w:r>
      <w:r>
        <w:rPr>
          <w:rFonts w:hint="eastAsia" w:ascii="宋体" w:hAnsi="宋体" w:eastAsia="宋体" w:cs="Times New Roman"/>
          <w:kern w:val="2"/>
          <w:sz w:val="24"/>
          <w:szCs w:val="24"/>
          <w:highlight w:val="none"/>
        </w:rPr>
        <w:t>为准），具备为融资方提供高水平研发资源支持的能力</w:t>
      </w:r>
      <w:r>
        <w:rPr>
          <w:rFonts w:hint="eastAsia" w:ascii="宋体" w:hAnsi="宋体" w:cs="Times New Roman"/>
          <w:kern w:val="2"/>
          <w:sz w:val="24"/>
          <w:szCs w:val="24"/>
          <w:highlight w:val="none"/>
          <w:lang w:eastAsia="zh-CN"/>
        </w:rPr>
        <w:t>。</w:t>
      </w:r>
    </w:p>
    <w:p>
      <w:pPr>
        <w:widowControl/>
        <w:numPr>
          <w:ilvl w:val="255"/>
          <w:numId w:val="0"/>
        </w:numPr>
        <w:spacing w:line="500" w:lineRule="atLeast"/>
        <w:ind w:firstLine="480" w:firstLineChars="200"/>
        <w:rPr>
          <w:rFonts w:hint="eastAsia" w:ascii="宋体" w:hAnsi="宋体" w:eastAsia="宋体" w:cs="Times New Roman"/>
          <w:kern w:val="2"/>
          <w:sz w:val="24"/>
          <w:szCs w:val="24"/>
          <w:highlight w:val="none"/>
        </w:rPr>
      </w:pPr>
      <w:r>
        <w:rPr>
          <w:rFonts w:hint="eastAsia" w:ascii="宋体" w:hAnsi="宋体" w:cs="Times New Roman"/>
          <w:kern w:val="2"/>
          <w:sz w:val="24"/>
          <w:szCs w:val="24"/>
          <w:highlight w:val="none"/>
          <w:lang w:eastAsia="zh-CN"/>
        </w:rPr>
        <w:t>（</w:t>
      </w:r>
      <w:r>
        <w:rPr>
          <w:rFonts w:hint="eastAsia" w:ascii="宋体" w:hAnsi="宋体" w:cs="Times New Roman"/>
          <w:kern w:val="2"/>
          <w:sz w:val="24"/>
          <w:szCs w:val="24"/>
          <w:highlight w:val="none"/>
          <w:lang w:val="en-US" w:eastAsia="zh-CN"/>
        </w:rPr>
        <w:t>7</w:t>
      </w:r>
      <w:r>
        <w:rPr>
          <w:rFonts w:hint="eastAsia" w:ascii="宋体" w:hAnsi="宋体" w:cs="Times New Roman"/>
          <w:kern w:val="2"/>
          <w:sz w:val="24"/>
          <w:szCs w:val="24"/>
          <w:highlight w:val="none"/>
          <w:lang w:eastAsia="zh-CN"/>
        </w:rPr>
        <w:t>）</w:t>
      </w:r>
      <w:r>
        <w:rPr>
          <w:rFonts w:hint="eastAsia" w:ascii="宋体" w:hAnsi="宋体" w:eastAsia="宋体" w:cs="Times New Roman"/>
          <w:kern w:val="2"/>
          <w:sz w:val="24"/>
          <w:szCs w:val="24"/>
          <w:highlight w:val="none"/>
        </w:rPr>
        <w:t xml:space="preserve">基金出资人中包括以材料为主营业务（以工商登记的经营范围为准）的有限合伙人 </w:t>
      </w:r>
      <w:r>
        <w:rPr>
          <w:rFonts w:hint="eastAsia" w:ascii="宋体" w:hAnsi="宋体" w:cs="Times New Roman"/>
          <w:kern w:val="2"/>
          <w:sz w:val="24"/>
          <w:szCs w:val="24"/>
          <w:highlight w:val="none"/>
          <w:lang w:eastAsia="zh-CN"/>
        </w:rPr>
        <w:t>。</w:t>
      </w:r>
    </w:p>
    <w:p>
      <w:pPr>
        <w:numPr>
          <w:ilvl w:val="255"/>
          <w:numId w:val="0"/>
        </w:numPr>
        <w:spacing w:line="500" w:lineRule="atLeast"/>
        <w:ind w:firstLine="480" w:firstLineChars="200"/>
        <w:rPr>
          <w:rFonts w:hint="eastAsia" w:ascii="宋体" w:hAnsi="宋体" w:eastAsia="宋体" w:cs="Times New Roman"/>
          <w:kern w:val="2"/>
          <w:sz w:val="24"/>
          <w:szCs w:val="24"/>
          <w:highlight w:val="none"/>
          <w:lang w:eastAsia="zh-CN"/>
        </w:rPr>
      </w:pPr>
      <w:r>
        <w:rPr>
          <w:rFonts w:hint="eastAsia" w:ascii="宋体" w:hAnsi="宋体" w:cs="Times New Roman"/>
          <w:kern w:val="2"/>
          <w:sz w:val="24"/>
          <w:szCs w:val="24"/>
          <w:highlight w:val="none"/>
          <w:lang w:eastAsia="zh-CN"/>
        </w:rPr>
        <w:t>（</w:t>
      </w:r>
      <w:r>
        <w:rPr>
          <w:rFonts w:hint="eastAsia" w:ascii="宋体" w:hAnsi="宋体" w:cs="Times New Roman"/>
          <w:kern w:val="2"/>
          <w:sz w:val="24"/>
          <w:szCs w:val="24"/>
          <w:highlight w:val="none"/>
          <w:lang w:val="en-US" w:eastAsia="zh-CN"/>
        </w:rPr>
        <w:t>8</w:t>
      </w:r>
      <w:r>
        <w:rPr>
          <w:rFonts w:hint="eastAsia" w:ascii="宋体" w:hAnsi="宋体" w:cs="Times New Roman"/>
          <w:kern w:val="2"/>
          <w:sz w:val="24"/>
          <w:szCs w:val="24"/>
          <w:highlight w:val="none"/>
          <w:lang w:eastAsia="zh-CN"/>
        </w:rPr>
        <w:t>）</w:t>
      </w:r>
      <w:r>
        <w:rPr>
          <w:rFonts w:hint="eastAsia" w:ascii="宋体" w:hAnsi="宋体" w:eastAsia="宋体" w:cs="Times New Roman"/>
          <w:kern w:val="2"/>
          <w:sz w:val="24"/>
          <w:szCs w:val="24"/>
          <w:highlight w:val="none"/>
        </w:rPr>
        <w:t>基金不存在分级收益等结构化安排，其合伙人不存在委托持股、契约型私募基金、信托计划、资产管理计划等情形</w:t>
      </w:r>
      <w:r>
        <w:rPr>
          <w:rFonts w:hint="eastAsia" w:ascii="宋体" w:hAnsi="宋体" w:eastAsia="宋体" w:cs="Times New Roman"/>
          <w:kern w:val="2"/>
          <w:sz w:val="24"/>
          <w:szCs w:val="24"/>
          <w:highlight w:val="none"/>
          <w:lang w:eastAsia="zh-CN"/>
        </w:rPr>
        <w:t>。</w:t>
      </w:r>
    </w:p>
    <w:p>
      <w:pPr>
        <w:numPr>
          <w:ilvl w:val="255"/>
          <w:numId w:val="0"/>
        </w:numPr>
        <w:spacing w:before="0" w:beforeLines="-2147483648" w:after="0" w:afterLines="-2147483648" w:line="500" w:lineRule="atLeast"/>
        <w:ind w:left="0" w:firstLine="480" w:firstLineChars="200"/>
        <w:rPr>
          <w:rFonts w:hint="eastAsia" w:ascii="宋体" w:hAnsi="宋体"/>
          <w:sz w:val="24"/>
          <w:szCs w:val="24"/>
          <w:highlight w:val="none"/>
        </w:rPr>
      </w:pPr>
      <w:r>
        <w:rPr>
          <w:rFonts w:hint="eastAsia" w:ascii="宋体" w:hAnsi="宋体"/>
          <w:sz w:val="24"/>
          <w:szCs w:val="24"/>
          <w:highlight w:val="none"/>
          <w:lang w:val="en-US" w:eastAsia="zh-CN"/>
        </w:rPr>
        <w:t>4.</w:t>
      </w:r>
      <w:r>
        <w:rPr>
          <w:rFonts w:hint="eastAsia" w:ascii="宋体" w:hAnsi="宋体"/>
          <w:sz w:val="24"/>
          <w:szCs w:val="24"/>
          <w:highlight w:val="none"/>
        </w:rPr>
        <w:t>递交保证金：报名时交纳</w:t>
      </w:r>
      <w:r>
        <w:rPr>
          <w:rFonts w:hint="eastAsia" w:ascii="宋体" w:hAnsi="宋体"/>
          <w:sz w:val="24"/>
          <w:szCs w:val="24"/>
          <w:highlight w:val="none"/>
          <w:lang w:val="en-US" w:eastAsia="zh-CN"/>
        </w:rPr>
        <w:t>24</w:t>
      </w:r>
      <w:r>
        <w:rPr>
          <w:rFonts w:hint="eastAsia" w:ascii="宋体" w:hAnsi="宋体"/>
          <w:sz w:val="24"/>
          <w:szCs w:val="24"/>
          <w:highlight w:val="none"/>
        </w:rPr>
        <w:t>,000,000</w:t>
      </w:r>
      <w:r>
        <w:rPr>
          <w:rFonts w:hint="eastAsia" w:ascii="宋体" w:hAnsi="宋体"/>
          <w:sz w:val="24"/>
          <w:szCs w:val="24"/>
          <w:highlight w:val="none"/>
          <w:lang w:val="en-US" w:eastAsia="zh-CN"/>
        </w:rPr>
        <w:t>.00</w:t>
      </w:r>
      <w:r>
        <w:rPr>
          <w:rFonts w:hint="eastAsia" w:ascii="宋体" w:hAnsi="宋体"/>
          <w:sz w:val="24"/>
          <w:szCs w:val="24"/>
          <w:highlight w:val="none"/>
        </w:rPr>
        <w:t>元</w:t>
      </w:r>
      <w:r>
        <w:rPr>
          <w:rFonts w:hint="eastAsia" w:ascii="宋体" w:hAnsi="宋体"/>
          <w:sz w:val="24"/>
          <w:szCs w:val="24"/>
          <w:highlight w:val="none"/>
          <w:lang w:val="en-US" w:eastAsia="zh-CN"/>
        </w:rPr>
        <w:t>人民币</w:t>
      </w:r>
      <w:r>
        <w:rPr>
          <w:rFonts w:hint="eastAsia" w:ascii="宋体" w:hAnsi="宋体"/>
          <w:sz w:val="24"/>
          <w:szCs w:val="24"/>
          <w:highlight w:val="none"/>
        </w:rPr>
        <w:t>竞买保证金，意向投资方应在报名截止时间前将保证金汇入组织人指定账户。</w:t>
      </w:r>
    </w:p>
    <w:p>
      <w:pPr>
        <w:numPr>
          <w:ilvl w:val="255"/>
          <w:numId w:val="0"/>
        </w:numPr>
        <w:spacing w:line="500" w:lineRule="atLeast"/>
        <w:ind w:firstLine="480" w:firstLineChars="200"/>
        <w:rPr>
          <w:rFonts w:ascii="宋体"/>
          <w:sz w:val="24"/>
          <w:szCs w:val="24"/>
          <w:highlight w:val="none"/>
        </w:rPr>
      </w:pPr>
      <w:r>
        <w:rPr>
          <w:rFonts w:hint="eastAsia" w:ascii="宋体" w:hAnsi="宋体"/>
          <w:sz w:val="24"/>
          <w:szCs w:val="24"/>
          <w:highlight w:val="none"/>
        </w:rPr>
        <w:t>5.确定投资方：依据本增资文件的规定，每股价格为不低于7.65元人民币的基础上，多次网络竞价，价高者得（具体详见网络竞价规则）。</w:t>
      </w:r>
    </w:p>
    <w:p>
      <w:pPr>
        <w:numPr>
          <w:ilvl w:val="255"/>
          <w:numId w:val="0"/>
        </w:numPr>
        <w:spacing w:line="500" w:lineRule="atLeast"/>
        <w:ind w:firstLine="480" w:firstLineChars="200"/>
        <w:rPr>
          <w:rFonts w:ascii="宋体"/>
          <w:sz w:val="24"/>
          <w:szCs w:val="24"/>
          <w:highlight w:val="none"/>
        </w:rPr>
      </w:pPr>
      <w:r>
        <w:rPr>
          <w:rFonts w:hint="eastAsia" w:ascii="宋体" w:hAnsi="宋体"/>
          <w:sz w:val="24"/>
          <w:szCs w:val="24"/>
          <w:highlight w:val="none"/>
        </w:rPr>
        <w:t>6.签署增资协议：申请方、投资方</w:t>
      </w:r>
      <w:r>
        <w:rPr>
          <w:rFonts w:hint="eastAsia" w:ascii="宋体" w:hAnsi="宋体"/>
          <w:sz w:val="24"/>
          <w:szCs w:val="24"/>
          <w:highlight w:val="none"/>
          <w:lang w:eastAsia="zh-CN"/>
        </w:rPr>
        <w:t>、组织人</w:t>
      </w:r>
      <w:r>
        <w:rPr>
          <w:rFonts w:hint="eastAsia" w:ascii="宋体" w:hAnsi="宋体"/>
          <w:sz w:val="24"/>
          <w:szCs w:val="24"/>
          <w:highlight w:val="none"/>
        </w:rPr>
        <w:t>签署《浙江海正生物材料股份有限公司增资扩股协议》。</w:t>
      </w:r>
    </w:p>
    <w:p>
      <w:pPr>
        <w:numPr>
          <w:ilvl w:val="255"/>
          <w:numId w:val="0"/>
        </w:numPr>
        <w:spacing w:line="500" w:lineRule="atLeast"/>
        <w:ind w:firstLine="480" w:firstLineChars="200"/>
        <w:rPr>
          <w:rFonts w:ascii="宋体"/>
          <w:sz w:val="24"/>
          <w:szCs w:val="24"/>
          <w:highlight w:val="none"/>
        </w:rPr>
      </w:pPr>
      <w:r>
        <w:rPr>
          <w:rFonts w:hint="eastAsia" w:ascii="宋体" w:hAnsi="宋体"/>
          <w:sz w:val="24"/>
          <w:szCs w:val="24"/>
          <w:highlight w:val="none"/>
        </w:rPr>
        <w:t>7.时间安排：</w:t>
      </w:r>
    </w:p>
    <w:p>
      <w:pPr>
        <w:spacing w:line="500" w:lineRule="atLeast"/>
        <w:ind w:firstLine="480" w:firstLineChars="200"/>
        <w:rPr>
          <w:rFonts w:ascii="宋体" w:hAnsi="宋体"/>
          <w:sz w:val="24"/>
          <w:highlight w:val="none"/>
        </w:rPr>
      </w:pPr>
      <w:r>
        <w:rPr>
          <w:rFonts w:hint="eastAsia" w:ascii="宋体" w:hAnsi="宋体"/>
          <w:sz w:val="24"/>
          <w:szCs w:val="24"/>
          <w:highlight w:val="none"/>
        </w:rPr>
        <w:t>（</w:t>
      </w:r>
      <w:r>
        <w:rPr>
          <w:rFonts w:ascii="宋体" w:hAnsi="宋体"/>
          <w:sz w:val="24"/>
          <w:szCs w:val="24"/>
          <w:highlight w:val="none"/>
        </w:rPr>
        <w:t>1</w:t>
      </w:r>
      <w:r>
        <w:rPr>
          <w:rFonts w:hint="eastAsia" w:ascii="宋体" w:hAnsi="宋体"/>
          <w:sz w:val="24"/>
          <w:szCs w:val="24"/>
          <w:highlight w:val="none"/>
        </w:rPr>
        <w:t>）报名：</w:t>
      </w:r>
      <w:r>
        <w:rPr>
          <w:rFonts w:hint="eastAsia" w:ascii="宋体" w:hAnsi="宋体"/>
          <w:sz w:val="24"/>
          <w:highlight w:val="none"/>
        </w:rPr>
        <w:t>凡报名者企业法人须持营业执照（或者其他注册证明文件）复印件、</w:t>
      </w:r>
      <w:bookmarkStart w:id="16" w:name="_GoBack"/>
      <w:bookmarkEnd w:id="16"/>
      <w:r>
        <w:rPr>
          <w:rFonts w:hint="eastAsia" w:ascii="宋体" w:hAnsi="宋体"/>
          <w:bCs/>
          <w:sz w:val="24"/>
          <w:highlight w:val="none"/>
        </w:rPr>
        <w:t>《增资扩股投资申请书》、</w:t>
      </w:r>
      <w:r>
        <w:rPr>
          <w:rFonts w:hint="eastAsia" w:ascii="宋体" w:hAnsi="宋体"/>
          <w:sz w:val="24"/>
          <w:highlight w:val="none"/>
        </w:rPr>
        <w:t>法人代表身份证、（委托书与身份证、受托人身份证）、公司章程、相关决议、</w:t>
      </w:r>
      <w:r>
        <w:rPr>
          <w:rFonts w:hint="eastAsia" w:ascii="宋体" w:hAnsi="宋体"/>
          <w:bCs/>
          <w:sz w:val="24"/>
          <w:highlight w:val="none"/>
        </w:rPr>
        <w:t>本公告中对</w:t>
      </w:r>
      <w:r>
        <w:rPr>
          <w:rFonts w:hint="eastAsia" w:ascii="宋体" w:hAnsi="宋体"/>
          <w:sz w:val="24"/>
          <w:highlight w:val="none"/>
        </w:rPr>
        <w:t>投资方条件要求的相关材料。</w:t>
      </w:r>
    </w:p>
    <w:p>
      <w:pPr>
        <w:spacing w:line="500" w:lineRule="atLeast"/>
        <w:ind w:firstLine="480" w:firstLineChars="200"/>
        <w:rPr>
          <w:rFonts w:ascii="宋体"/>
          <w:sz w:val="24"/>
          <w:szCs w:val="24"/>
          <w:highlight w:val="none"/>
        </w:rPr>
      </w:pPr>
      <w:r>
        <w:rPr>
          <w:rFonts w:hint="eastAsia" w:ascii="宋体" w:hAnsi="宋体"/>
          <w:sz w:val="24"/>
          <w:szCs w:val="24"/>
          <w:highlight w:val="none"/>
        </w:rPr>
        <w:t>符合条件的意向投资方应在报名截止时间前向组织人递交全部报名材料（日常办理时间：工作日上午</w:t>
      </w:r>
      <w:r>
        <w:rPr>
          <w:rFonts w:ascii="宋体" w:hAnsi="宋体"/>
          <w:sz w:val="24"/>
          <w:szCs w:val="24"/>
          <w:highlight w:val="none"/>
        </w:rPr>
        <w:t>8</w:t>
      </w:r>
      <w:r>
        <w:rPr>
          <w:rFonts w:hint="eastAsia" w:ascii="宋体" w:hAnsi="宋体"/>
          <w:sz w:val="24"/>
          <w:szCs w:val="24"/>
          <w:highlight w:val="none"/>
        </w:rPr>
        <w:t>：</w:t>
      </w:r>
      <w:r>
        <w:rPr>
          <w:rFonts w:ascii="宋体" w:hAnsi="宋体"/>
          <w:sz w:val="24"/>
          <w:szCs w:val="24"/>
          <w:highlight w:val="none"/>
        </w:rPr>
        <w:t>30</w:t>
      </w:r>
      <w:r>
        <w:rPr>
          <w:rFonts w:hint="eastAsia" w:ascii="宋体" w:hAnsi="宋体"/>
          <w:sz w:val="24"/>
          <w:szCs w:val="24"/>
          <w:highlight w:val="none"/>
        </w:rPr>
        <w:t>－</w:t>
      </w:r>
      <w:r>
        <w:rPr>
          <w:rFonts w:ascii="宋体" w:hAnsi="宋体"/>
          <w:sz w:val="24"/>
          <w:szCs w:val="24"/>
          <w:highlight w:val="none"/>
        </w:rPr>
        <w:t>11</w:t>
      </w:r>
      <w:r>
        <w:rPr>
          <w:rFonts w:hint="eastAsia" w:ascii="宋体" w:hAnsi="宋体"/>
          <w:sz w:val="24"/>
          <w:szCs w:val="24"/>
          <w:highlight w:val="none"/>
        </w:rPr>
        <w:t>：</w:t>
      </w:r>
      <w:r>
        <w:rPr>
          <w:rFonts w:ascii="宋体" w:hAnsi="宋体"/>
          <w:sz w:val="24"/>
          <w:szCs w:val="24"/>
          <w:highlight w:val="none"/>
        </w:rPr>
        <w:t>30</w:t>
      </w:r>
      <w:r>
        <w:rPr>
          <w:rFonts w:hint="eastAsia" w:ascii="宋体" w:hAnsi="宋体"/>
          <w:sz w:val="24"/>
          <w:szCs w:val="24"/>
          <w:highlight w:val="none"/>
        </w:rPr>
        <w:t>，下午</w:t>
      </w:r>
      <w:r>
        <w:rPr>
          <w:rFonts w:ascii="宋体" w:hAnsi="宋体"/>
          <w:sz w:val="24"/>
          <w:szCs w:val="24"/>
          <w:highlight w:val="none"/>
        </w:rPr>
        <w:t>14</w:t>
      </w:r>
      <w:r>
        <w:rPr>
          <w:rFonts w:hint="eastAsia" w:ascii="宋体" w:hAnsi="宋体"/>
          <w:sz w:val="24"/>
          <w:szCs w:val="24"/>
          <w:highlight w:val="none"/>
        </w:rPr>
        <w:t>：</w:t>
      </w:r>
      <w:r>
        <w:rPr>
          <w:rFonts w:ascii="宋体" w:hAnsi="宋体"/>
          <w:sz w:val="24"/>
          <w:szCs w:val="24"/>
          <w:highlight w:val="none"/>
        </w:rPr>
        <w:t>00</w:t>
      </w:r>
      <w:r>
        <w:rPr>
          <w:rFonts w:hint="eastAsia" w:ascii="宋体" w:hAnsi="宋体"/>
          <w:sz w:val="24"/>
          <w:szCs w:val="24"/>
          <w:highlight w:val="none"/>
        </w:rPr>
        <w:t>－</w:t>
      </w:r>
      <w:r>
        <w:rPr>
          <w:rFonts w:hint="eastAsia" w:ascii="宋体" w:hAnsi="宋体"/>
          <w:sz w:val="24"/>
          <w:szCs w:val="24"/>
          <w:highlight w:val="none"/>
          <w:lang w:eastAsia="zh-CN"/>
        </w:rPr>
        <w:t>1</w:t>
      </w:r>
      <w:r>
        <w:rPr>
          <w:rFonts w:hint="eastAsia" w:ascii="宋体" w:hAnsi="宋体"/>
          <w:sz w:val="24"/>
          <w:szCs w:val="24"/>
          <w:highlight w:val="none"/>
          <w:lang w:val="en-US" w:eastAsia="zh-CN"/>
        </w:rPr>
        <w:t>6</w:t>
      </w:r>
      <w:r>
        <w:rPr>
          <w:rFonts w:ascii="宋体" w:hAnsi="宋体"/>
          <w:sz w:val="24"/>
          <w:szCs w:val="24"/>
          <w:highlight w:val="none"/>
        </w:rPr>
        <w:t>：</w:t>
      </w:r>
      <w:r>
        <w:rPr>
          <w:rFonts w:hint="eastAsia" w:ascii="宋体" w:hAnsi="宋体"/>
          <w:sz w:val="24"/>
          <w:szCs w:val="24"/>
          <w:highlight w:val="none"/>
          <w:lang w:val="en-US" w:eastAsia="zh-CN"/>
        </w:rPr>
        <w:t>0</w:t>
      </w:r>
      <w:r>
        <w:rPr>
          <w:rFonts w:ascii="宋体" w:hAnsi="宋体"/>
          <w:sz w:val="24"/>
          <w:szCs w:val="24"/>
          <w:highlight w:val="none"/>
        </w:rPr>
        <w:t>0</w:t>
      </w:r>
      <w:r>
        <w:rPr>
          <w:rFonts w:hint="eastAsia" w:ascii="宋体" w:hAnsi="宋体"/>
          <w:sz w:val="24"/>
          <w:szCs w:val="24"/>
          <w:highlight w:val="none"/>
        </w:rPr>
        <w:t>，地点：台州市府大道</w:t>
      </w:r>
      <w:r>
        <w:rPr>
          <w:rFonts w:ascii="宋体" w:hAnsi="宋体"/>
          <w:sz w:val="24"/>
          <w:szCs w:val="24"/>
          <w:highlight w:val="none"/>
        </w:rPr>
        <w:t>777</w:t>
      </w:r>
      <w:r>
        <w:rPr>
          <w:rFonts w:hint="eastAsia" w:ascii="宋体" w:hAnsi="宋体"/>
          <w:sz w:val="24"/>
          <w:szCs w:val="24"/>
          <w:highlight w:val="none"/>
        </w:rPr>
        <w:t>号浙江民泰商业银行五楼</w:t>
      </w:r>
      <w:r>
        <w:rPr>
          <w:rFonts w:ascii="宋体" w:hAnsi="宋体"/>
          <w:sz w:val="24"/>
          <w:szCs w:val="24"/>
          <w:highlight w:val="none"/>
        </w:rPr>
        <w:t>511室</w:t>
      </w:r>
      <w:r>
        <w:rPr>
          <w:rFonts w:hint="eastAsia" w:ascii="宋体" w:hAnsi="宋体"/>
          <w:sz w:val="24"/>
          <w:szCs w:val="24"/>
          <w:highlight w:val="none"/>
        </w:rPr>
        <w:t>），逾期无效。组织人在收到递交全部报名材料后，办理报名登记手续。</w:t>
      </w:r>
    </w:p>
    <w:p>
      <w:pPr>
        <w:spacing w:line="360" w:lineRule="auto"/>
        <w:ind w:firstLine="560"/>
        <w:rPr>
          <w:rFonts w:ascii="宋体" w:hAnsi="宋体"/>
          <w:sz w:val="24"/>
          <w:szCs w:val="24"/>
          <w:highlight w:val="none"/>
        </w:rPr>
      </w:pPr>
      <w:r>
        <w:rPr>
          <w:rFonts w:hint="eastAsia" w:ascii="宋体" w:hAnsi="宋体"/>
          <w:sz w:val="24"/>
          <w:szCs w:val="24"/>
          <w:highlight w:val="none"/>
        </w:rPr>
        <w:t>（</w:t>
      </w:r>
      <w:r>
        <w:rPr>
          <w:rFonts w:ascii="宋体" w:hAnsi="宋体"/>
          <w:sz w:val="24"/>
          <w:szCs w:val="24"/>
          <w:highlight w:val="none"/>
        </w:rPr>
        <w:t>2</w:t>
      </w:r>
      <w:r>
        <w:rPr>
          <w:rFonts w:hint="eastAsia" w:ascii="宋体" w:hAnsi="宋体"/>
          <w:sz w:val="24"/>
          <w:szCs w:val="24"/>
          <w:highlight w:val="none"/>
        </w:rPr>
        <w:t>）递交保证金：意向投资方应按增资文件规定的时间和要求提交保证金，增资协议签订后，</w:t>
      </w:r>
      <w:r>
        <w:rPr>
          <w:rFonts w:hint="eastAsia" w:ascii="宋体" w:hAnsi="宋体"/>
          <w:sz w:val="24"/>
          <w:highlight w:val="none"/>
        </w:rPr>
        <w:t>意向投资方先期汇入的</w:t>
      </w:r>
      <w:r>
        <w:rPr>
          <w:rFonts w:hint="eastAsia" w:ascii="宋体" w:hAnsi="宋体"/>
          <w:sz w:val="24"/>
          <w:highlight w:val="none"/>
          <w:lang w:val="en-US" w:eastAsia="zh-CN"/>
        </w:rPr>
        <w:t>24,000,000.00</w:t>
      </w:r>
      <w:r>
        <w:rPr>
          <w:rFonts w:hint="eastAsia" w:ascii="宋体" w:hAnsi="宋体" w:cs="Tahoma"/>
          <w:bCs/>
          <w:kern w:val="0"/>
          <w:sz w:val="24"/>
          <w:highlight w:val="none"/>
        </w:rPr>
        <w:t>元</w:t>
      </w:r>
      <w:r>
        <w:rPr>
          <w:rFonts w:hint="eastAsia" w:ascii="宋体" w:hAnsi="宋体"/>
          <w:sz w:val="24"/>
          <w:highlight w:val="none"/>
        </w:rPr>
        <w:t>竞买保证金转作</w:t>
      </w:r>
      <w:r>
        <w:rPr>
          <w:rFonts w:hint="eastAsia" w:ascii="宋体" w:hAnsi="宋体"/>
          <w:sz w:val="24"/>
          <w:highlight w:val="none"/>
          <w:lang w:val="en-US" w:eastAsia="zh-CN"/>
        </w:rPr>
        <w:t>等额</w:t>
      </w:r>
      <w:r>
        <w:rPr>
          <w:rFonts w:hint="eastAsia" w:ascii="宋体" w:hAnsi="宋体"/>
          <w:sz w:val="24"/>
          <w:highlight w:val="none"/>
        </w:rPr>
        <w:t>增资款。</w:t>
      </w:r>
    </w:p>
    <w:p>
      <w:pPr>
        <w:spacing w:line="360" w:lineRule="auto"/>
        <w:ind w:firstLine="560"/>
        <w:rPr>
          <w:rFonts w:ascii="宋体"/>
          <w:sz w:val="24"/>
          <w:szCs w:val="24"/>
          <w:highlight w:val="none"/>
        </w:rPr>
      </w:pPr>
      <w:r>
        <w:rPr>
          <w:rFonts w:ascii="宋体" w:hAnsi="宋体"/>
          <w:sz w:val="24"/>
          <w:szCs w:val="24"/>
          <w:highlight w:val="none"/>
        </w:rPr>
        <w:t>(3)</w:t>
      </w:r>
      <w:r>
        <w:rPr>
          <w:rFonts w:hint="eastAsia" w:ascii="宋体" w:hAnsi="宋体"/>
          <w:sz w:val="24"/>
          <w:szCs w:val="24"/>
          <w:highlight w:val="none"/>
        </w:rPr>
        <w:t>签署增资协议：根据本增资文件的约定</w:t>
      </w:r>
      <w:r>
        <w:rPr>
          <w:rFonts w:hint="eastAsia" w:ascii="宋体" w:hAnsi="宋体"/>
          <w:sz w:val="24"/>
          <w:szCs w:val="24"/>
          <w:highlight w:val="none"/>
          <w:lang w:eastAsia="zh-CN"/>
        </w:rPr>
        <w:t>，组织人</w:t>
      </w:r>
      <w:r>
        <w:rPr>
          <w:rFonts w:hint="eastAsia" w:ascii="宋体" w:hAnsi="宋体"/>
          <w:sz w:val="24"/>
          <w:szCs w:val="24"/>
          <w:highlight w:val="none"/>
        </w:rPr>
        <w:t>和投资方</w:t>
      </w:r>
      <w:r>
        <w:rPr>
          <w:rFonts w:hint="eastAsia" w:ascii="宋体" w:hAnsi="宋体"/>
          <w:sz w:val="24"/>
          <w:highlight w:val="none"/>
        </w:rPr>
        <w:t>当场签</w:t>
      </w:r>
      <w:r>
        <w:rPr>
          <w:rFonts w:hint="eastAsia" w:ascii="宋体" w:hAnsi="宋体"/>
          <w:sz w:val="24"/>
          <w:szCs w:val="24"/>
          <w:highlight w:val="none"/>
        </w:rPr>
        <w:t>订《增资确认书》</w:t>
      </w:r>
      <w:r>
        <w:rPr>
          <w:rFonts w:hint="eastAsia" w:ascii="宋体" w:hAnsi="宋体"/>
          <w:sz w:val="24"/>
          <w:szCs w:val="24"/>
          <w:highlight w:val="none"/>
          <w:lang w:eastAsia="zh-CN"/>
        </w:rPr>
        <w:t>，并</w:t>
      </w:r>
      <w:r>
        <w:rPr>
          <w:rFonts w:ascii="宋体" w:hAnsi="宋体"/>
          <w:sz w:val="24"/>
          <w:szCs w:val="24"/>
          <w:highlight w:val="none"/>
        </w:rPr>
        <w:t>于《增资确认书》</w:t>
      </w:r>
      <w:r>
        <w:rPr>
          <w:rFonts w:hint="eastAsia" w:ascii="宋体" w:hAnsi="宋体"/>
          <w:sz w:val="24"/>
          <w:szCs w:val="24"/>
          <w:highlight w:val="none"/>
          <w:lang w:eastAsia="zh-CN"/>
        </w:rPr>
        <w:t>签署后两日内由组织人、投资方、申请方共同签署增资协议</w:t>
      </w:r>
      <w:r>
        <w:rPr>
          <w:rFonts w:hint="eastAsia" w:ascii="宋体" w:hAnsi="宋体"/>
          <w:sz w:val="24"/>
          <w:szCs w:val="24"/>
          <w:highlight w:val="none"/>
        </w:rPr>
        <w:t>。</w:t>
      </w:r>
    </w:p>
    <w:p>
      <w:pPr>
        <w:spacing w:line="360" w:lineRule="auto"/>
        <w:ind w:firstLine="560"/>
        <w:rPr>
          <w:rFonts w:hint="eastAsia" w:ascii="宋体" w:hAnsi="宋体"/>
          <w:sz w:val="24"/>
          <w:szCs w:val="24"/>
          <w:highlight w:val="none"/>
        </w:rPr>
      </w:pPr>
      <w:r>
        <w:rPr>
          <w:rFonts w:hint="eastAsia" w:ascii="宋体" w:hAnsi="宋体"/>
          <w:sz w:val="24"/>
          <w:szCs w:val="24"/>
          <w:highlight w:val="none"/>
        </w:rPr>
        <w:t>8.付款方式：增资协议签订后，投资方先期汇入的</w:t>
      </w:r>
      <w:r>
        <w:rPr>
          <w:rFonts w:hint="eastAsia" w:ascii="宋体" w:hAnsi="宋体" w:cs="Tahoma"/>
          <w:bCs/>
          <w:kern w:val="0"/>
          <w:sz w:val="24"/>
          <w:highlight w:val="none"/>
          <w:lang w:val="en-US" w:eastAsia="zh-CN"/>
        </w:rPr>
        <w:t>24,000,000.00</w:t>
      </w:r>
      <w:r>
        <w:rPr>
          <w:rFonts w:hint="eastAsia" w:ascii="宋体" w:hAnsi="宋体" w:cs="Tahoma"/>
          <w:bCs/>
          <w:kern w:val="0"/>
          <w:sz w:val="24"/>
          <w:highlight w:val="none"/>
        </w:rPr>
        <w:t>元</w:t>
      </w:r>
      <w:r>
        <w:rPr>
          <w:rFonts w:hint="eastAsia" w:ascii="宋体" w:hAnsi="宋体" w:cs="Tahoma"/>
          <w:bCs/>
          <w:kern w:val="0"/>
          <w:sz w:val="24"/>
          <w:highlight w:val="none"/>
          <w:lang w:val="en-US" w:eastAsia="zh-CN"/>
        </w:rPr>
        <w:t>人民币</w:t>
      </w:r>
      <w:r>
        <w:rPr>
          <w:rFonts w:hint="eastAsia" w:ascii="宋体" w:hAnsi="宋体"/>
          <w:sz w:val="24"/>
          <w:szCs w:val="24"/>
          <w:highlight w:val="none"/>
        </w:rPr>
        <w:t>竞买保证金应转作</w:t>
      </w:r>
      <w:r>
        <w:rPr>
          <w:rFonts w:hint="eastAsia" w:ascii="宋体" w:hAnsi="宋体"/>
          <w:sz w:val="24"/>
          <w:szCs w:val="24"/>
          <w:highlight w:val="none"/>
          <w:lang w:val="en-US" w:eastAsia="zh-CN"/>
        </w:rPr>
        <w:t>同等</w:t>
      </w:r>
      <w:r>
        <w:rPr>
          <w:rFonts w:hint="eastAsia" w:ascii="宋体" w:hAnsi="宋体"/>
          <w:sz w:val="24"/>
          <w:szCs w:val="24"/>
          <w:highlight w:val="none"/>
        </w:rPr>
        <w:t>金额</w:t>
      </w:r>
      <w:r>
        <w:rPr>
          <w:rFonts w:ascii="宋体" w:hAnsi="宋体"/>
          <w:sz w:val="24"/>
          <w:szCs w:val="24"/>
          <w:highlight w:val="none"/>
        </w:rPr>
        <w:t>的</w:t>
      </w:r>
      <w:r>
        <w:rPr>
          <w:rFonts w:hint="eastAsia" w:ascii="宋体" w:hAnsi="宋体"/>
          <w:sz w:val="24"/>
          <w:szCs w:val="24"/>
          <w:highlight w:val="none"/>
        </w:rPr>
        <w:t>增资款，投资方</w:t>
      </w:r>
      <w:r>
        <w:rPr>
          <w:rFonts w:hint="eastAsia" w:ascii="宋体" w:hAnsi="宋体"/>
          <w:sz w:val="24"/>
          <w:szCs w:val="24"/>
          <w:highlight w:val="none"/>
          <w:lang w:eastAsia="zh-CN"/>
        </w:rPr>
        <w:t>应在增资协议签署</w:t>
      </w:r>
      <w:r>
        <w:rPr>
          <w:rFonts w:hint="eastAsia" w:ascii="宋体" w:hAnsi="宋体"/>
          <w:sz w:val="24"/>
          <w:szCs w:val="24"/>
          <w:highlight w:val="none"/>
        </w:rPr>
        <w:t>后</w:t>
      </w:r>
      <w:r>
        <w:rPr>
          <w:rFonts w:hint="eastAsia" w:ascii="宋体" w:hAnsi="宋体"/>
          <w:sz w:val="24"/>
          <w:szCs w:val="24"/>
          <w:highlight w:val="none"/>
          <w:lang w:val="en-US" w:eastAsia="zh-CN"/>
        </w:rPr>
        <w:t>10</w:t>
      </w:r>
      <w:r>
        <w:rPr>
          <w:rFonts w:hint="eastAsia" w:ascii="宋体" w:hAnsi="宋体"/>
          <w:sz w:val="24"/>
          <w:szCs w:val="24"/>
          <w:highlight w:val="none"/>
        </w:rPr>
        <w:t>个工作日内一次性支付全部</w:t>
      </w:r>
      <w:r>
        <w:rPr>
          <w:rFonts w:hint="eastAsia" w:ascii="宋体" w:hAnsi="宋体"/>
          <w:sz w:val="24"/>
          <w:szCs w:val="24"/>
          <w:highlight w:val="none"/>
          <w:lang w:eastAsia="zh-CN"/>
        </w:rPr>
        <w:t>剩余增</w:t>
      </w:r>
      <w:r>
        <w:rPr>
          <w:rFonts w:hint="eastAsia" w:ascii="宋体" w:hAnsi="宋体"/>
          <w:sz w:val="24"/>
          <w:szCs w:val="24"/>
          <w:highlight w:val="none"/>
        </w:rPr>
        <w:t>资款</w:t>
      </w:r>
      <w:r>
        <w:rPr>
          <w:rFonts w:hint="eastAsia" w:ascii="宋体" w:hAnsi="宋体"/>
          <w:sz w:val="24"/>
          <w:szCs w:val="24"/>
          <w:highlight w:val="none"/>
          <w:lang w:eastAsia="zh-CN"/>
        </w:rPr>
        <w:t>，且在增资协议签署后十个工作日内向台州市产权交易所有限公司支付</w:t>
      </w:r>
      <w:r>
        <w:rPr>
          <w:rFonts w:hint="eastAsia" w:ascii="宋体" w:hAnsi="宋体"/>
          <w:sz w:val="24"/>
          <w:szCs w:val="24"/>
          <w:highlight w:val="none"/>
          <w:lang w:val="en-US" w:eastAsia="zh-CN"/>
        </w:rPr>
        <w:t>金额为</w:t>
      </w:r>
      <w:r>
        <w:rPr>
          <w:rFonts w:hint="eastAsia" w:ascii="宋体" w:hAnsi="宋体"/>
          <w:sz w:val="24"/>
          <w:szCs w:val="24"/>
          <w:highlight w:val="none"/>
          <w:lang w:eastAsia="zh-CN"/>
        </w:rPr>
        <w:t>成交额</w:t>
      </w:r>
      <w:r>
        <w:rPr>
          <w:rFonts w:ascii="宋体"/>
          <w:sz w:val="24"/>
          <w:szCs w:val="24"/>
          <w:highlight w:val="none"/>
        </w:rPr>
        <w:t>0.</w:t>
      </w:r>
      <w:r>
        <w:rPr>
          <w:rFonts w:hint="eastAsia" w:ascii="宋体" w:hAnsi="宋体"/>
          <w:sz w:val="24"/>
          <w:szCs w:val="24"/>
          <w:highlight w:val="none"/>
        </w:rPr>
        <w:t>2</w:t>
      </w:r>
      <w:r>
        <w:rPr>
          <w:rFonts w:ascii="宋体" w:hAnsi="宋体"/>
          <w:sz w:val="24"/>
          <w:szCs w:val="24"/>
          <w:highlight w:val="none"/>
        </w:rPr>
        <w:t>%</w:t>
      </w:r>
      <w:r>
        <w:rPr>
          <w:rFonts w:hint="eastAsia" w:ascii="宋体" w:hAnsi="宋体"/>
          <w:sz w:val="24"/>
          <w:szCs w:val="24"/>
          <w:highlight w:val="none"/>
          <w:lang w:eastAsia="zh-CN"/>
        </w:rPr>
        <w:t>的</w:t>
      </w:r>
      <w:r>
        <w:rPr>
          <w:rFonts w:hint="eastAsia" w:ascii="宋体" w:hAnsi="宋体"/>
          <w:sz w:val="24"/>
          <w:szCs w:val="24"/>
          <w:highlight w:val="none"/>
        </w:rPr>
        <w:t>服务费。</w:t>
      </w:r>
    </w:p>
    <w:p>
      <w:pPr>
        <w:spacing w:line="360" w:lineRule="auto"/>
        <w:ind w:firstLine="560"/>
        <w:rPr>
          <w:rFonts w:ascii="宋体" w:hAnsi="宋体"/>
          <w:sz w:val="24"/>
          <w:szCs w:val="24"/>
          <w:highlight w:val="none"/>
        </w:rPr>
      </w:pPr>
      <w:r>
        <w:rPr>
          <w:rFonts w:hint="eastAsia" w:ascii="宋体" w:hAnsi="宋体"/>
          <w:sz w:val="24"/>
          <w:szCs w:val="24"/>
          <w:highlight w:val="none"/>
          <w:lang w:eastAsia="zh-CN"/>
        </w:rPr>
        <w:t>服务费人民币方式汇入以下账户：</w:t>
      </w:r>
      <w:r>
        <w:rPr>
          <w:rFonts w:hint="eastAsia" w:ascii="宋体" w:hAnsi="宋体"/>
          <w:sz w:val="24"/>
          <w:szCs w:val="24"/>
          <w:highlight w:val="none"/>
        </w:rPr>
        <w:t>开户单位：台州市产权交易所有限公司，</w:t>
      </w:r>
      <w:r>
        <w:rPr>
          <w:rFonts w:ascii="宋体" w:hAnsi="宋体"/>
          <w:sz w:val="24"/>
          <w:szCs w:val="24"/>
          <w:highlight w:val="none"/>
        </w:rPr>
        <w:t>开户行：浙江民泰商业银行</w:t>
      </w:r>
      <w:r>
        <w:rPr>
          <w:rFonts w:hint="eastAsia" w:ascii="宋体" w:hAnsi="宋体"/>
          <w:sz w:val="24"/>
          <w:szCs w:val="24"/>
          <w:highlight w:val="none"/>
        </w:rPr>
        <w:t>股份有限公司</w:t>
      </w:r>
      <w:r>
        <w:rPr>
          <w:rFonts w:ascii="宋体" w:hAnsi="宋体"/>
          <w:sz w:val="24"/>
          <w:szCs w:val="24"/>
          <w:highlight w:val="none"/>
        </w:rPr>
        <w:t>椒江</w:t>
      </w:r>
      <w:r>
        <w:rPr>
          <w:rFonts w:hint="eastAsia" w:ascii="宋体" w:hAnsi="宋体"/>
          <w:sz w:val="24"/>
          <w:szCs w:val="24"/>
          <w:highlight w:val="none"/>
        </w:rPr>
        <w:t>市府大道</w:t>
      </w:r>
      <w:r>
        <w:rPr>
          <w:rFonts w:ascii="宋体" w:hAnsi="宋体"/>
          <w:sz w:val="24"/>
          <w:szCs w:val="24"/>
          <w:highlight w:val="none"/>
        </w:rPr>
        <w:t>支行</w:t>
      </w:r>
      <w:r>
        <w:rPr>
          <w:rFonts w:hint="eastAsia" w:ascii="宋体" w:hAnsi="宋体"/>
          <w:sz w:val="24"/>
          <w:szCs w:val="24"/>
          <w:highlight w:val="none"/>
        </w:rPr>
        <w:t>，</w:t>
      </w:r>
      <w:r>
        <w:rPr>
          <w:rFonts w:ascii="宋体" w:hAnsi="宋体"/>
          <w:sz w:val="24"/>
          <w:szCs w:val="24"/>
          <w:highlight w:val="none"/>
        </w:rPr>
        <w:t>账号：5830</w:t>
      </w:r>
      <w:r>
        <w:rPr>
          <w:rFonts w:hint="eastAsia" w:ascii="宋体" w:hAnsi="宋体"/>
          <w:sz w:val="24"/>
          <w:szCs w:val="24"/>
          <w:highlight w:val="none"/>
        </w:rPr>
        <w:t>16</w:t>
      </w:r>
      <w:r>
        <w:rPr>
          <w:rFonts w:ascii="宋体" w:hAnsi="宋体"/>
          <w:sz w:val="24"/>
          <w:szCs w:val="24"/>
          <w:highlight w:val="none"/>
        </w:rPr>
        <w:t>260800028。</w:t>
      </w:r>
    </w:p>
    <w:p>
      <w:pPr>
        <w:spacing w:line="360" w:lineRule="auto"/>
        <w:ind w:firstLine="560"/>
        <w:rPr>
          <w:rFonts w:hint="eastAsia" w:ascii="宋体" w:hAnsi="宋体"/>
          <w:sz w:val="24"/>
          <w:szCs w:val="24"/>
          <w:highlight w:val="none"/>
        </w:rPr>
      </w:pPr>
      <w:r>
        <w:rPr>
          <w:rFonts w:hint="eastAsia" w:ascii="宋体" w:hAnsi="宋体"/>
          <w:sz w:val="24"/>
          <w:szCs w:val="24"/>
          <w:highlight w:val="none"/>
          <w:lang w:val="en-US" w:eastAsia="zh-CN"/>
        </w:rPr>
        <w:t>增资款</w:t>
      </w:r>
      <w:r>
        <w:rPr>
          <w:rFonts w:hint="eastAsia" w:ascii="宋体" w:hAnsi="宋体"/>
          <w:sz w:val="24"/>
          <w:szCs w:val="24"/>
          <w:highlight w:val="none"/>
          <w:lang w:eastAsia="zh-CN"/>
        </w:rPr>
        <w:t>人民币方式汇入以下账户：</w:t>
      </w:r>
      <w:r>
        <w:rPr>
          <w:rFonts w:hint="eastAsia" w:ascii="宋体" w:hAnsi="宋体"/>
          <w:sz w:val="24"/>
          <w:szCs w:val="24"/>
          <w:highlight w:val="none"/>
        </w:rPr>
        <w:t>开户单位：浙江海正生物材料股份有限公司</w:t>
      </w:r>
      <w:r>
        <w:rPr>
          <w:rFonts w:hint="eastAsia" w:ascii="宋体" w:hAnsi="宋体"/>
          <w:sz w:val="24"/>
          <w:szCs w:val="24"/>
          <w:highlight w:val="none"/>
          <w:lang w:eastAsia="zh-CN"/>
        </w:rPr>
        <w:t>，开户行：</w:t>
      </w:r>
      <w:r>
        <w:rPr>
          <w:rFonts w:hint="eastAsia" w:ascii="宋体" w:hAnsi="宋体"/>
          <w:sz w:val="24"/>
          <w:szCs w:val="24"/>
          <w:highlight w:val="none"/>
        </w:rPr>
        <w:t>台州建行营业部</w:t>
      </w:r>
      <w:r>
        <w:rPr>
          <w:rFonts w:hint="eastAsia" w:ascii="宋体" w:hAnsi="宋体"/>
          <w:sz w:val="24"/>
          <w:szCs w:val="24"/>
          <w:highlight w:val="none"/>
          <w:lang w:eastAsia="zh-CN"/>
        </w:rPr>
        <w:t>，账号：</w:t>
      </w:r>
      <w:r>
        <w:rPr>
          <w:rFonts w:hint="eastAsia" w:ascii="宋体" w:hAnsi="宋体"/>
          <w:sz w:val="24"/>
          <w:szCs w:val="24"/>
          <w:highlight w:val="none"/>
        </w:rPr>
        <w:t>33001663700050000049</w:t>
      </w:r>
      <w:r>
        <w:rPr>
          <w:rFonts w:hint="eastAsia" w:ascii="宋体" w:hAnsi="宋体"/>
          <w:sz w:val="24"/>
          <w:szCs w:val="24"/>
          <w:highlight w:val="none"/>
          <w:lang w:eastAsia="zh-CN"/>
        </w:rPr>
        <w:t>。</w:t>
      </w:r>
    </w:p>
    <w:p>
      <w:pPr>
        <w:spacing w:line="500" w:lineRule="atLeast"/>
        <w:ind w:firstLine="480" w:firstLineChars="200"/>
        <w:rPr>
          <w:rFonts w:ascii="宋体" w:hAnsi="宋体"/>
          <w:sz w:val="24"/>
          <w:szCs w:val="24"/>
          <w:highlight w:val="none"/>
        </w:rPr>
      </w:pPr>
      <w:r>
        <w:rPr>
          <w:rFonts w:hint="eastAsia" w:ascii="宋体" w:hAnsi="宋体"/>
          <w:bCs/>
          <w:sz w:val="24"/>
          <w:highlight w:val="none"/>
        </w:rPr>
        <w:t>（四）本次增资活动是在</w:t>
      </w:r>
      <w:r>
        <w:rPr>
          <w:rFonts w:hint="eastAsia" w:ascii="宋体" w:hAnsi="宋体"/>
          <w:sz w:val="24"/>
          <w:szCs w:val="24"/>
          <w:highlight w:val="none"/>
        </w:rPr>
        <w:t>公开、公平、公正、诚实信用的原则下进行的，一切活动都具备法律效力。增资活动过程委托台州市公证处现场公证。</w:t>
      </w:r>
    </w:p>
    <w:p>
      <w:pPr>
        <w:spacing w:line="500" w:lineRule="atLeast"/>
        <w:ind w:firstLine="480" w:firstLineChars="200"/>
        <w:rPr>
          <w:rFonts w:ascii="宋体" w:hAnsi="宋体"/>
          <w:sz w:val="24"/>
          <w:szCs w:val="24"/>
          <w:highlight w:val="none"/>
        </w:rPr>
      </w:pPr>
      <w:r>
        <w:rPr>
          <w:rFonts w:hint="eastAsia" w:ascii="宋体" w:hAnsi="宋体"/>
          <w:sz w:val="24"/>
          <w:szCs w:val="24"/>
          <w:highlight w:val="none"/>
        </w:rPr>
        <w:t>（五）意向投资方应具备并接受本次公告或有关规定中注明的投资方条件，否则不得参与增资。</w:t>
      </w:r>
    </w:p>
    <w:p>
      <w:pPr>
        <w:spacing w:line="500" w:lineRule="atLeast"/>
        <w:ind w:firstLine="480" w:firstLineChars="200"/>
        <w:rPr>
          <w:rFonts w:ascii="宋体" w:hAnsi="宋体"/>
          <w:sz w:val="24"/>
          <w:szCs w:val="24"/>
          <w:highlight w:val="none"/>
        </w:rPr>
      </w:pPr>
      <w:r>
        <w:rPr>
          <w:rFonts w:hint="eastAsia" w:ascii="宋体" w:hAnsi="宋体"/>
          <w:sz w:val="24"/>
          <w:szCs w:val="24"/>
          <w:highlight w:val="none"/>
        </w:rPr>
        <w:t>（六）意向投资方在办理报名手续时应提交下列材料：1、《增资扩股申请书》及备注清单中的材料；2、组织人认为需要提交的其他文件或资料。</w:t>
      </w:r>
    </w:p>
    <w:p>
      <w:pPr>
        <w:spacing w:line="500" w:lineRule="atLeast"/>
        <w:ind w:firstLine="480" w:firstLineChars="200"/>
        <w:rPr>
          <w:rFonts w:ascii="宋体"/>
          <w:sz w:val="24"/>
          <w:szCs w:val="24"/>
          <w:highlight w:val="none"/>
        </w:rPr>
      </w:pPr>
      <w:r>
        <w:rPr>
          <w:rFonts w:hint="eastAsia" w:ascii="宋体" w:hAnsi="宋体"/>
          <w:sz w:val="24"/>
          <w:szCs w:val="24"/>
          <w:highlight w:val="none"/>
        </w:rPr>
        <w:t>（七）意向投资方在本项目挂牌期内，应认真阅读本增资文件。意向投资方有异议的，应在报名前提出。意向投资方完成报名手续后即表明已充分了解本项目的一切现状（包括瑕疵），接受本增资文件的全部内容和要求，并不以任何形式对本增资文件的内容提出异议。组织人不承担和担保标的品质和相关瑕疵等任何责任。增资活动过程中，主持人也不再回答意向投资方提出的有关标的和程序的任何问题。意向投资方报名后，不得以事先未进行咨询等任何理由反悔，不提交《增资认购报价单》，责任由意向投资方自负，组织人有权不予返还增资保证金。意向投资方在办理查询手续或报名登记手续后可以向组织人申请查阅标的的相关信息和材料。</w:t>
      </w:r>
    </w:p>
    <w:p>
      <w:pPr>
        <w:spacing w:line="500" w:lineRule="atLeast"/>
        <w:ind w:firstLine="480" w:firstLineChars="200"/>
        <w:rPr>
          <w:rFonts w:ascii="宋体"/>
          <w:sz w:val="24"/>
          <w:szCs w:val="24"/>
          <w:highlight w:val="none"/>
        </w:rPr>
      </w:pPr>
      <w:r>
        <w:rPr>
          <w:rFonts w:hint="eastAsia" w:ascii="宋体" w:hAnsi="宋体"/>
          <w:sz w:val="24"/>
          <w:szCs w:val="24"/>
          <w:highlight w:val="none"/>
        </w:rPr>
        <w:t>（八）意向投资方递交全部报名材料并交纳全部增资保证金后获得参与增资活动的资格；逾期未交纳的，视为放弃投资。</w:t>
      </w:r>
    </w:p>
    <w:p>
      <w:pPr>
        <w:spacing w:line="500" w:lineRule="atLeast"/>
        <w:ind w:firstLine="480" w:firstLineChars="200"/>
        <w:rPr>
          <w:rFonts w:ascii="宋体"/>
          <w:sz w:val="24"/>
          <w:szCs w:val="24"/>
          <w:highlight w:val="none"/>
        </w:rPr>
      </w:pPr>
      <w:r>
        <w:rPr>
          <w:rFonts w:hint="eastAsia" w:ascii="宋体" w:hAnsi="宋体"/>
          <w:sz w:val="24"/>
          <w:szCs w:val="24"/>
          <w:highlight w:val="none"/>
        </w:rPr>
        <w:t>（九）</w:t>
      </w:r>
      <w:r>
        <w:rPr>
          <w:rFonts w:hint="eastAsia" w:ascii="宋体" w:hAnsi="宋体"/>
          <w:sz w:val="24"/>
          <w:highlight w:val="none"/>
        </w:rPr>
        <w:t>本项目采取多次网络竞价，价高者得的方式</w:t>
      </w:r>
      <w:r>
        <w:rPr>
          <w:rFonts w:hint="eastAsia" w:ascii="宋体" w:hAnsi="宋体"/>
          <w:sz w:val="24"/>
          <w:szCs w:val="24"/>
          <w:highlight w:val="none"/>
        </w:rPr>
        <w:t>。意向投资方应在增资活动开始前凭身份证原件、组织人开立的增资保证金收款凭证进入增资会现场，以上凭证、证件必须妥善保管，若因损坏、遗失、外借等所引起的法律责任由投资方自负。</w:t>
      </w:r>
      <w:r>
        <w:rPr>
          <w:rFonts w:hint="eastAsia" w:ascii="宋体" w:hAnsi="宋体"/>
          <w:sz w:val="24"/>
          <w:highlight w:val="none"/>
        </w:rPr>
        <w:t>意向投资方参加增资会时还应携带企业公章。</w:t>
      </w:r>
    </w:p>
    <w:p>
      <w:pPr>
        <w:spacing w:line="500" w:lineRule="atLeast"/>
        <w:ind w:firstLine="480" w:firstLineChars="200"/>
        <w:rPr>
          <w:rFonts w:ascii="宋体" w:hAnsi="宋体"/>
          <w:sz w:val="24"/>
          <w:szCs w:val="24"/>
          <w:highlight w:val="none"/>
        </w:rPr>
      </w:pPr>
      <w:r>
        <w:rPr>
          <w:rFonts w:hint="eastAsia" w:ascii="宋体" w:hAnsi="宋体"/>
          <w:sz w:val="24"/>
          <w:szCs w:val="24"/>
          <w:highlight w:val="none"/>
        </w:rPr>
        <w:t>（十）</w:t>
      </w:r>
      <w:r>
        <w:rPr>
          <w:rFonts w:hint="eastAsia" w:ascii="宋体" w:hAnsi="宋体"/>
          <w:sz w:val="24"/>
          <w:highlight w:val="none"/>
        </w:rPr>
        <w:t>意向投资方法定代表人</w:t>
      </w:r>
      <w:r>
        <w:rPr>
          <w:rFonts w:hint="eastAsia" w:ascii="宋体" w:hAnsi="宋体"/>
          <w:sz w:val="24"/>
          <w:szCs w:val="24"/>
          <w:highlight w:val="none"/>
        </w:rPr>
        <w:t>（委托他人参加的带委托书</w:t>
      </w:r>
      <w:r>
        <w:rPr>
          <w:rFonts w:hint="eastAsia" w:ascii="宋体" w:hAnsi="宋体"/>
          <w:sz w:val="24"/>
          <w:highlight w:val="none"/>
        </w:rPr>
        <w:t>、受托人身份证）</w:t>
      </w:r>
      <w:r>
        <w:rPr>
          <w:rFonts w:hint="eastAsia" w:ascii="宋体" w:hAnsi="宋体"/>
          <w:sz w:val="24"/>
          <w:szCs w:val="24"/>
          <w:highlight w:val="none"/>
        </w:rPr>
        <w:t>须携带本人身份证原件或其他有效身份证件在增资活动开始时间前</w:t>
      </w:r>
      <w:r>
        <w:rPr>
          <w:rFonts w:ascii="宋体" w:hAnsi="宋体"/>
          <w:sz w:val="24"/>
          <w:szCs w:val="24"/>
          <w:highlight w:val="none"/>
        </w:rPr>
        <w:t>30</w:t>
      </w:r>
      <w:r>
        <w:rPr>
          <w:rFonts w:hint="eastAsia" w:ascii="宋体" w:hAnsi="宋体"/>
          <w:sz w:val="24"/>
          <w:szCs w:val="24"/>
          <w:highlight w:val="none"/>
        </w:rPr>
        <w:t>分钟开始办理登记手续。</w:t>
      </w:r>
    </w:p>
    <w:p>
      <w:pPr>
        <w:spacing w:line="500" w:lineRule="atLeast"/>
        <w:ind w:firstLine="480" w:firstLineChars="200"/>
        <w:rPr>
          <w:rFonts w:hint="eastAsia" w:ascii="宋体" w:hAnsi="宋体"/>
          <w:sz w:val="24"/>
          <w:szCs w:val="24"/>
          <w:highlight w:val="none"/>
        </w:rPr>
      </w:pPr>
      <w:r>
        <w:rPr>
          <w:rFonts w:hint="eastAsia" w:ascii="宋体" w:hAnsi="宋体"/>
          <w:sz w:val="24"/>
          <w:szCs w:val="24"/>
          <w:highlight w:val="none"/>
        </w:rPr>
        <w:t>（十</w:t>
      </w:r>
      <w:r>
        <w:rPr>
          <w:rFonts w:hint="eastAsia" w:ascii="宋体" w:hAnsi="宋体"/>
          <w:sz w:val="24"/>
          <w:szCs w:val="24"/>
          <w:highlight w:val="none"/>
          <w:lang w:eastAsia="zh-CN"/>
        </w:rPr>
        <w:t>一</w:t>
      </w:r>
      <w:r>
        <w:rPr>
          <w:rFonts w:hint="eastAsia" w:ascii="宋体" w:hAnsi="宋体"/>
          <w:sz w:val="24"/>
          <w:szCs w:val="24"/>
          <w:highlight w:val="none"/>
        </w:rPr>
        <w:t>）</w:t>
      </w:r>
      <w:r>
        <w:rPr>
          <w:rFonts w:hint="eastAsia" w:ascii="宋体" w:hAnsi="宋体"/>
          <w:sz w:val="24"/>
          <w:szCs w:val="24"/>
          <w:highlight w:val="none"/>
          <w:lang w:val="en-US" w:eastAsia="zh-CN"/>
        </w:rPr>
        <w:t>如仅有一家意向投资方，</w:t>
      </w:r>
      <w:r>
        <w:rPr>
          <w:rFonts w:hint="eastAsia" w:ascii="宋体" w:hAnsi="宋体"/>
          <w:sz w:val="24"/>
          <w:szCs w:val="24"/>
          <w:highlight w:val="none"/>
        </w:rPr>
        <w:t>当有效的《增资认购报价单》所认购的增资金额达到</w:t>
      </w:r>
      <w:r>
        <w:rPr>
          <w:rFonts w:hint="eastAsia" w:ascii="宋体" w:hAnsi="宋体"/>
          <w:sz w:val="24"/>
          <w:szCs w:val="24"/>
          <w:highlight w:val="none"/>
          <w:lang w:val="en-US" w:eastAsia="zh-CN"/>
        </w:rPr>
        <w:t>80,000,000.00</w:t>
      </w:r>
      <w:r>
        <w:rPr>
          <w:rFonts w:hint="eastAsia" w:ascii="宋体" w:hAnsi="宋体"/>
          <w:sz w:val="24"/>
          <w:szCs w:val="24"/>
          <w:highlight w:val="none"/>
        </w:rPr>
        <w:t>元时，该意向投资方即增资方，经确认后，直接签订《增资扩股协议》，以</w:t>
      </w:r>
      <w:r>
        <w:rPr>
          <w:rFonts w:hint="eastAsia" w:ascii="宋体" w:hAnsi="宋体"/>
          <w:sz w:val="24"/>
          <w:szCs w:val="24"/>
          <w:highlight w:val="none"/>
          <w:lang w:val="en-US" w:eastAsia="zh-CN"/>
        </w:rPr>
        <w:t>该</w:t>
      </w:r>
      <w:r>
        <w:rPr>
          <w:rFonts w:hint="eastAsia" w:ascii="宋体" w:hAnsi="宋体"/>
          <w:sz w:val="24"/>
          <w:szCs w:val="24"/>
          <w:highlight w:val="none"/>
        </w:rPr>
        <w:t>《增资认购报价单》</w:t>
      </w:r>
      <w:r>
        <w:rPr>
          <w:rFonts w:hint="eastAsia" w:ascii="宋体" w:hAnsi="宋体"/>
          <w:sz w:val="24"/>
          <w:szCs w:val="24"/>
          <w:highlight w:val="none"/>
          <w:lang w:val="en-US" w:eastAsia="zh-CN"/>
        </w:rPr>
        <w:t>所报价格</w:t>
      </w:r>
      <w:r>
        <w:rPr>
          <w:rFonts w:hint="eastAsia" w:ascii="宋体" w:hAnsi="宋体"/>
          <w:sz w:val="24"/>
          <w:szCs w:val="24"/>
          <w:highlight w:val="none"/>
        </w:rPr>
        <w:t>为成交价。</w:t>
      </w:r>
    </w:p>
    <w:p>
      <w:pPr>
        <w:spacing w:line="500" w:lineRule="atLeast"/>
        <w:ind w:firstLine="480" w:firstLineChars="200"/>
        <w:rPr>
          <w:rFonts w:ascii="宋体"/>
          <w:sz w:val="24"/>
          <w:szCs w:val="24"/>
          <w:highlight w:val="none"/>
        </w:rPr>
      </w:pPr>
      <w:r>
        <w:rPr>
          <w:rFonts w:hint="eastAsia" w:ascii="宋体" w:hAnsi="宋体"/>
          <w:sz w:val="24"/>
          <w:szCs w:val="24"/>
          <w:highlight w:val="none"/>
        </w:rPr>
        <w:t>（十</w:t>
      </w:r>
      <w:r>
        <w:rPr>
          <w:rFonts w:hint="eastAsia" w:ascii="宋体" w:hAnsi="宋体"/>
          <w:sz w:val="24"/>
          <w:szCs w:val="24"/>
          <w:highlight w:val="none"/>
          <w:lang w:eastAsia="zh-CN"/>
        </w:rPr>
        <w:t>二</w:t>
      </w:r>
      <w:r>
        <w:rPr>
          <w:rFonts w:hint="eastAsia" w:ascii="宋体" w:hAnsi="宋体"/>
          <w:sz w:val="24"/>
          <w:szCs w:val="24"/>
          <w:highlight w:val="none"/>
        </w:rPr>
        <w:t>）增资成交后，意向投资方应在被确定为投资方后当日同融资方在组织人指定场所签订增资协议。</w:t>
      </w:r>
    </w:p>
    <w:p>
      <w:pPr>
        <w:spacing w:line="500" w:lineRule="atLeast"/>
        <w:ind w:firstLine="480" w:firstLineChars="200"/>
        <w:rPr>
          <w:rFonts w:ascii="宋体" w:hAnsi="宋体"/>
          <w:sz w:val="24"/>
          <w:szCs w:val="24"/>
          <w:highlight w:val="none"/>
        </w:rPr>
      </w:pPr>
      <w:r>
        <w:rPr>
          <w:rFonts w:hint="eastAsia" w:ascii="宋体" w:hAnsi="宋体"/>
          <w:sz w:val="24"/>
          <w:szCs w:val="24"/>
          <w:highlight w:val="none"/>
        </w:rPr>
        <w:t>（十</w:t>
      </w:r>
      <w:r>
        <w:rPr>
          <w:rFonts w:hint="eastAsia" w:ascii="宋体" w:hAnsi="宋体"/>
          <w:sz w:val="24"/>
          <w:szCs w:val="24"/>
          <w:highlight w:val="none"/>
          <w:lang w:eastAsia="zh-CN"/>
        </w:rPr>
        <w:t>三</w:t>
      </w:r>
      <w:r>
        <w:rPr>
          <w:rFonts w:hint="eastAsia" w:ascii="宋体" w:hAnsi="宋体"/>
          <w:sz w:val="24"/>
          <w:szCs w:val="24"/>
          <w:highlight w:val="none"/>
        </w:rPr>
        <w:t>）投资方应向组织人支付</w:t>
      </w:r>
      <w:r>
        <w:rPr>
          <w:rFonts w:hint="eastAsia" w:ascii="宋体" w:hAnsi="宋体"/>
          <w:sz w:val="24"/>
          <w:szCs w:val="24"/>
          <w:highlight w:val="none"/>
          <w:lang w:val="en-US" w:eastAsia="zh-CN"/>
        </w:rPr>
        <w:t>金额为</w:t>
      </w:r>
      <w:r>
        <w:rPr>
          <w:rFonts w:hint="eastAsia" w:ascii="宋体" w:hAnsi="宋体"/>
          <w:sz w:val="24"/>
          <w:szCs w:val="24"/>
          <w:highlight w:val="none"/>
        </w:rPr>
        <w:t>成交额0.2%的服务费。</w:t>
      </w:r>
    </w:p>
    <w:p>
      <w:pPr>
        <w:spacing w:line="500" w:lineRule="atLeast"/>
        <w:ind w:firstLine="480" w:firstLineChars="200"/>
        <w:rPr>
          <w:rFonts w:hint="eastAsia" w:ascii="宋体" w:hAnsi="宋体" w:eastAsia="宋体"/>
          <w:sz w:val="24"/>
          <w:szCs w:val="24"/>
          <w:highlight w:val="none"/>
          <w:lang w:eastAsia="zh-CN"/>
        </w:rPr>
      </w:pPr>
      <w:r>
        <w:rPr>
          <w:rFonts w:hint="eastAsia" w:ascii="宋体" w:hAnsi="宋体"/>
          <w:sz w:val="24"/>
          <w:szCs w:val="24"/>
          <w:highlight w:val="none"/>
        </w:rPr>
        <w:t>（十</w:t>
      </w:r>
      <w:r>
        <w:rPr>
          <w:rFonts w:hint="eastAsia" w:ascii="宋体" w:hAnsi="宋体"/>
          <w:sz w:val="24"/>
          <w:szCs w:val="24"/>
          <w:highlight w:val="none"/>
          <w:lang w:eastAsia="zh-CN"/>
        </w:rPr>
        <w:t>四</w:t>
      </w:r>
      <w:r>
        <w:rPr>
          <w:rFonts w:hint="eastAsia" w:ascii="宋体" w:hAnsi="宋体"/>
          <w:sz w:val="24"/>
          <w:highlight w:val="none"/>
        </w:rPr>
        <w:t>）出现下列情形意向投资方保证金可在</w:t>
      </w:r>
      <w:r>
        <w:rPr>
          <w:rFonts w:hint="eastAsia" w:ascii="宋体" w:hAnsi="宋体"/>
          <w:bCs/>
          <w:sz w:val="24"/>
          <w:highlight w:val="none"/>
        </w:rPr>
        <w:t>十个工作日</w:t>
      </w:r>
      <w:r>
        <w:rPr>
          <w:rFonts w:hint="eastAsia" w:ascii="宋体" w:hAnsi="宋体"/>
          <w:sz w:val="24"/>
          <w:highlight w:val="none"/>
        </w:rPr>
        <w:t>内退还（不计息）</w:t>
      </w:r>
      <w:r>
        <w:rPr>
          <w:rFonts w:hint="eastAsia" w:ascii="宋体" w:hAnsi="宋体"/>
          <w:sz w:val="24"/>
          <w:highlight w:val="none"/>
          <w:lang w:eastAsia="zh-CN"/>
        </w:rPr>
        <w:t>：</w:t>
      </w:r>
    </w:p>
    <w:p>
      <w:pPr>
        <w:spacing w:line="500" w:lineRule="atLeast"/>
        <w:ind w:firstLine="480" w:firstLineChars="200"/>
        <w:rPr>
          <w:rFonts w:ascii="宋体" w:hAnsi="宋体"/>
          <w:sz w:val="24"/>
          <w:szCs w:val="24"/>
          <w:highlight w:val="none"/>
        </w:rPr>
      </w:pPr>
      <w:r>
        <w:rPr>
          <w:rFonts w:hint="eastAsia" w:ascii="宋体" w:hAnsi="宋体"/>
          <w:sz w:val="24"/>
          <w:szCs w:val="24"/>
          <w:highlight w:val="none"/>
        </w:rPr>
        <w:t>（</w:t>
      </w:r>
      <w:r>
        <w:rPr>
          <w:rFonts w:ascii="宋体" w:hAnsi="宋体"/>
          <w:sz w:val="24"/>
          <w:szCs w:val="24"/>
          <w:highlight w:val="none"/>
        </w:rPr>
        <w:t>1</w:t>
      </w:r>
      <w:r>
        <w:rPr>
          <w:rFonts w:hint="eastAsia" w:ascii="宋体" w:hAnsi="宋体"/>
          <w:sz w:val="24"/>
          <w:szCs w:val="24"/>
          <w:highlight w:val="none"/>
        </w:rPr>
        <w:t>）参加竞价并应价但未能竞得标的者；</w:t>
      </w:r>
    </w:p>
    <w:p>
      <w:pPr>
        <w:spacing w:line="500" w:lineRule="atLeast"/>
        <w:ind w:firstLine="480" w:firstLineChars="200"/>
        <w:rPr>
          <w:rFonts w:ascii="宋体" w:hAnsi="宋体"/>
          <w:sz w:val="24"/>
          <w:szCs w:val="24"/>
          <w:highlight w:val="none"/>
        </w:rPr>
      </w:pPr>
      <w:r>
        <w:rPr>
          <w:rFonts w:hint="eastAsia" w:ascii="宋体" w:hAnsi="宋体"/>
          <w:sz w:val="24"/>
          <w:szCs w:val="24"/>
          <w:highlight w:val="none"/>
        </w:rPr>
        <w:t>（2）竞价前，因政策等正当理由取消竞价的。</w:t>
      </w:r>
    </w:p>
    <w:p>
      <w:pPr>
        <w:spacing w:line="500" w:lineRule="atLeast"/>
        <w:ind w:firstLine="480" w:firstLineChars="200"/>
        <w:rPr>
          <w:rFonts w:ascii="宋体" w:hAnsi="宋体"/>
          <w:sz w:val="24"/>
          <w:szCs w:val="24"/>
          <w:highlight w:val="none"/>
        </w:rPr>
      </w:pPr>
      <w:r>
        <w:rPr>
          <w:rFonts w:hint="eastAsia" w:ascii="宋体" w:hAnsi="宋体"/>
          <w:sz w:val="24"/>
          <w:szCs w:val="24"/>
          <w:highlight w:val="none"/>
        </w:rPr>
        <w:t>（十</w:t>
      </w:r>
      <w:r>
        <w:rPr>
          <w:rFonts w:hint="eastAsia" w:ascii="宋体" w:hAnsi="宋体"/>
          <w:sz w:val="24"/>
          <w:szCs w:val="24"/>
          <w:highlight w:val="none"/>
          <w:lang w:eastAsia="zh-CN"/>
        </w:rPr>
        <w:t>五</w:t>
      </w:r>
      <w:r>
        <w:rPr>
          <w:rFonts w:hint="eastAsia" w:ascii="宋体" w:hAnsi="宋体"/>
          <w:sz w:val="24"/>
          <w:szCs w:val="24"/>
          <w:highlight w:val="none"/>
        </w:rPr>
        <w:t>）</w:t>
      </w:r>
      <w:r>
        <w:rPr>
          <w:rFonts w:hint="eastAsia" w:ascii="宋体" w:hAnsi="宋体"/>
          <w:sz w:val="24"/>
          <w:highlight w:val="none"/>
        </w:rPr>
        <w:t>出现下列情形意向投资方保证金不予退还：</w:t>
      </w:r>
    </w:p>
    <w:p>
      <w:pPr>
        <w:spacing w:line="500" w:lineRule="atLeast"/>
        <w:ind w:firstLine="480" w:firstLineChars="200"/>
        <w:rPr>
          <w:rFonts w:ascii="宋体" w:hAnsi="宋体"/>
          <w:sz w:val="24"/>
          <w:szCs w:val="24"/>
          <w:highlight w:val="none"/>
        </w:rPr>
      </w:pPr>
      <w:r>
        <w:rPr>
          <w:rFonts w:hint="eastAsia" w:ascii="宋体" w:hAnsi="宋体"/>
          <w:sz w:val="24"/>
          <w:szCs w:val="24"/>
          <w:highlight w:val="none"/>
        </w:rPr>
        <w:t>（</w:t>
      </w:r>
      <w:r>
        <w:rPr>
          <w:rFonts w:ascii="宋体" w:hAnsi="宋体"/>
          <w:sz w:val="24"/>
          <w:szCs w:val="24"/>
          <w:highlight w:val="none"/>
        </w:rPr>
        <w:t>1）意向投资方存在不当行为，包括但不限于：提供的资料和信息存在虚假、不真实、不具有效力等情形。</w:t>
      </w:r>
    </w:p>
    <w:p>
      <w:pPr>
        <w:spacing w:line="500" w:lineRule="atLeast"/>
        <w:ind w:firstLine="480" w:firstLineChars="200"/>
        <w:rPr>
          <w:rFonts w:ascii="宋体" w:hAnsi="宋体"/>
          <w:sz w:val="24"/>
          <w:szCs w:val="24"/>
          <w:highlight w:val="none"/>
        </w:rPr>
      </w:pPr>
      <w:r>
        <w:rPr>
          <w:rFonts w:hint="eastAsia" w:ascii="宋体" w:hAnsi="宋体"/>
          <w:sz w:val="24"/>
          <w:szCs w:val="24"/>
          <w:highlight w:val="none"/>
        </w:rPr>
        <w:t>（</w:t>
      </w:r>
      <w:r>
        <w:rPr>
          <w:rFonts w:ascii="宋体" w:hAnsi="宋体"/>
          <w:sz w:val="24"/>
          <w:szCs w:val="24"/>
          <w:highlight w:val="none"/>
        </w:rPr>
        <w:t>2）意向投资方交纳保证金后单方撤回竞买申请的；</w:t>
      </w:r>
    </w:p>
    <w:p>
      <w:pPr>
        <w:spacing w:line="500" w:lineRule="atLeast"/>
        <w:ind w:firstLine="480" w:firstLineChars="200"/>
        <w:rPr>
          <w:rFonts w:ascii="宋体" w:hAnsi="宋体"/>
          <w:sz w:val="24"/>
          <w:szCs w:val="24"/>
          <w:highlight w:val="none"/>
        </w:rPr>
      </w:pPr>
      <w:r>
        <w:rPr>
          <w:rFonts w:hint="eastAsia" w:ascii="宋体" w:hAnsi="宋体"/>
          <w:sz w:val="24"/>
          <w:szCs w:val="24"/>
          <w:highlight w:val="none"/>
        </w:rPr>
        <w:t>（</w:t>
      </w:r>
      <w:r>
        <w:rPr>
          <w:rFonts w:ascii="宋体" w:hAnsi="宋体"/>
          <w:sz w:val="24"/>
          <w:szCs w:val="24"/>
          <w:highlight w:val="none"/>
        </w:rPr>
        <w:t>3）公告期满，产生两个或两个以上符合条件的意向投资方时，意向投资方交纳保证金后未参加后续竞价程序的；</w:t>
      </w:r>
    </w:p>
    <w:p>
      <w:pPr>
        <w:spacing w:line="500" w:lineRule="atLeast"/>
        <w:ind w:firstLine="480" w:firstLineChars="200"/>
        <w:rPr>
          <w:rFonts w:ascii="宋体" w:hAnsi="宋体"/>
          <w:sz w:val="24"/>
          <w:szCs w:val="24"/>
          <w:highlight w:val="none"/>
        </w:rPr>
      </w:pPr>
      <w:r>
        <w:rPr>
          <w:rFonts w:hint="eastAsia" w:ascii="宋体" w:hAnsi="宋体"/>
          <w:sz w:val="24"/>
          <w:szCs w:val="24"/>
          <w:highlight w:val="none"/>
        </w:rPr>
        <w:t>（</w:t>
      </w:r>
      <w:r>
        <w:rPr>
          <w:rFonts w:ascii="宋体" w:hAnsi="宋体"/>
          <w:sz w:val="24"/>
          <w:szCs w:val="24"/>
          <w:highlight w:val="none"/>
        </w:rPr>
        <w:t>4）在竞价过程中以底价为起始价格，各意向投资方均不应价的；</w:t>
      </w:r>
    </w:p>
    <w:p>
      <w:pPr>
        <w:spacing w:line="500" w:lineRule="atLeast"/>
        <w:ind w:firstLine="480" w:firstLineChars="200"/>
        <w:rPr>
          <w:rFonts w:ascii="宋体" w:hAnsi="宋体"/>
          <w:sz w:val="24"/>
          <w:szCs w:val="24"/>
          <w:highlight w:val="none"/>
        </w:rPr>
      </w:pPr>
      <w:r>
        <w:rPr>
          <w:rFonts w:hint="eastAsia" w:ascii="宋体" w:hAnsi="宋体"/>
          <w:sz w:val="24"/>
          <w:szCs w:val="24"/>
          <w:highlight w:val="none"/>
        </w:rPr>
        <w:t>（</w:t>
      </w:r>
      <w:r>
        <w:rPr>
          <w:rFonts w:ascii="宋体" w:hAnsi="宋体"/>
          <w:sz w:val="24"/>
          <w:szCs w:val="24"/>
          <w:highlight w:val="none"/>
        </w:rPr>
        <w:t>5）被确定为最终投资方后，未按期支付</w:t>
      </w:r>
      <w:r>
        <w:rPr>
          <w:rFonts w:hint="eastAsia" w:ascii="宋体" w:hAnsi="宋体"/>
          <w:sz w:val="24"/>
          <w:szCs w:val="24"/>
          <w:highlight w:val="none"/>
        </w:rPr>
        <w:t>增资款项的；</w:t>
      </w:r>
    </w:p>
    <w:p>
      <w:pPr>
        <w:spacing w:line="500" w:lineRule="atLeast"/>
        <w:ind w:firstLine="480" w:firstLineChars="200"/>
        <w:rPr>
          <w:rFonts w:ascii="宋体" w:hAnsi="宋体"/>
          <w:sz w:val="24"/>
          <w:szCs w:val="24"/>
          <w:highlight w:val="none"/>
        </w:rPr>
      </w:pPr>
      <w:r>
        <w:rPr>
          <w:rFonts w:hint="eastAsia" w:ascii="宋体" w:hAnsi="宋体"/>
          <w:sz w:val="24"/>
          <w:szCs w:val="24"/>
          <w:highlight w:val="none"/>
        </w:rPr>
        <w:t>（</w:t>
      </w:r>
      <w:r>
        <w:rPr>
          <w:rFonts w:ascii="宋体" w:hAnsi="宋体"/>
          <w:sz w:val="24"/>
          <w:szCs w:val="24"/>
          <w:highlight w:val="none"/>
        </w:rPr>
        <w:t>6）未按期与</w:t>
      </w:r>
      <w:r>
        <w:rPr>
          <w:rFonts w:hint="eastAsia" w:ascii="宋体" w:hAnsi="宋体"/>
          <w:sz w:val="24"/>
          <w:szCs w:val="24"/>
          <w:highlight w:val="none"/>
          <w:lang w:eastAsia="zh-CN"/>
        </w:rPr>
        <w:t>组织人、申请人</w:t>
      </w:r>
      <w:r>
        <w:rPr>
          <w:rFonts w:hint="eastAsia" w:ascii="宋体" w:hAnsi="宋体"/>
          <w:sz w:val="24"/>
          <w:szCs w:val="24"/>
          <w:highlight w:val="none"/>
        </w:rPr>
        <w:t>签订《增资确</w:t>
      </w:r>
      <w:r>
        <w:rPr>
          <w:rFonts w:hint="eastAsia" w:ascii="宋体" w:hAnsi="宋体"/>
          <w:sz w:val="24"/>
          <w:szCs w:val="24"/>
          <w:highlight w:val="none"/>
          <w:lang w:eastAsia="zh-CN"/>
        </w:rPr>
        <w:t>认</w:t>
      </w:r>
      <w:r>
        <w:rPr>
          <w:rFonts w:hint="eastAsia" w:ascii="宋体" w:hAnsi="宋体"/>
          <w:sz w:val="24"/>
          <w:szCs w:val="24"/>
          <w:highlight w:val="none"/>
        </w:rPr>
        <w:t>书》和</w:t>
      </w:r>
      <w:r>
        <w:rPr>
          <w:rFonts w:hint="eastAsia" w:ascii="宋体" w:hAnsi="宋体"/>
          <w:sz w:val="24"/>
          <w:szCs w:val="24"/>
          <w:highlight w:val="none"/>
          <w:lang w:eastAsia="zh-CN"/>
        </w:rPr>
        <w:t>增资协议</w:t>
      </w:r>
      <w:r>
        <w:rPr>
          <w:rFonts w:hint="eastAsia" w:ascii="宋体" w:hAnsi="宋体"/>
          <w:sz w:val="24"/>
          <w:szCs w:val="24"/>
          <w:highlight w:val="none"/>
        </w:rPr>
        <w:t>的；</w:t>
      </w:r>
    </w:p>
    <w:p>
      <w:pPr>
        <w:spacing w:line="500" w:lineRule="atLeast"/>
        <w:ind w:firstLine="480" w:firstLineChars="200"/>
        <w:rPr>
          <w:rFonts w:ascii="宋体" w:hAnsi="宋体"/>
          <w:sz w:val="24"/>
          <w:szCs w:val="24"/>
          <w:highlight w:val="none"/>
        </w:rPr>
      </w:pPr>
      <w:r>
        <w:rPr>
          <w:rFonts w:hint="eastAsia" w:ascii="宋体" w:hAnsi="宋体"/>
          <w:sz w:val="24"/>
          <w:szCs w:val="24"/>
          <w:highlight w:val="none"/>
        </w:rPr>
        <w:t>（</w:t>
      </w:r>
      <w:r>
        <w:rPr>
          <w:rFonts w:ascii="宋体" w:hAnsi="宋体"/>
          <w:sz w:val="24"/>
          <w:szCs w:val="24"/>
          <w:highlight w:val="none"/>
        </w:rPr>
        <w:t>7）意向投资方在重大方面</w:t>
      </w:r>
      <w:r>
        <w:rPr>
          <w:rFonts w:hint="eastAsia" w:ascii="宋体" w:hAnsi="宋体"/>
          <w:sz w:val="24"/>
          <w:szCs w:val="24"/>
          <w:highlight w:val="none"/>
          <w:lang w:val="en-US" w:eastAsia="zh-CN"/>
        </w:rPr>
        <w:t>存在</w:t>
      </w:r>
      <w:r>
        <w:rPr>
          <w:rFonts w:ascii="宋体" w:hAnsi="宋体"/>
          <w:sz w:val="24"/>
          <w:szCs w:val="24"/>
          <w:highlight w:val="none"/>
        </w:rPr>
        <w:t>影响标的正常</w:t>
      </w:r>
      <w:r>
        <w:rPr>
          <w:rFonts w:hint="eastAsia" w:ascii="宋体" w:hAnsi="宋体"/>
          <w:sz w:val="24"/>
          <w:szCs w:val="24"/>
          <w:highlight w:val="none"/>
        </w:rPr>
        <w:t>竞价</w:t>
      </w:r>
      <w:r>
        <w:rPr>
          <w:rFonts w:ascii="宋体" w:hAnsi="宋体"/>
          <w:sz w:val="24"/>
          <w:szCs w:val="24"/>
          <w:highlight w:val="none"/>
        </w:rPr>
        <w:t>、竞价公正性或其他竞价程序要求的情形的；</w:t>
      </w:r>
    </w:p>
    <w:p>
      <w:pPr>
        <w:spacing w:line="500" w:lineRule="atLeast"/>
        <w:ind w:firstLine="480" w:firstLineChars="200"/>
        <w:rPr>
          <w:rFonts w:ascii="宋体" w:hAnsi="宋体"/>
          <w:sz w:val="24"/>
          <w:highlight w:val="none"/>
        </w:rPr>
      </w:pPr>
      <w:r>
        <w:rPr>
          <w:rFonts w:hint="eastAsia" w:ascii="宋体" w:hAnsi="宋体"/>
          <w:sz w:val="24"/>
          <w:szCs w:val="24"/>
          <w:highlight w:val="none"/>
        </w:rPr>
        <w:t>（十</w:t>
      </w:r>
      <w:r>
        <w:rPr>
          <w:rFonts w:hint="eastAsia" w:ascii="宋体" w:hAnsi="宋体"/>
          <w:sz w:val="24"/>
          <w:szCs w:val="24"/>
          <w:highlight w:val="none"/>
          <w:lang w:eastAsia="zh-CN"/>
        </w:rPr>
        <w:t>六</w:t>
      </w:r>
      <w:r>
        <w:rPr>
          <w:rFonts w:hint="eastAsia" w:ascii="宋体" w:hAnsi="宋体"/>
          <w:sz w:val="24"/>
          <w:szCs w:val="24"/>
          <w:highlight w:val="none"/>
        </w:rPr>
        <w:t>）意向投资方法定代表人不能参加增资活动的，需提前办理授权委托书，委托代理人，代理人必须向组织人相关工作人员出示</w:t>
      </w:r>
      <w:r>
        <w:rPr>
          <w:rFonts w:hint="eastAsia" w:ascii="宋体" w:hAnsi="宋体"/>
          <w:sz w:val="24"/>
          <w:highlight w:val="none"/>
        </w:rPr>
        <w:t>有效的委托文件原件及本人身份证原件或其他有效身份证件</w:t>
      </w:r>
      <w:r>
        <w:rPr>
          <w:rFonts w:hint="eastAsia" w:ascii="宋体" w:hAnsi="宋体"/>
          <w:sz w:val="24"/>
          <w:szCs w:val="24"/>
          <w:highlight w:val="none"/>
        </w:rPr>
        <w:t>，并经组织人确认同意方可进入增资活动现场代理参加增资活动，否则视为该意向投资方违反约定和干扰秩序</w:t>
      </w:r>
      <w:r>
        <w:rPr>
          <w:rFonts w:hint="eastAsia" w:ascii="宋体" w:hAnsi="宋体"/>
          <w:sz w:val="24"/>
          <w:highlight w:val="none"/>
        </w:rPr>
        <w:t>。</w:t>
      </w:r>
    </w:p>
    <w:p>
      <w:pPr>
        <w:spacing w:line="500" w:lineRule="atLeast"/>
        <w:ind w:firstLine="480" w:firstLineChars="200"/>
        <w:rPr>
          <w:rFonts w:ascii="宋体"/>
          <w:sz w:val="24"/>
          <w:szCs w:val="24"/>
          <w:highlight w:val="none"/>
        </w:rPr>
      </w:pPr>
      <w:r>
        <w:rPr>
          <w:rFonts w:hint="eastAsia" w:ascii="宋体" w:hAnsi="宋体"/>
          <w:sz w:val="24"/>
          <w:szCs w:val="24"/>
          <w:highlight w:val="none"/>
        </w:rPr>
        <w:t>（十</w:t>
      </w:r>
      <w:r>
        <w:rPr>
          <w:rFonts w:hint="eastAsia" w:ascii="宋体" w:hAnsi="宋体"/>
          <w:sz w:val="24"/>
          <w:szCs w:val="24"/>
          <w:highlight w:val="none"/>
          <w:lang w:eastAsia="zh-CN"/>
        </w:rPr>
        <w:t>七</w:t>
      </w:r>
      <w:r>
        <w:rPr>
          <w:rFonts w:hint="eastAsia" w:ascii="宋体" w:hAnsi="宋体"/>
          <w:sz w:val="24"/>
          <w:szCs w:val="24"/>
          <w:highlight w:val="none"/>
        </w:rPr>
        <w:t>）意向投资方进入增资活动现场必须遵守现场活动公共秩序，不得阻挠其他意向投资方参与增资活动，不得阻碍组织人进行正常的工作，更不得有恶意操纵他人等违法行为，一经发现，将取消该意向投资方参与投资资格并由其承担全部法律责任，其所交增资保证金由组织人直接支付给申请方所有。</w:t>
      </w:r>
    </w:p>
    <w:p>
      <w:pPr>
        <w:spacing w:line="500" w:lineRule="atLeast"/>
        <w:ind w:firstLine="480" w:firstLineChars="200"/>
        <w:rPr>
          <w:rFonts w:ascii="宋体"/>
          <w:sz w:val="24"/>
          <w:szCs w:val="24"/>
          <w:highlight w:val="none"/>
        </w:rPr>
      </w:pPr>
      <w:r>
        <w:rPr>
          <w:rFonts w:hint="eastAsia" w:ascii="宋体" w:hAnsi="宋体"/>
          <w:sz w:val="24"/>
          <w:szCs w:val="24"/>
          <w:highlight w:val="none"/>
        </w:rPr>
        <w:t>（十</w:t>
      </w:r>
      <w:r>
        <w:rPr>
          <w:rFonts w:hint="eastAsia" w:ascii="宋体" w:hAnsi="宋体"/>
          <w:sz w:val="24"/>
          <w:szCs w:val="24"/>
          <w:highlight w:val="none"/>
          <w:lang w:eastAsia="zh-CN"/>
        </w:rPr>
        <w:t>八</w:t>
      </w:r>
      <w:r>
        <w:rPr>
          <w:rFonts w:hint="eastAsia" w:ascii="宋体" w:hAnsi="宋体"/>
          <w:sz w:val="24"/>
          <w:szCs w:val="24"/>
          <w:highlight w:val="none"/>
        </w:rPr>
        <w:t>）意向投资方应自行承担其参与增资活动（包括但不限于完成报名手续和递交有关文件）所涉及的一切费用，不论结果如何，在任何情况下组织人及融资方均无义务承担此费用。</w:t>
      </w:r>
    </w:p>
    <w:p>
      <w:pPr>
        <w:spacing w:line="500" w:lineRule="atLeast"/>
        <w:ind w:firstLine="480" w:firstLineChars="200"/>
        <w:rPr>
          <w:rFonts w:ascii="宋体" w:hAnsi="宋体"/>
          <w:sz w:val="24"/>
          <w:szCs w:val="24"/>
          <w:highlight w:val="none"/>
        </w:rPr>
      </w:pPr>
      <w:r>
        <w:rPr>
          <w:rFonts w:hint="eastAsia" w:ascii="宋体" w:hAnsi="宋体"/>
          <w:sz w:val="24"/>
          <w:szCs w:val="24"/>
          <w:highlight w:val="none"/>
        </w:rPr>
        <w:t>（十</w:t>
      </w:r>
      <w:r>
        <w:rPr>
          <w:rFonts w:hint="eastAsia" w:ascii="宋体" w:hAnsi="宋体"/>
          <w:sz w:val="24"/>
          <w:szCs w:val="24"/>
          <w:highlight w:val="none"/>
          <w:lang w:eastAsia="zh-CN"/>
        </w:rPr>
        <w:t>九</w:t>
      </w:r>
      <w:r>
        <w:rPr>
          <w:rFonts w:hint="eastAsia" w:ascii="宋体" w:hAnsi="宋体"/>
          <w:sz w:val="24"/>
          <w:szCs w:val="24"/>
          <w:highlight w:val="none"/>
        </w:rPr>
        <w:t>）申请方应按增资协议规定时间提交标的企业工商变更、办证及过户所需相关资料，标的企业所涉及的工商变更、办证及过户等相关事宜过程中所产生的税、费等均由</w:t>
      </w:r>
      <w:r>
        <w:rPr>
          <w:rFonts w:hint="eastAsia" w:ascii="宋体" w:hAnsi="宋体"/>
          <w:sz w:val="24"/>
          <w:szCs w:val="24"/>
          <w:highlight w:val="none"/>
          <w:lang w:val="en-US" w:eastAsia="zh-CN"/>
        </w:rPr>
        <w:t>标的企业、投资方按国家规定各自承担并自行办理。</w:t>
      </w:r>
    </w:p>
    <w:p>
      <w:pPr>
        <w:spacing w:line="500" w:lineRule="atLeast"/>
        <w:ind w:firstLine="480" w:firstLineChars="200"/>
        <w:rPr>
          <w:rFonts w:ascii="宋体" w:hAnsi="宋体"/>
          <w:sz w:val="24"/>
          <w:szCs w:val="24"/>
          <w:highlight w:val="none"/>
        </w:rPr>
      </w:pPr>
      <w:r>
        <w:rPr>
          <w:rFonts w:hint="eastAsia" w:ascii="宋体" w:hAnsi="宋体"/>
          <w:sz w:val="24"/>
          <w:szCs w:val="24"/>
          <w:highlight w:val="none"/>
        </w:rPr>
        <w:t>（二十）投资方应确保自身主体资格能符合审批机关、工商管理等部门对投资方主体资格的要求，否则投资方应承担全部法律责任，且其所交保证金由组织人直接支付给申请方所有。</w:t>
      </w:r>
    </w:p>
    <w:p>
      <w:pPr>
        <w:spacing w:line="500" w:lineRule="atLeast"/>
        <w:ind w:firstLine="480" w:firstLineChars="200"/>
        <w:rPr>
          <w:rFonts w:ascii="宋体"/>
          <w:sz w:val="24"/>
          <w:szCs w:val="24"/>
          <w:highlight w:val="none"/>
        </w:rPr>
      </w:pPr>
      <w:r>
        <w:rPr>
          <w:rFonts w:hint="eastAsia" w:ascii="宋体" w:hAnsi="宋体"/>
          <w:sz w:val="24"/>
          <w:szCs w:val="24"/>
          <w:highlight w:val="none"/>
        </w:rPr>
        <w:t>（二十</w:t>
      </w:r>
      <w:r>
        <w:rPr>
          <w:rFonts w:hint="eastAsia" w:ascii="宋体" w:hAnsi="宋体"/>
          <w:sz w:val="24"/>
          <w:szCs w:val="24"/>
          <w:highlight w:val="none"/>
          <w:lang w:eastAsia="zh-CN"/>
        </w:rPr>
        <w:t>一</w:t>
      </w:r>
      <w:r>
        <w:rPr>
          <w:rFonts w:hint="eastAsia" w:ascii="宋体" w:hAnsi="宋体"/>
          <w:sz w:val="24"/>
          <w:szCs w:val="24"/>
          <w:highlight w:val="none"/>
        </w:rPr>
        <w:t>）申请方有权在增资活动开始前撤回标的。若因申请方撤回标的不可抗力因素或其他特殊的重要原因，组织人有权取消或推迟本次增资活动，由此对意向投资方造成的损失由意向投资方自负，意向投资方不得</w:t>
      </w:r>
      <w:r>
        <w:rPr>
          <w:rFonts w:hint="eastAsia" w:ascii="宋体" w:hAnsi="宋体"/>
          <w:bCs/>
          <w:sz w:val="24"/>
          <w:szCs w:val="24"/>
          <w:highlight w:val="none"/>
        </w:rPr>
        <w:t>向</w:t>
      </w:r>
      <w:r>
        <w:rPr>
          <w:rFonts w:hint="eastAsia" w:ascii="宋体" w:hAnsi="宋体"/>
          <w:sz w:val="24"/>
          <w:szCs w:val="24"/>
          <w:highlight w:val="none"/>
        </w:rPr>
        <w:t>申请方</w:t>
      </w:r>
      <w:r>
        <w:rPr>
          <w:rFonts w:hint="eastAsia" w:ascii="宋体" w:hAnsi="宋体"/>
          <w:bCs/>
          <w:sz w:val="24"/>
          <w:szCs w:val="24"/>
          <w:highlight w:val="none"/>
        </w:rPr>
        <w:t>、组织人追索保证金利息及其他任何费用与责任。</w:t>
      </w:r>
    </w:p>
    <w:p>
      <w:pPr>
        <w:spacing w:line="500" w:lineRule="atLeast"/>
        <w:ind w:firstLine="480" w:firstLineChars="200"/>
        <w:rPr>
          <w:rFonts w:ascii="宋体"/>
          <w:sz w:val="24"/>
          <w:szCs w:val="24"/>
          <w:highlight w:val="none"/>
        </w:rPr>
      </w:pPr>
      <w:r>
        <w:rPr>
          <w:rFonts w:hint="eastAsia" w:ascii="宋体" w:hAnsi="宋体"/>
          <w:sz w:val="24"/>
          <w:szCs w:val="24"/>
          <w:highlight w:val="none"/>
        </w:rPr>
        <w:t>（二十</w:t>
      </w:r>
      <w:r>
        <w:rPr>
          <w:rFonts w:hint="eastAsia" w:ascii="宋体" w:hAnsi="宋体"/>
          <w:sz w:val="24"/>
          <w:szCs w:val="24"/>
          <w:highlight w:val="none"/>
          <w:lang w:eastAsia="zh-CN"/>
        </w:rPr>
        <w:t>二</w:t>
      </w:r>
      <w:r>
        <w:rPr>
          <w:rFonts w:hint="eastAsia" w:ascii="宋体" w:hAnsi="宋体"/>
          <w:sz w:val="24"/>
          <w:szCs w:val="24"/>
          <w:highlight w:val="none"/>
        </w:rPr>
        <w:t>）组织人在本增资文件中或其他材料中所作出的关于本项目的说明仅作为一般性介绍供意向投资方参考，不表明组织人做出担保，本次增资活动所提供的文件资料若因印刷、拷贝或摄影造成资料与实物或标的实际情况有误差的，以实物或标的情况现状及有效证件为准。如遇特殊情况，组织人有权对本增资文件进行修正，如有修正，将在增资活动开始前以书面形式或在增资活动上口头公开告知全体参会意向投资方。</w:t>
      </w:r>
    </w:p>
    <w:p>
      <w:pPr>
        <w:numPr>
          <w:ilvl w:val="0"/>
          <w:numId w:val="1"/>
        </w:numPr>
        <w:spacing w:line="500" w:lineRule="atLeast"/>
        <w:rPr>
          <w:rFonts w:ascii="宋体"/>
          <w:b/>
          <w:sz w:val="24"/>
          <w:szCs w:val="24"/>
          <w:highlight w:val="none"/>
        </w:rPr>
      </w:pPr>
      <w:r>
        <w:rPr>
          <w:rFonts w:hint="eastAsia" w:ascii="宋体" w:hAnsi="宋体"/>
          <w:b/>
          <w:sz w:val="24"/>
          <w:szCs w:val="24"/>
          <w:highlight w:val="none"/>
        </w:rPr>
        <w:t>本项目相关情况说明</w:t>
      </w:r>
    </w:p>
    <w:p>
      <w:pPr>
        <w:spacing w:line="500" w:lineRule="atLeast"/>
        <w:ind w:firstLine="480" w:firstLineChars="200"/>
        <w:rPr>
          <w:rFonts w:ascii="宋体" w:hAnsi="宋体"/>
          <w:sz w:val="24"/>
          <w:szCs w:val="24"/>
          <w:highlight w:val="none"/>
        </w:rPr>
      </w:pPr>
      <w:r>
        <w:rPr>
          <w:rFonts w:hint="eastAsia" w:ascii="宋体" w:hAnsi="宋体"/>
          <w:sz w:val="24"/>
          <w:szCs w:val="24"/>
          <w:highlight w:val="none"/>
        </w:rPr>
        <w:t>（一）资产评估基准日到增资工商变更完成日期间的损益处理方式：由新老股东按持股比例共享。</w:t>
      </w:r>
    </w:p>
    <w:p>
      <w:pPr>
        <w:spacing w:line="500" w:lineRule="atLeast"/>
        <w:ind w:firstLine="480" w:firstLineChars="200"/>
        <w:rPr>
          <w:rFonts w:ascii="宋体"/>
          <w:sz w:val="24"/>
          <w:szCs w:val="24"/>
          <w:highlight w:val="none"/>
        </w:rPr>
      </w:pPr>
      <w:r>
        <w:rPr>
          <w:rFonts w:hint="eastAsia" w:ascii="宋体" w:hAnsi="宋体"/>
          <w:sz w:val="24"/>
          <w:szCs w:val="24"/>
          <w:highlight w:val="none"/>
        </w:rPr>
        <w:t>（二）其他有关海正生物具体情况详见审计、评估机构出具的相应《审计报告》、《评估报告》和律师事务所出具的《法律意见书》。</w:t>
      </w:r>
    </w:p>
    <w:p>
      <w:pPr>
        <w:spacing w:line="500" w:lineRule="atLeast"/>
        <w:ind w:firstLine="480" w:firstLineChars="200"/>
        <w:rPr>
          <w:rFonts w:ascii="宋体" w:hAnsi="宋体"/>
          <w:sz w:val="24"/>
          <w:szCs w:val="24"/>
          <w:highlight w:val="none"/>
        </w:rPr>
      </w:pPr>
      <w:r>
        <w:rPr>
          <w:rFonts w:hint="eastAsia" w:ascii="宋体" w:hAnsi="宋体"/>
          <w:sz w:val="24"/>
          <w:szCs w:val="24"/>
          <w:highlight w:val="none"/>
        </w:rPr>
        <w:t>（三）增资文件的解释权归申请方和组织人。</w:t>
      </w:r>
    </w:p>
    <w:p>
      <w:pPr>
        <w:spacing w:line="500" w:lineRule="atLeast"/>
        <w:ind w:firstLine="3240" w:firstLineChars="1350"/>
        <w:jc w:val="center"/>
        <w:rPr>
          <w:rFonts w:ascii="宋体"/>
          <w:sz w:val="24"/>
          <w:szCs w:val="24"/>
          <w:highlight w:val="none"/>
        </w:rPr>
      </w:pPr>
      <w:r>
        <w:rPr>
          <w:rFonts w:hint="eastAsia" w:ascii="宋体" w:hAnsi="宋体"/>
          <w:sz w:val="24"/>
          <w:szCs w:val="24"/>
          <w:highlight w:val="none"/>
        </w:rPr>
        <w:t>台州市产权交易所有限公司</w:t>
      </w:r>
    </w:p>
    <w:p>
      <w:pPr>
        <w:spacing w:line="500" w:lineRule="atLeast"/>
        <w:ind w:firstLine="3240" w:firstLineChars="1350"/>
        <w:jc w:val="center"/>
        <w:rPr>
          <w:rFonts w:ascii="宋体" w:hAnsi="宋体"/>
          <w:b/>
          <w:sz w:val="28"/>
          <w:szCs w:val="28"/>
          <w:highlight w:val="none"/>
        </w:rPr>
      </w:pPr>
      <w:r>
        <w:rPr>
          <w:rFonts w:hint="eastAsia" w:ascii="宋体" w:hAnsi="宋体"/>
          <w:sz w:val="24"/>
          <w:highlight w:val="none"/>
        </w:rPr>
        <w:t>二〇二〇年</w:t>
      </w:r>
      <w:r>
        <w:rPr>
          <w:rFonts w:hint="eastAsia" w:ascii="宋体" w:hAnsi="宋体"/>
          <w:sz w:val="24"/>
          <w:highlight w:val="none"/>
          <w:lang w:eastAsia="zh-CN"/>
        </w:rPr>
        <w:t>十一</w:t>
      </w:r>
      <w:r>
        <w:rPr>
          <w:rFonts w:hint="eastAsia" w:ascii="宋体" w:hAnsi="宋体"/>
          <w:sz w:val="24"/>
          <w:highlight w:val="none"/>
        </w:rPr>
        <w:t>月</w:t>
      </w:r>
      <w:r>
        <w:rPr>
          <w:rFonts w:hint="eastAsia" w:ascii="宋体" w:hAnsi="宋体"/>
          <w:sz w:val="24"/>
          <w:highlight w:val="none"/>
          <w:lang w:eastAsia="zh-CN"/>
        </w:rPr>
        <w:t>三</w:t>
      </w:r>
      <w:r>
        <w:rPr>
          <w:rFonts w:hint="eastAsia" w:ascii="宋体" w:hAnsi="宋体"/>
          <w:sz w:val="24"/>
          <w:highlight w:val="none"/>
        </w:rPr>
        <w:t>日</w:t>
      </w:r>
      <w:r>
        <w:rPr>
          <w:rFonts w:ascii="宋体" w:hAnsi="宋体"/>
          <w:b/>
          <w:sz w:val="28"/>
          <w:szCs w:val="28"/>
          <w:highlight w:val="none"/>
        </w:rPr>
        <w:br w:type="page"/>
      </w:r>
    </w:p>
    <w:p>
      <w:pPr>
        <w:pStyle w:val="2"/>
        <w:jc w:val="center"/>
        <w:rPr>
          <w:szCs w:val="32"/>
          <w:highlight w:val="none"/>
        </w:rPr>
      </w:pPr>
      <w:bookmarkStart w:id="4" w:name="_Toc48252218"/>
      <w:r>
        <w:rPr>
          <w:rFonts w:hint="eastAsia"/>
          <w:szCs w:val="32"/>
          <w:highlight w:val="none"/>
        </w:rPr>
        <w:t>增资扩股投资申请书</w:t>
      </w:r>
      <w:bookmarkEnd w:id="4"/>
    </w:p>
    <w:p>
      <w:pPr>
        <w:jc w:val="center"/>
        <w:rPr>
          <w:rFonts w:eastAsia="仿宋_GB2312"/>
          <w:sz w:val="30"/>
          <w:highlight w:val="none"/>
        </w:rPr>
      </w:pPr>
    </w:p>
    <w:p>
      <w:pPr>
        <w:jc w:val="center"/>
        <w:rPr>
          <w:rFonts w:eastAsia="仿宋_GB2312"/>
          <w:sz w:val="30"/>
          <w:highlight w:val="none"/>
        </w:rPr>
      </w:pPr>
    </w:p>
    <w:p>
      <w:pPr>
        <w:ind w:left="899" w:leftChars="428" w:firstLine="1"/>
        <w:rPr>
          <w:rFonts w:ascii="宋体"/>
          <w:sz w:val="32"/>
          <w:szCs w:val="32"/>
          <w:highlight w:val="none"/>
        </w:rPr>
      </w:pPr>
      <w:r>
        <w:rPr>
          <w:rFonts w:hint="eastAsia" w:ascii="宋体" w:hAnsi="宋体"/>
          <w:sz w:val="32"/>
          <w:szCs w:val="32"/>
          <w:highlight w:val="none"/>
        </w:rPr>
        <w:t>项目名称：</w:t>
      </w:r>
    </w:p>
    <w:p>
      <w:pPr>
        <w:ind w:left="899" w:leftChars="428" w:firstLine="1"/>
        <w:rPr>
          <w:rFonts w:ascii="宋体"/>
          <w:sz w:val="32"/>
          <w:szCs w:val="32"/>
          <w:highlight w:val="none"/>
        </w:rPr>
      </w:pPr>
      <w:r>
        <w:rPr>
          <w:rFonts w:hint="eastAsia" w:ascii="宋体" w:hAnsi="宋体"/>
          <w:sz w:val="32"/>
          <w:szCs w:val="32"/>
          <w:highlight w:val="none"/>
        </w:rPr>
        <w:t>项目编号：</w:t>
      </w:r>
    </w:p>
    <w:p>
      <w:pPr>
        <w:rPr>
          <w:rFonts w:ascii="宋体"/>
          <w:sz w:val="32"/>
          <w:szCs w:val="32"/>
          <w:highlight w:val="none"/>
        </w:rPr>
      </w:pPr>
    </w:p>
    <w:p>
      <w:pPr>
        <w:rPr>
          <w:rFonts w:ascii="宋体"/>
          <w:sz w:val="32"/>
          <w:szCs w:val="32"/>
          <w:highlight w:val="none"/>
        </w:rPr>
      </w:pPr>
    </w:p>
    <w:p>
      <w:pPr>
        <w:ind w:firstLine="800" w:firstLineChars="250"/>
        <w:rPr>
          <w:rFonts w:ascii="宋体"/>
          <w:sz w:val="32"/>
          <w:szCs w:val="32"/>
          <w:highlight w:val="none"/>
        </w:rPr>
      </w:pPr>
      <w:r>
        <w:rPr>
          <w:rFonts w:hint="eastAsia" w:ascii="宋体" w:hAnsi="宋体"/>
          <w:sz w:val="32"/>
          <w:szCs w:val="32"/>
          <w:highlight w:val="none"/>
        </w:rPr>
        <w:t>申请人：（意向投资方盖章或签字）</w:t>
      </w:r>
    </w:p>
    <w:p>
      <w:pPr>
        <w:rPr>
          <w:rFonts w:ascii="宋体"/>
          <w:sz w:val="32"/>
          <w:szCs w:val="32"/>
          <w:highlight w:val="none"/>
        </w:rPr>
      </w:pPr>
    </w:p>
    <w:p>
      <w:pPr>
        <w:rPr>
          <w:rFonts w:ascii="宋体"/>
          <w:sz w:val="32"/>
          <w:szCs w:val="32"/>
          <w:highlight w:val="none"/>
        </w:rPr>
      </w:pPr>
    </w:p>
    <w:p>
      <w:pPr>
        <w:ind w:firstLine="960" w:firstLineChars="300"/>
        <w:rPr>
          <w:rFonts w:ascii="宋体"/>
          <w:sz w:val="32"/>
          <w:szCs w:val="32"/>
          <w:highlight w:val="none"/>
        </w:rPr>
      </w:pPr>
      <w:r>
        <w:rPr>
          <w:rFonts w:hint="eastAsia" w:ascii="宋体" w:hAnsi="宋体"/>
          <w:sz w:val="32"/>
          <w:szCs w:val="32"/>
          <w:highlight w:val="none"/>
        </w:rPr>
        <w:t>法定代表人或授权代表（签字）：</w:t>
      </w:r>
    </w:p>
    <w:p>
      <w:pPr>
        <w:rPr>
          <w:rFonts w:ascii="宋体"/>
          <w:sz w:val="32"/>
          <w:szCs w:val="32"/>
          <w:highlight w:val="none"/>
        </w:rPr>
      </w:pPr>
    </w:p>
    <w:p>
      <w:pPr>
        <w:rPr>
          <w:rFonts w:ascii="宋体"/>
          <w:sz w:val="32"/>
          <w:szCs w:val="32"/>
          <w:highlight w:val="none"/>
        </w:rPr>
      </w:pPr>
    </w:p>
    <w:p>
      <w:pPr>
        <w:rPr>
          <w:rFonts w:ascii="宋体"/>
          <w:sz w:val="32"/>
          <w:szCs w:val="32"/>
          <w:highlight w:val="none"/>
        </w:rPr>
      </w:pPr>
    </w:p>
    <w:p>
      <w:pPr>
        <w:rPr>
          <w:rFonts w:ascii="宋体"/>
          <w:sz w:val="32"/>
          <w:szCs w:val="32"/>
          <w:highlight w:val="none"/>
        </w:rPr>
      </w:pPr>
    </w:p>
    <w:p>
      <w:pPr>
        <w:rPr>
          <w:rFonts w:ascii="宋体"/>
          <w:sz w:val="32"/>
          <w:szCs w:val="32"/>
          <w:highlight w:val="none"/>
        </w:rPr>
      </w:pPr>
    </w:p>
    <w:p>
      <w:pPr>
        <w:rPr>
          <w:rFonts w:ascii="宋体"/>
          <w:sz w:val="32"/>
          <w:szCs w:val="32"/>
          <w:highlight w:val="none"/>
        </w:rPr>
      </w:pPr>
    </w:p>
    <w:p>
      <w:pPr>
        <w:rPr>
          <w:rFonts w:ascii="宋体"/>
          <w:sz w:val="32"/>
          <w:szCs w:val="32"/>
          <w:highlight w:val="none"/>
        </w:rPr>
      </w:pPr>
    </w:p>
    <w:p>
      <w:pPr>
        <w:ind w:right="600" w:firstLine="2700"/>
        <w:rPr>
          <w:rFonts w:ascii="宋体"/>
          <w:sz w:val="32"/>
          <w:szCs w:val="32"/>
          <w:highlight w:val="none"/>
        </w:rPr>
      </w:pPr>
      <w:r>
        <w:rPr>
          <w:rFonts w:hint="eastAsia" w:ascii="宋体" w:hAnsi="宋体"/>
          <w:sz w:val="32"/>
          <w:szCs w:val="32"/>
          <w:highlight w:val="none"/>
        </w:rPr>
        <w:t>申请日期：  年   月   日</w:t>
      </w:r>
    </w:p>
    <w:p>
      <w:pPr>
        <w:adjustRightInd w:val="0"/>
        <w:snapToGrid w:val="0"/>
        <w:spacing w:after="120" w:line="360" w:lineRule="auto"/>
        <w:jc w:val="center"/>
        <w:rPr>
          <w:rFonts w:ascii="宋体" w:hAnsi="宋体"/>
          <w:b/>
          <w:sz w:val="32"/>
          <w:szCs w:val="32"/>
          <w:highlight w:val="none"/>
        </w:rPr>
      </w:pPr>
    </w:p>
    <w:p>
      <w:pPr>
        <w:adjustRightInd w:val="0"/>
        <w:snapToGrid w:val="0"/>
        <w:spacing w:after="120" w:line="360" w:lineRule="auto"/>
        <w:jc w:val="center"/>
        <w:rPr>
          <w:rFonts w:ascii="宋体"/>
          <w:b/>
          <w:sz w:val="32"/>
          <w:szCs w:val="32"/>
          <w:highlight w:val="none"/>
        </w:rPr>
      </w:pPr>
      <w:r>
        <w:rPr>
          <w:rFonts w:ascii="宋体" w:hAnsi="宋体"/>
          <w:b/>
          <w:sz w:val="32"/>
          <w:szCs w:val="32"/>
          <w:highlight w:val="none"/>
        </w:rPr>
        <w:br w:type="page"/>
      </w:r>
      <w:r>
        <w:rPr>
          <w:rFonts w:hint="eastAsia" w:ascii="宋体" w:hAnsi="宋体"/>
          <w:b/>
          <w:sz w:val="32"/>
          <w:szCs w:val="32"/>
          <w:highlight w:val="none"/>
        </w:rPr>
        <w:t>投资申请与承诺</w:t>
      </w:r>
    </w:p>
    <w:p>
      <w:pPr>
        <w:adjustRightInd w:val="0"/>
        <w:snapToGrid w:val="0"/>
        <w:spacing w:after="120" w:line="500" w:lineRule="exact"/>
        <w:rPr>
          <w:rFonts w:ascii="宋体"/>
          <w:b/>
          <w:sz w:val="24"/>
          <w:szCs w:val="24"/>
          <w:highlight w:val="none"/>
        </w:rPr>
      </w:pPr>
      <w:r>
        <w:rPr>
          <w:rFonts w:hint="eastAsia" w:ascii="宋体" w:hAnsi="宋体"/>
          <w:b/>
          <w:sz w:val="24"/>
          <w:szCs w:val="24"/>
          <w:highlight w:val="none"/>
        </w:rPr>
        <w:t>台州市产权交易所有限公司：</w:t>
      </w:r>
    </w:p>
    <w:p>
      <w:pPr>
        <w:adjustRightInd w:val="0"/>
        <w:snapToGrid w:val="0"/>
        <w:spacing w:line="360" w:lineRule="auto"/>
        <w:ind w:firstLine="470" w:firstLineChars="196"/>
        <w:rPr>
          <w:rFonts w:ascii="宋体"/>
          <w:b/>
          <w:sz w:val="24"/>
          <w:szCs w:val="24"/>
          <w:highlight w:val="none"/>
        </w:rPr>
      </w:pPr>
      <w:r>
        <w:rPr>
          <w:rFonts w:hint="eastAsia" w:ascii="宋体" w:hAnsi="宋体"/>
          <w:sz w:val="24"/>
          <w:szCs w:val="24"/>
          <w:highlight w:val="none"/>
        </w:rPr>
        <w:t>本意向投资方向贵所提出申请，意向投资浙江海正生物材料股份有限公司新增</w:t>
      </w:r>
      <w:r>
        <w:rPr>
          <w:rFonts w:hint="eastAsia" w:ascii="宋体" w:hAnsi="宋体"/>
          <w:sz w:val="24"/>
          <w:szCs w:val="24"/>
          <w:highlight w:val="none"/>
          <w:lang w:val="en-US" w:eastAsia="zh-CN"/>
        </w:rPr>
        <w:t>10,457,516</w:t>
      </w:r>
      <w:r>
        <w:rPr>
          <w:rFonts w:hint="eastAsia" w:ascii="宋体" w:hAnsi="宋体"/>
          <w:sz w:val="24"/>
          <w:szCs w:val="24"/>
          <w:highlight w:val="none"/>
          <w:lang w:eastAsia="zh-CN"/>
        </w:rPr>
        <w:t>股</w:t>
      </w:r>
      <w:r>
        <w:rPr>
          <w:rFonts w:hint="eastAsia" w:ascii="宋体" w:hAnsi="宋体"/>
          <w:sz w:val="24"/>
          <w:szCs w:val="24"/>
          <w:highlight w:val="none"/>
        </w:rPr>
        <w:t>项目，请予审核。本意向投资方依照公开、公平、公正、诚实信用的原则，作出如下承诺：</w:t>
      </w:r>
    </w:p>
    <w:p>
      <w:pPr>
        <w:adjustRightInd w:val="0"/>
        <w:snapToGrid w:val="0"/>
        <w:spacing w:line="360" w:lineRule="auto"/>
        <w:ind w:firstLine="470" w:firstLineChars="196"/>
        <w:jc w:val="left"/>
        <w:rPr>
          <w:rFonts w:ascii="宋体"/>
          <w:sz w:val="24"/>
          <w:szCs w:val="24"/>
          <w:highlight w:val="none"/>
        </w:rPr>
      </w:pPr>
      <w:r>
        <w:rPr>
          <w:rFonts w:ascii="宋体" w:hAnsi="宋体"/>
          <w:sz w:val="24"/>
          <w:szCs w:val="24"/>
          <w:highlight w:val="none"/>
        </w:rPr>
        <w:t>1</w:t>
      </w:r>
      <w:r>
        <w:rPr>
          <w:rFonts w:hint="eastAsia" w:ascii="宋体" w:hAnsi="宋体"/>
          <w:sz w:val="24"/>
          <w:szCs w:val="24"/>
          <w:highlight w:val="none"/>
        </w:rPr>
        <w:t>、本次投资是我方真实意愿表示，相关行为已经过有效的内部决策并得到相应的批准，所提交材料及投资申请中内容不存在虚假记载、误导性陈述或重大遗漏，我方对其真实性、完整性、合法性、有效性承担相应的法律责任。</w:t>
      </w:r>
    </w:p>
    <w:p>
      <w:pPr>
        <w:adjustRightInd w:val="0"/>
        <w:snapToGrid w:val="0"/>
        <w:spacing w:line="360" w:lineRule="auto"/>
        <w:ind w:firstLine="470" w:firstLineChars="196"/>
        <w:jc w:val="left"/>
        <w:rPr>
          <w:rFonts w:ascii="宋体" w:hAnsi="宋体"/>
          <w:sz w:val="24"/>
          <w:szCs w:val="24"/>
          <w:highlight w:val="none"/>
        </w:rPr>
      </w:pPr>
      <w:r>
        <w:rPr>
          <w:rFonts w:ascii="宋体" w:hAnsi="宋体"/>
          <w:sz w:val="24"/>
          <w:szCs w:val="24"/>
          <w:highlight w:val="none"/>
        </w:rPr>
        <w:t>2</w:t>
      </w:r>
      <w:r>
        <w:rPr>
          <w:rFonts w:hint="eastAsia" w:ascii="宋体" w:hAnsi="宋体"/>
          <w:sz w:val="24"/>
          <w:szCs w:val="24"/>
          <w:highlight w:val="none"/>
        </w:rPr>
        <w:t>、我方系合法有效存续的企业或其他组织，能独立承担民事责任，具有良好的财务状况、支付能力和商业信用，且资金来源合法，符合有关法律法规及本项目对投资方应当具备条件的规定。</w:t>
      </w:r>
    </w:p>
    <w:p>
      <w:pPr>
        <w:adjustRightInd w:val="0"/>
        <w:snapToGrid w:val="0"/>
        <w:spacing w:line="360" w:lineRule="auto"/>
        <w:ind w:firstLine="450"/>
        <w:rPr>
          <w:rFonts w:ascii="宋体"/>
          <w:sz w:val="24"/>
          <w:szCs w:val="24"/>
          <w:highlight w:val="none"/>
        </w:rPr>
      </w:pPr>
      <w:r>
        <w:rPr>
          <w:rFonts w:ascii="宋体" w:hAnsi="宋体"/>
          <w:sz w:val="24"/>
          <w:szCs w:val="24"/>
          <w:highlight w:val="none"/>
        </w:rPr>
        <w:t>3</w:t>
      </w:r>
      <w:r>
        <w:rPr>
          <w:rFonts w:hint="eastAsia" w:ascii="宋体" w:hAnsi="宋体"/>
          <w:sz w:val="24"/>
          <w:szCs w:val="24"/>
          <w:highlight w:val="none"/>
        </w:rPr>
        <w:t>、我方已</w:t>
      </w:r>
      <w:r>
        <w:rPr>
          <w:rFonts w:hint="eastAsia" w:ascii="宋体" w:hAnsi="宋体"/>
          <w:bCs/>
          <w:sz w:val="24"/>
          <w:szCs w:val="24"/>
          <w:highlight w:val="none"/>
        </w:rPr>
        <w:t>充分了解并接受《增资文件》的全部内容和要求，已认真考虑了融资方</w:t>
      </w:r>
      <w:r>
        <w:rPr>
          <w:rFonts w:hint="eastAsia" w:ascii="宋体" w:hAnsi="宋体"/>
          <w:sz w:val="24"/>
          <w:szCs w:val="24"/>
          <w:highlight w:val="none"/>
        </w:rPr>
        <w:t>经营、行业、市场、政策以及其他不可预计的</w:t>
      </w:r>
      <w:r>
        <w:rPr>
          <w:rFonts w:hint="eastAsia" w:ascii="宋体" w:hAnsi="宋体"/>
          <w:bCs/>
          <w:sz w:val="24"/>
          <w:szCs w:val="24"/>
          <w:highlight w:val="none"/>
        </w:rPr>
        <w:t>各项风险因素，</w:t>
      </w:r>
      <w:r>
        <w:rPr>
          <w:rFonts w:hint="eastAsia" w:ascii="宋体" w:hAnsi="宋体"/>
          <w:sz w:val="24"/>
          <w:szCs w:val="24"/>
          <w:highlight w:val="none"/>
        </w:rPr>
        <w:t>自主判断企业的投资价值，自主做出投资决策，自行承担投资风险。</w:t>
      </w:r>
    </w:p>
    <w:p>
      <w:pPr>
        <w:adjustRightInd w:val="0"/>
        <w:snapToGrid w:val="0"/>
        <w:spacing w:line="360" w:lineRule="auto"/>
        <w:ind w:firstLine="450"/>
        <w:rPr>
          <w:rFonts w:ascii="宋体" w:hAnsi="宋体"/>
          <w:bCs/>
          <w:sz w:val="24"/>
          <w:szCs w:val="24"/>
          <w:highlight w:val="none"/>
        </w:rPr>
      </w:pPr>
      <w:r>
        <w:rPr>
          <w:rFonts w:ascii="宋体" w:hAnsi="宋体"/>
          <w:bCs/>
          <w:sz w:val="24"/>
          <w:szCs w:val="24"/>
          <w:highlight w:val="none"/>
        </w:rPr>
        <w:t>4</w:t>
      </w:r>
      <w:r>
        <w:rPr>
          <w:rFonts w:hint="eastAsia" w:ascii="宋体" w:hAnsi="宋体"/>
          <w:bCs/>
          <w:sz w:val="24"/>
          <w:szCs w:val="24"/>
          <w:highlight w:val="none"/>
        </w:rPr>
        <w:t>、我方非《</w:t>
      </w:r>
      <w:bookmarkStart w:id="5" w:name="OLE_LINK3"/>
      <w:bookmarkStart w:id="6" w:name="OLE_LINK2"/>
      <w:bookmarkStart w:id="7" w:name="OLE_LINK1"/>
      <w:r>
        <w:rPr>
          <w:rFonts w:hint="eastAsia" w:ascii="宋体" w:hAnsi="宋体"/>
          <w:bCs/>
          <w:sz w:val="24"/>
          <w:szCs w:val="24"/>
          <w:highlight w:val="none"/>
        </w:rPr>
        <w:t>企业国有产权向管理层转让暂行规</w:t>
      </w:r>
      <w:bookmarkEnd w:id="5"/>
      <w:bookmarkEnd w:id="6"/>
      <w:bookmarkEnd w:id="7"/>
      <w:r>
        <w:rPr>
          <w:rFonts w:hint="eastAsia" w:ascii="宋体" w:hAnsi="宋体"/>
          <w:bCs/>
          <w:sz w:val="24"/>
          <w:szCs w:val="24"/>
          <w:highlight w:val="none"/>
        </w:rPr>
        <w:t>定》中所称的管理层投资方，也未接受管理层的委托投资。（非管理层适用）。</w:t>
      </w:r>
    </w:p>
    <w:p>
      <w:pPr>
        <w:adjustRightInd w:val="0"/>
        <w:snapToGrid w:val="0"/>
        <w:spacing w:line="360" w:lineRule="auto"/>
        <w:ind w:firstLine="450"/>
        <w:rPr>
          <w:rFonts w:ascii="宋体" w:hAnsi="宋体"/>
          <w:bCs/>
          <w:sz w:val="24"/>
          <w:szCs w:val="24"/>
          <w:highlight w:val="none"/>
        </w:rPr>
      </w:pPr>
      <w:r>
        <w:rPr>
          <w:rFonts w:hint="eastAsia" w:ascii="宋体" w:hAnsi="宋体"/>
          <w:bCs/>
          <w:sz w:val="24"/>
          <w:szCs w:val="24"/>
          <w:highlight w:val="none"/>
        </w:rPr>
        <w:t>我方系《企业国有产权向管理层转让暂行规定》中所称的管理层投资方，符合相关规定要求，未构成禁止投资的情形。（管理层适用）。</w:t>
      </w:r>
    </w:p>
    <w:p>
      <w:pPr>
        <w:adjustRightInd w:val="0"/>
        <w:snapToGrid w:val="0"/>
        <w:spacing w:line="360" w:lineRule="auto"/>
        <w:ind w:firstLine="450"/>
        <w:rPr>
          <w:rFonts w:ascii="宋体"/>
          <w:bCs/>
          <w:sz w:val="24"/>
          <w:szCs w:val="24"/>
          <w:highlight w:val="none"/>
        </w:rPr>
      </w:pPr>
      <w:r>
        <w:rPr>
          <w:rFonts w:ascii="宋体" w:hAnsi="宋体" w:cs="宋体"/>
          <w:kern w:val="0"/>
          <w:sz w:val="24"/>
          <w:szCs w:val="24"/>
          <w:highlight w:val="none"/>
        </w:rPr>
        <w:t>5</w:t>
      </w:r>
      <w:r>
        <w:rPr>
          <w:rFonts w:hint="eastAsia" w:ascii="宋体" w:hAnsi="宋体" w:cs="宋体"/>
          <w:kern w:val="0"/>
          <w:sz w:val="24"/>
          <w:szCs w:val="24"/>
          <w:highlight w:val="none"/>
        </w:rPr>
        <w:t>、</w:t>
      </w:r>
      <w:r>
        <w:rPr>
          <w:rFonts w:hint="eastAsia" w:ascii="宋体" w:hAnsi="宋体"/>
          <w:bCs/>
          <w:sz w:val="24"/>
          <w:szCs w:val="24"/>
          <w:highlight w:val="none"/>
        </w:rPr>
        <w:t>我方承诺按《增资文件》的要求交纳保证金，逾期未交纳的，视为放弃投资意向。</w:t>
      </w:r>
    </w:p>
    <w:p>
      <w:pPr>
        <w:adjustRightInd w:val="0"/>
        <w:snapToGrid w:val="0"/>
        <w:spacing w:line="360" w:lineRule="auto"/>
        <w:ind w:firstLine="450"/>
        <w:rPr>
          <w:rFonts w:ascii="宋体" w:hAnsi="宋体" w:cs="宋体"/>
          <w:kern w:val="0"/>
          <w:sz w:val="24"/>
          <w:szCs w:val="24"/>
          <w:highlight w:val="none"/>
        </w:rPr>
      </w:pPr>
      <w:r>
        <w:rPr>
          <w:rFonts w:ascii="宋体" w:hAnsi="宋体" w:cs="宋体"/>
          <w:kern w:val="0"/>
          <w:sz w:val="24"/>
          <w:szCs w:val="24"/>
          <w:highlight w:val="none"/>
        </w:rPr>
        <w:t>6</w:t>
      </w:r>
      <w:r>
        <w:rPr>
          <w:rFonts w:hint="eastAsia" w:ascii="宋体" w:hAnsi="宋体" w:cs="宋体"/>
          <w:kern w:val="0"/>
          <w:sz w:val="24"/>
          <w:szCs w:val="24"/>
          <w:highlight w:val="none"/>
        </w:rPr>
        <w:t>、若成为最终投资方，我方承诺向产权交易机构支付</w:t>
      </w:r>
      <w:r>
        <w:rPr>
          <w:rFonts w:hint="eastAsia" w:ascii="宋体" w:hAnsi="宋体" w:cs="宋体"/>
          <w:kern w:val="0"/>
          <w:sz w:val="24"/>
          <w:szCs w:val="24"/>
          <w:highlight w:val="none"/>
          <w:lang w:val="en-US" w:eastAsia="zh-CN"/>
        </w:rPr>
        <w:t>金额为</w:t>
      </w:r>
      <w:r>
        <w:rPr>
          <w:rFonts w:hint="eastAsia" w:ascii="宋体" w:hAnsi="宋体" w:cs="宋体"/>
          <w:kern w:val="0"/>
          <w:sz w:val="24"/>
          <w:szCs w:val="24"/>
          <w:highlight w:val="none"/>
        </w:rPr>
        <w:t>成交额0.2%的交易服务费。</w:t>
      </w:r>
    </w:p>
    <w:p>
      <w:pPr>
        <w:spacing w:line="360" w:lineRule="auto"/>
        <w:ind w:firstLine="480" w:firstLineChars="200"/>
        <w:rPr>
          <w:rFonts w:ascii="宋体" w:hAnsi="宋体"/>
          <w:sz w:val="24"/>
          <w:szCs w:val="24"/>
          <w:highlight w:val="none"/>
        </w:rPr>
      </w:pPr>
      <w:r>
        <w:rPr>
          <w:rFonts w:ascii="宋体" w:hAnsi="宋体"/>
          <w:sz w:val="24"/>
          <w:szCs w:val="24"/>
          <w:highlight w:val="none"/>
        </w:rPr>
        <w:t>7</w:t>
      </w:r>
      <w:r>
        <w:rPr>
          <w:rFonts w:hint="eastAsia" w:ascii="宋体" w:hAnsi="宋体"/>
          <w:sz w:val="24"/>
          <w:szCs w:val="24"/>
          <w:highlight w:val="none"/>
        </w:rPr>
        <w:t>、我方承诺在增资扩股过程中，遵守法律法规规定和《国有企业增资扩股操作规则（试行）》及产权交易机构的相关规定，按照有关程序及要求等履行我方义务。</w:t>
      </w:r>
    </w:p>
    <w:p>
      <w:pPr>
        <w:spacing w:line="360" w:lineRule="auto"/>
        <w:ind w:firstLine="480" w:firstLineChars="200"/>
        <w:rPr>
          <w:rFonts w:ascii="宋体"/>
          <w:sz w:val="24"/>
          <w:szCs w:val="24"/>
          <w:highlight w:val="none"/>
        </w:rPr>
      </w:pPr>
      <w:r>
        <w:rPr>
          <w:rFonts w:hint="eastAsia" w:ascii="宋体" w:hAnsi="宋体"/>
          <w:sz w:val="24"/>
          <w:szCs w:val="24"/>
          <w:highlight w:val="none"/>
        </w:rPr>
        <w:t>我方保证遵守以上承诺，如违反上述承诺或有违规行为，给增资扩股活动相关方造成损失的，我方愿意承担法律责任及经济赔偿责任。</w:t>
      </w:r>
    </w:p>
    <w:p>
      <w:pPr>
        <w:spacing w:line="360" w:lineRule="auto"/>
        <w:ind w:firstLine="480" w:firstLineChars="200"/>
        <w:rPr>
          <w:rFonts w:ascii="宋体"/>
          <w:sz w:val="24"/>
          <w:szCs w:val="24"/>
          <w:highlight w:val="none"/>
        </w:rPr>
      </w:pPr>
    </w:p>
    <w:p>
      <w:pPr>
        <w:spacing w:line="360" w:lineRule="auto"/>
        <w:ind w:firstLine="4920" w:firstLineChars="2050"/>
        <w:rPr>
          <w:rFonts w:ascii="宋体" w:hAnsi="宋体"/>
          <w:sz w:val="24"/>
          <w:szCs w:val="24"/>
          <w:highlight w:val="none"/>
        </w:rPr>
      </w:pPr>
      <w:r>
        <w:rPr>
          <w:rFonts w:hint="eastAsia" w:ascii="宋体" w:hAnsi="宋体"/>
          <w:sz w:val="24"/>
          <w:szCs w:val="24"/>
          <w:highlight w:val="none"/>
        </w:rPr>
        <w:t>意向投资方（盖章或签字）</w:t>
      </w:r>
    </w:p>
    <w:p>
      <w:pPr>
        <w:adjustRightInd w:val="0"/>
        <w:snapToGrid w:val="0"/>
        <w:spacing w:line="360" w:lineRule="auto"/>
        <w:ind w:right="630"/>
        <w:jc w:val="right"/>
        <w:rPr>
          <w:rFonts w:ascii="宋体" w:hAnsi="宋体"/>
          <w:b/>
          <w:sz w:val="32"/>
          <w:szCs w:val="32"/>
          <w:highlight w:val="none"/>
        </w:rPr>
      </w:pPr>
      <w:r>
        <w:rPr>
          <w:rFonts w:hint="eastAsia" w:ascii="宋体" w:hAnsi="宋体"/>
          <w:sz w:val="24"/>
          <w:szCs w:val="24"/>
          <w:highlight w:val="none"/>
        </w:rPr>
        <w:t>法定代表人或授权代表（签字）</w:t>
      </w:r>
    </w:p>
    <w:p>
      <w:pPr>
        <w:adjustRightInd w:val="0"/>
        <w:snapToGrid w:val="0"/>
        <w:spacing w:line="360" w:lineRule="auto"/>
        <w:ind w:right="630"/>
        <w:jc w:val="center"/>
        <w:rPr>
          <w:rFonts w:ascii="宋体" w:hAnsi="宋体"/>
          <w:b/>
          <w:sz w:val="32"/>
          <w:szCs w:val="32"/>
          <w:highlight w:val="none"/>
        </w:rPr>
      </w:pPr>
    </w:p>
    <w:p>
      <w:pPr>
        <w:adjustRightInd w:val="0"/>
        <w:snapToGrid w:val="0"/>
        <w:spacing w:line="360" w:lineRule="auto"/>
        <w:ind w:right="630"/>
        <w:jc w:val="center"/>
        <w:rPr>
          <w:rFonts w:ascii="宋体"/>
          <w:b/>
          <w:sz w:val="32"/>
          <w:szCs w:val="32"/>
          <w:highlight w:val="none"/>
        </w:rPr>
      </w:pPr>
      <w:r>
        <w:rPr>
          <w:rFonts w:hint="eastAsia" w:ascii="宋体" w:hAnsi="宋体"/>
          <w:b/>
          <w:sz w:val="32"/>
          <w:szCs w:val="32"/>
          <w:highlight w:val="none"/>
        </w:rPr>
        <w:t>意向投资方基本情况</w:t>
      </w:r>
    </w:p>
    <w:p>
      <w:pPr>
        <w:jc w:val="right"/>
        <w:textAlignment w:val="baseline"/>
        <w:rPr>
          <w:rFonts w:ascii="宋体"/>
          <w:sz w:val="24"/>
          <w:highlight w:val="none"/>
        </w:rPr>
      </w:pPr>
    </w:p>
    <w:tbl>
      <w:tblPr>
        <w:tblStyle w:val="18"/>
        <w:tblW w:w="8676" w:type="dxa"/>
        <w:tblInd w:w="10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843"/>
        <w:gridCol w:w="2268"/>
        <w:gridCol w:w="1559"/>
        <w:gridCol w:w="173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tcBorders>
              <w:top w:val="single" w:color="auto" w:sz="12" w:space="0"/>
            </w:tcBorders>
            <w:vAlign w:val="center"/>
          </w:tcPr>
          <w:p>
            <w:pPr>
              <w:jc w:val="center"/>
              <w:rPr>
                <w:rFonts w:ascii="宋体"/>
                <w:b/>
                <w:bCs/>
                <w:sz w:val="24"/>
                <w:highlight w:val="none"/>
              </w:rPr>
            </w:pPr>
            <w:r>
              <w:rPr>
                <w:rFonts w:hint="eastAsia" w:ascii="宋体" w:hAnsi="宋体"/>
                <w:b/>
                <w:bCs/>
                <w:sz w:val="24"/>
                <w:highlight w:val="none"/>
              </w:rPr>
              <w:t>名称</w:t>
            </w:r>
          </w:p>
        </w:tc>
        <w:tc>
          <w:tcPr>
            <w:tcW w:w="7400" w:type="dxa"/>
            <w:gridSpan w:val="4"/>
            <w:tcBorders>
              <w:top w:val="single" w:color="auto" w:sz="12" w:space="0"/>
            </w:tcBorders>
            <w:vAlign w:val="center"/>
          </w:tcPr>
          <w:p>
            <w:pPr>
              <w:jc w:val="center"/>
              <w:rPr>
                <w:rFonts w:ascii="宋体"/>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2" w:hRule="atLeast"/>
        </w:trPr>
        <w:tc>
          <w:tcPr>
            <w:tcW w:w="1276" w:type="dxa"/>
            <w:vMerge w:val="restart"/>
            <w:vAlign w:val="center"/>
          </w:tcPr>
          <w:p>
            <w:pPr>
              <w:jc w:val="center"/>
              <w:rPr>
                <w:rFonts w:ascii="宋体"/>
                <w:b/>
                <w:bCs/>
                <w:sz w:val="24"/>
                <w:highlight w:val="none"/>
              </w:rPr>
            </w:pPr>
            <w:r>
              <w:rPr>
                <w:rFonts w:hint="eastAsia" w:ascii="宋体" w:hAnsi="宋体"/>
                <w:b/>
                <w:bCs/>
                <w:sz w:val="24"/>
                <w:highlight w:val="none"/>
              </w:rPr>
              <w:t>基本</w:t>
            </w:r>
          </w:p>
          <w:p>
            <w:pPr>
              <w:jc w:val="center"/>
              <w:rPr>
                <w:rFonts w:ascii="宋体"/>
                <w:b/>
                <w:bCs/>
                <w:sz w:val="24"/>
                <w:highlight w:val="none"/>
              </w:rPr>
            </w:pPr>
            <w:r>
              <w:rPr>
                <w:rFonts w:hint="eastAsia" w:ascii="宋体" w:hAnsi="宋体"/>
                <w:b/>
                <w:bCs/>
                <w:sz w:val="24"/>
                <w:highlight w:val="none"/>
              </w:rPr>
              <w:t>情况</w:t>
            </w:r>
          </w:p>
        </w:tc>
        <w:tc>
          <w:tcPr>
            <w:tcW w:w="7400" w:type="dxa"/>
            <w:gridSpan w:val="4"/>
            <w:vAlign w:val="center"/>
          </w:tcPr>
          <w:p>
            <w:pPr>
              <w:ind w:firstLine="2940" w:firstLineChars="1400"/>
              <w:rPr>
                <w:rFonts w:ascii="宋体"/>
                <w:szCs w:val="21"/>
                <w:highlight w:val="none"/>
              </w:rPr>
            </w:pPr>
            <w:r>
              <w:rPr>
                <w:rFonts w:hint="eastAsia" w:ascii="宋体" w:hAnsi="宋体"/>
                <w:szCs w:val="21"/>
                <w:highlight w:val="none"/>
              </w:rPr>
              <w:t>法人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vMerge w:val="continue"/>
            <w:vAlign w:val="center"/>
          </w:tcPr>
          <w:p>
            <w:pPr>
              <w:rPr>
                <w:rFonts w:ascii="宋体"/>
                <w:b/>
                <w:sz w:val="24"/>
                <w:highlight w:val="none"/>
              </w:rPr>
            </w:pPr>
          </w:p>
        </w:tc>
        <w:tc>
          <w:tcPr>
            <w:tcW w:w="1843" w:type="dxa"/>
            <w:vAlign w:val="center"/>
          </w:tcPr>
          <w:p>
            <w:pPr>
              <w:jc w:val="center"/>
              <w:rPr>
                <w:rFonts w:ascii="宋体"/>
                <w:szCs w:val="21"/>
                <w:highlight w:val="none"/>
              </w:rPr>
            </w:pPr>
            <w:r>
              <w:rPr>
                <w:rFonts w:hint="eastAsia" w:ascii="宋体" w:hAnsi="宋体"/>
                <w:szCs w:val="21"/>
                <w:highlight w:val="none"/>
              </w:rPr>
              <w:t>住所</w:t>
            </w:r>
          </w:p>
        </w:tc>
        <w:tc>
          <w:tcPr>
            <w:tcW w:w="5557" w:type="dxa"/>
            <w:gridSpan w:val="3"/>
            <w:vAlign w:val="center"/>
          </w:tcPr>
          <w:p>
            <w:pPr>
              <w:rPr>
                <w:rFonts w:ascii="宋体"/>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vMerge w:val="continue"/>
            <w:vAlign w:val="center"/>
          </w:tcPr>
          <w:p>
            <w:pPr>
              <w:rPr>
                <w:rFonts w:ascii="宋体"/>
                <w:b/>
                <w:sz w:val="24"/>
                <w:highlight w:val="none"/>
              </w:rPr>
            </w:pPr>
          </w:p>
        </w:tc>
        <w:tc>
          <w:tcPr>
            <w:tcW w:w="1843" w:type="dxa"/>
            <w:vAlign w:val="center"/>
          </w:tcPr>
          <w:p>
            <w:pPr>
              <w:jc w:val="center"/>
              <w:rPr>
                <w:rFonts w:ascii="宋体"/>
                <w:szCs w:val="21"/>
                <w:highlight w:val="none"/>
              </w:rPr>
            </w:pPr>
            <w:r>
              <w:rPr>
                <w:rFonts w:hint="eastAsia" w:ascii="宋体" w:hAnsi="宋体"/>
                <w:szCs w:val="21"/>
                <w:highlight w:val="none"/>
              </w:rPr>
              <w:t>注册资本</w:t>
            </w:r>
          </w:p>
        </w:tc>
        <w:tc>
          <w:tcPr>
            <w:tcW w:w="2268" w:type="dxa"/>
            <w:vAlign w:val="center"/>
          </w:tcPr>
          <w:p>
            <w:pPr>
              <w:rPr>
                <w:rFonts w:ascii="宋体"/>
                <w:szCs w:val="21"/>
                <w:highlight w:val="none"/>
              </w:rPr>
            </w:pPr>
          </w:p>
        </w:tc>
        <w:tc>
          <w:tcPr>
            <w:tcW w:w="1559" w:type="dxa"/>
            <w:vAlign w:val="center"/>
          </w:tcPr>
          <w:p>
            <w:pPr>
              <w:rPr>
                <w:rFonts w:ascii="宋体"/>
                <w:szCs w:val="21"/>
                <w:highlight w:val="none"/>
              </w:rPr>
            </w:pPr>
            <w:r>
              <w:rPr>
                <w:rFonts w:hint="eastAsia" w:ascii="宋体" w:hAnsi="宋体"/>
                <w:szCs w:val="21"/>
                <w:highlight w:val="none"/>
              </w:rPr>
              <w:t>法定代表人</w:t>
            </w:r>
          </w:p>
          <w:p>
            <w:pPr>
              <w:rPr>
                <w:rFonts w:ascii="宋体"/>
                <w:szCs w:val="21"/>
                <w:highlight w:val="none"/>
              </w:rPr>
            </w:pPr>
            <w:r>
              <w:rPr>
                <w:rFonts w:hint="eastAsia" w:ascii="宋体" w:hAnsi="宋体"/>
                <w:szCs w:val="21"/>
                <w:highlight w:val="none"/>
              </w:rPr>
              <w:t>（负责人）</w:t>
            </w:r>
          </w:p>
        </w:tc>
        <w:tc>
          <w:tcPr>
            <w:tcW w:w="1730" w:type="dxa"/>
            <w:vAlign w:val="center"/>
          </w:tcPr>
          <w:p>
            <w:pPr>
              <w:rPr>
                <w:rFonts w:ascii="宋体"/>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vMerge w:val="continue"/>
            <w:vAlign w:val="center"/>
          </w:tcPr>
          <w:p>
            <w:pPr>
              <w:rPr>
                <w:rFonts w:ascii="宋体"/>
                <w:b/>
                <w:sz w:val="24"/>
                <w:highlight w:val="none"/>
              </w:rPr>
            </w:pPr>
          </w:p>
        </w:tc>
        <w:tc>
          <w:tcPr>
            <w:tcW w:w="1843" w:type="dxa"/>
            <w:vAlign w:val="center"/>
          </w:tcPr>
          <w:p>
            <w:pPr>
              <w:jc w:val="center"/>
              <w:rPr>
                <w:rFonts w:ascii="宋体"/>
                <w:szCs w:val="21"/>
                <w:highlight w:val="none"/>
              </w:rPr>
            </w:pPr>
            <w:r>
              <w:rPr>
                <w:rFonts w:hint="eastAsia" w:ascii="宋体" w:hAnsi="宋体"/>
                <w:szCs w:val="21"/>
                <w:highlight w:val="none"/>
              </w:rPr>
              <w:t>类型</w:t>
            </w:r>
          </w:p>
        </w:tc>
        <w:tc>
          <w:tcPr>
            <w:tcW w:w="5557" w:type="dxa"/>
            <w:gridSpan w:val="3"/>
            <w:vAlign w:val="center"/>
          </w:tcPr>
          <w:p>
            <w:pPr>
              <w:rPr>
                <w:rFonts w:ascii="宋体"/>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23" w:hRule="atLeast"/>
        </w:trPr>
        <w:tc>
          <w:tcPr>
            <w:tcW w:w="1276" w:type="dxa"/>
            <w:vMerge w:val="continue"/>
            <w:vAlign w:val="center"/>
          </w:tcPr>
          <w:p>
            <w:pPr>
              <w:rPr>
                <w:rFonts w:ascii="宋体"/>
                <w:b/>
                <w:sz w:val="24"/>
                <w:highlight w:val="none"/>
              </w:rPr>
            </w:pPr>
          </w:p>
        </w:tc>
        <w:tc>
          <w:tcPr>
            <w:tcW w:w="1843" w:type="dxa"/>
            <w:vAlign w:val="center"/>
          </w:tcPr>
          <w:p>
            <w:pPr>
              <w:jc w:val="center"/>
              <w:rPr>
                <w:rFonts w:ascii="宋体"/>
                <w:szCs w:val="21"/>
                <w:highlight w:val="none"/>
              </w:rPr>
            </w:pPr>
            <w:r>
              <w:rPr>
                <w:rFonts w:hint="eastAsia" w:ascii="宋体" w:hAnsi="宋体"/>
                <w:szCs w:val="21"/>
                <w:highlight w:val="none"/>
              </w:rPr>
              <w:t>经营范围</w:t>
            </w:r>
          </w:p>
        </w:tc>
        <w:tc>
          <w:tcPr>
            <w:tcW w:w="5557" w:type="dxa"/>
            <w:gridSpan w:val="3"/>
            <w:vAlign w:val="center"/>
          </w:tcPr>
          <w:p>
            <w:pPr>
              <w:rPr>
                <w:rFonts w:ascii="宋体"/>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4" w:hRule="atLeast"/>
        </w:trPr>
        <w:tc>
          <w:tcPr>
            <w:tcW w:w="1276" w:type="dxa"/>
            <w:vMerge w:val="continue"/>
            <w:vAlign w:val="center"/>
          </w:tcPr>
          <w:p>
            <w:pPr>
              <w:rPr>
                <w:rFonts w:ascii="宋体"/>
                <w:b/>
                <w:sz w:val="24"/>
                <w:highlight w:val="none"/>
              </w:rPr>
            </w:pPr>
          </w:p>
        </w:tc>
        <w:tc>
          <w:tcPr>
            <w:tcW w:w="7400" w:type="dxa"/>
            <w:gridSpan w:val="4"/>
            <w:vAlign w:val="center"/>
          </w:tcPr>
          <w:p>
            <w:pPr>
              <w:jc w:val="center"/>
              <w:rPr>
                <w:rFonts w:ascii="宋体"/>
                <w:szCs w:val="21"/>
                <w:highlight w:val="none"/>
              </w:rPr>
            </w:pPr>
            <w:r>
              <w:rPr>
                <w:rFonts w:hint="eastAsia" w:ascii="宋体" w:hAnsi="宋体"/>
                <w:szCs w:val="21"/>
                <w:highlight w:val="none"/>
              </w:rPr>
              <w:t>自然人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vMerge w:val="continue"/>
            <w:vAlign w:val="center"/>
          </w:tcPr>
          <w:p>
            <w:pPr>
              <w:rPr>
                <w:rFonts w:ascii="宋体"/>
                <w:b/>
                <w:sz w:val="24"/>
                <w:highlight w:val="none"/>
              </w:rPr>
            </w:pPr>
          </w:p>
        </w:tc>
        <w:tc>
          <w:tcPr>
            <w:tcW w:w="1843" w:type="dxa"/>
            <w:vAlign w:val="center"/>
          </w:tcPr>
          <w:p>
            <w:pPr>
              <w:jc w:val="center"/>
              <w:rPr>
                <w:rFonts w:ascii="宋体"/>
                <w:szCs w:val="21"/>
                <w:highlight w:val="none"/>
              </w:rPr>
            </w:pPr>
            <w:r>
              <w:rPr>
                <w:rFonts w:hint="eastAsia" w:ascii="宋体" w:hAnsi="宋体"/>
                <w:szCs w:val="21"/>
                <w:highlight w:val="none"/>
              </w:rPr>
              <w:t>证件类型</w:t>
            </w:r>
          </w:p>
        </w:tc>
        <w:tc>
          <w:tcPr>
            <w:tcW w:w="2268" w:type="dxa"/>
            <w:vAlign w:val="center"/>
          </w:tcPr>
          <w:p>
            <w:pPr>
              <w:rPr>
                <w:rFonts w:ascii="宋体"/>
                <w:szCs w:val="21"/>
                <w:highlight w:val="none"/>
              </w:rPr>
            </w:pPr>
          </w:p>
        </w:tc>
        <w:tc>
          <w:tcPr>
            <w:tcW w:w="1559" w:type="dxa"/>
            <w:vAlign w:val="center"/>
          </w:tcPr>
          <w:p>
            <w:pPr>
              <w:jc w:val="center"/>
              <w:rPr>
                <w:rFonts w:ascii="宋体"/>
                <w:szCs w:val="21"/>
                <w:highlight w:val="none"/>
              </w:rPr>
            </w:pPr>
            <w:r>
              <w:rPr>
                <w:rFonts w:hint="eastAsia" w:ascii="宋体" w:hAnsi="宋体"/>
                <w:szCs w:val="21"/>
                <w:highlight w:val="none"/>
              </w:rPr>
              <w:t>证件号码</w:t>
            </w:r>
          </w:p>
        </w:tc>
        <w:tc>
          <w:tcPr>
            <w:tcW w:w="1730" w:type="dxa"/>
            <w:vAlign w:val="center"/>
          </w:tcPr>
          <w:p>
            <w:pPr>
              <w:rPr>
                <w:rFonts w:ascii="宋体"/>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vAlign w:val="center"/>
          </w:tcPr>
          <w:p>
            <w:pPr>
              <w:rPr>
                <w:rFonts w:ascii="宋体"/>
                <w:b/>
                <w:sz w:val="24"/>
                <w:highlight w:val="none"/>
              </w:rPr>
            </w:pPr>
            <w:r>
              <w:rPr>
                <w:rFonts w:hint="eastAsia" w:ascii="宋体" w:hAnsi="宋体"/>
                <w:b/>
                <w:sz w:val="24"/>
                <w:highlight w:val="none"/>
              </w:rPr>
              <w:t>是否属于管理层</w:t>
            </w:r>
          </w:p>
        </w:tc>
        <w:tc>
          <w:tcPr>
            <w:tcW w:w="7400" w:type="dxa"/>
            <w:gridSpan w:val="4"/>
            <w:vAlign w:val="center"/>
          </w:tcPr>
          <w:p>
            <w:pPr>
              <w:ind w:firstLine="105" w:firstLineChars="50"/>
              <w:rPr>
                <w:rFonts w:ascii="宋体"/>
                <w:szCs w:val="21"/>
                <w:highlight w:val="none"/>
              </w:rPr>
            </w:pPr>
            <w:r>
              <w:rPr>
                <w:rFonts w:hint="eastAsia" w:ascii="宋体" w:hAnsi="宋体"/>
                <w:szCs w:val="21"/>
                <w:highlight w:val="none"/>
              </w:rPr>
              <w:t>□是□否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vMerge w:val="restart"/>
            <w:vAlign w:val="center"/>
          </w:tcPr>
          <w:p>
            <w:pPr>
              <w:jc w:val="center"/>
              <w:rPr>
                <w:rFonts w:ascii="宋体"/>
                <w:b/>
                <w:sz w:val="24"/>
                <w:highlight w:val="none"/>
              </w:rPr>
            </w:pPr>
            <w:r>
              <w:rPr>
                <w:rFonts w:hint="eastAsia" w:ascii="宋体" w:hAnsi="宋体"/>
                <w:b/>
                <w:sz w:val="24"/>
                <w:highlight w:val="none"/>
              </w:rPr>
              <w:t>联系方式</w:t>
            </w:r>
          </w:p>
        </w:tc>
        <w:tc>
          <w:tcPr>
            <w:tcW w:w="1843" w:type="dxa"/>
            <w:vAlign w:val="center"/>
          </w:tcPr>
          <w:p>
            <w:pPr>
              <w:jc w:val="center"/>
              <w:rPr>
                <w:rFonts w:ascii="宋体"/>
                <w:szCs w:val="21"/>
                <w:highlight w:val="none"/>
              </w:rPr>
            </w:pPr>
            <w:r>
              <w:rPr>
                <w:rFonts w:hint="eastAsia" w:ascii="宋体" w:hAnsi="宋体"/>
                <w:szCs w:val="21"/>
                <w:highlight w:val="none"/>
              </w:rPr>
              <w:t>联系人</w:t>
            </w:r>
          </w:p>
        </w:tc>
        <w:tc>
          <w:tcPr>
            <w:tcW w:w="2268" w:type="dxa"/>
            <w:vAlign w:val="center"/>
          </w:tcPr>
          <w:p>
            <w:pPr>
              <w:jc w:val="center"/>
              <w:rPr>
                <w:rFonts w:ascii="宋体"/>
                <w:szCs w:val="21"/>
                <w:highlight w:val="none"/>
              </w:rPr>
            </w:pPr>
          </w:p>
        </w:tc>
        <w:tc>
          <w:tcPr>
            <w:tcW w:w="1559" w:type="dxa"/>
            <w:vAlign w:val="center"/>
          </w:tcPr>
          <w:p>
            <w:pPr>
              <w:jc w:val="center"/>
              <w:rPr>
                <w:rFonts w:ascii="宋体"/>
                <w:szCs w:val="21"/>
                <w:highlight w:val="none"/>
              </w:rPr>
            </w:pPr>
            <w:r>
              <w:rPr>
                <w:rFonts w:hint="eastAsia" w:ascii="宋体" w:hAnsi="宋体"/>
                <w:szCs w:val="21"/>
                <w:highlight w:val="none"/>
              </w:rPr>
              <w:t>联系电话</w:t>
            </w:r>
          </w:p>
        </w:tc>
        <w:tc>
          <w:tcPr>
            <w:tcW w:w="1730" w:type="dxa"/>
            <w:vAlign w:val="center"/>
          </w:tcPr>
          <w:p>
            <w:pPr>
              <w:jc w:val="center"/>
              <w:rPr>
                <w:rFonts w:ascii="宋体"/>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vMerge w:val="continue"/>
            <w:vAlign w:val="center"/>
          </w:tcPr>
          <w:p>
            <w:pPr>
              <w:rPr>
                <w:rFonts w:ascii="宋体"/>
                <w:b/>
                <w:sz w:val="24"/>
                <w:highlight w:val="none"/>
              </w:rPr>
            </w:pPr>
          </w:p>
        </w:tc>
        <w:tc>
          <w:tcPr>
            <w:tcW w:w="1843" w:type="dxa"/>
            <w:vAlign w:val="center"/>
          </w:tcPr>
          <w:p>
            <w:pPr>
              <w:jc w:val="center"/>
              <w:rPr>
                <w:rFonts w:ascii="宋体"/>
                <w:szCs w:val="21"/>
                <w:highlight w:val="none"/>
              </w:rPr>
            </w:pPr>
            <w:r>
              <w:rPr>
                <w:rFonts w:hint="eastAsia" w:ascii="宋体" w:hAnsi="宋体"/>
                <w:szCs w:val="21"/>
                <w:highlight w:val="none"/>
              </w:rPr>
              <w:t>传真</w:t>
            </w:r>
          </w:p>
        </w:tc>
        <w:tc>
          <w:tcPr>
            <w:tcW w:w="2268" w:type="dxa"/>
            <w:vAlign w:val="center"/>
          </w:tcPr>
          <w:p>
            <w:pPr>
              <w:jc w:val="center"/>
              <w:rPr>
                <w:rFonts w:ascii="宋体"/>
                <w:b/>
                <w:bCs/>
                <w:szCs w:val="21"/>
                <w:highlight w:val="none"/>
              </w:rPr>
            </w:pPr>
          </w:p>
        </w:tc>
        <w:tc>
          <w:tcPr>
            <w:tcW w:w="1559" w:type="dxa"/>
            <w:vAlign w:val="center"/>
          </w:tcPr>
          <w:p>
            <w:pPr>
              <w:jc w:val="center"/>
              <w:rPr>
                <w:rFonts w:ascii="宋体"/>
                <w:szCs w:val="21"/>
                <w:highlight w:val="none"/>
              </w:rPr>
            </w:pPr>
            <w:r>
              <w:rPr>
                <w:rFonts w:hint="eastAsia" w:ascii="宋体" w:hAnsi="宋体"/>
                <w:szCs w:val="21"/>
                <w:highlight w:val="none"/>
              </w:rPr>
              <w:t>电子邮件</w:t>
            </w:r>
          </w:p>
        </w:tc>
        <w:tc>
          <w:tcPr>
            <w:tcW w:w="1730" w:type="dxa"/>
            <w:vAlign w:val="center"/>
          </w:tcPr>
          <w:p>
            <w:pPr>
              <w:jc w:val="center"/>
              <w:rPr>
                <w:rFonts w:ascii="宋体"/>
                <w:b/>
                <w:bCs/>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vMerge w:val="continue"/>
            <w:vAlign w:val="center"/>
          </w:tcPr>
          <w:p>
            <w:pPr>
              <w:rPr>
                <w:rFonts w:ascii="宋体"/>
                <w:b/>
                <w:sz w:val="24"/>
                <w:highlight w:val="none"/>
              </w:rPr>
            </w:pPr>
          </w:p>
        </w:tc>
        <w:tc>
          <w:tcPr>
            <w:tcW w:w="1843" w:type="dxa"/>
            <w:vAlign w:val="center"/>
          </w:tcPr>
          <w:p>
            <w:pPr>
              <w:jc w:val="center"/>
              <w:rPr>
                <w:rFonts w:ascii="宋体"/>
                <w:szCs w:val="21"/>
                <w:highlight w:val="none"/>
              </w:rPr>
            </w:pPr>
            <w:r>
              <w:rPr>
                <w:rFonts w:hint="eastAsia" w:ascii="宋体" w:hAnsi="宋体"/>
                <w:szCs w:val="21"/>
                <w:highlight w:val="none"/>
              </w:rPr>
              <w:t>通讯地址</w:t>
            </w:r>
          </w:p>
        </w:tc>
        <w:tc>
          <w:tcPr>
            <w:tcW w:w="2268" w:type="dxa"/>
            <w:vAlign w:val="center"/>
          </w:tcPr>
          <w:p>
            <w:pPr>
              <w:jc w:val="center"/>
              <w:rPr>
                <w:rFonts w:ascii="宋体"/>
                <w:b/>
                <w:bCs/>
                <w:szCs w:val="21"/>
                <w:highlight w:val="none"/>
              </w:rPr>
            </w:pPr>
          </w:p>
        </w:tc>
        <w:tc>
          <w:tcPr>
            <w:tcW w:w="1559" w:type="dxa"/>
            <w:vAlign w:val="center"/>
          </w:tcPr>
          <w:p>
            <w:pPr>
              <w:jc w:val="center"/>
              <w:rPr>
                <w:rFonts w:ascii="宋体"/>
                <w:szCs w:val="21"/>
                <w:highlight w:val="none"/>
              </w:rPr>
            </w:pPr>
            <w:r>
              <w:rPr>
                <w:rFonts w:hint="eastAsia" w:ascii="宋体" w:hAnsi="宋体"/>
                <w:szCs w:val="21"/>
                <w:highlight w:val="none"/>
              </w:rPr>
              <w:t>邮编</w:t>
            </w:r>
          </w:p>
        </w:tc>
        <w:tc>
          <w:tcPr>
            <w:tcW w:w="1730" w:type="dxa"/>
            <w:vAlign w:val="center"/>
          </w:tcPr>
          <w:p>
            <w:pPr>
              <w:jc w:val="center"/>
              <w:rPr>
                <w:rFonts w:ascii="宋体"/>
                <w:b/>
                <w:bCs/>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vAlign w:val="center"/>
          </w:tcPr>
          <w:p>
            <w:pPr>
              <w:jc w:val="center"/>
              <w:rPr>
                <w:rFonts w:ascii="宋体"/>
                <w:b/>
                <w:bCs/>
                <w:sz w:val="24"/>
                <w:highlight w:val="none"/>
              </w:rPr>
            </w:pPr>
            <w:r>
              <w:rPr>
                <w:rFonts w:hint="eastAsia" w:ascii="宋体" w:hAnsi="宋体"/>
                <w:b/>
                <w:bCs/>
                <w:sz w:val="24"/>
                <w:highlight w:val="none"/>
              </w:rPr>
              <w:t>投资意向</w:t>
            </w:r>
          </w:p>
        </w:tc>
        <w:tc>
          <w:tcPr>
            <w:tcW w:w="1843" w:type="dxa"/>
            <w:vAlign w:val="center"/>
          </w:tcPr>
          <w:p>
            <w:pPr>
              <w:jc w:val="center"/>
              <w:rPr>
                <w:rFonts w:ascii="宋体"/>
                <w:szCs w:val="21"/>
                <w:highlight w:val="none"/>
              </w:rPr>
            </w:pPr>
            <w:r>
              <w:rPr>
                <w:rFonts w:hint="eastAsia" w:ascii="宋体" w:hAnsi="宋体"/>
                <w:szCs w:val="21"/>
                <w:highlight w:val="none"/>
              </w:rPr>
              <w:t>投资比例</w:t>
            </w:r>
          </w:p>
        </w:tc>
        <w:tc>
          <w:tcPr>
            <w:tcW w:w="2268" w:type="dxa"/>
            <w:vAlign w:val="center"/>
          </w:tcPr>
          <w:p>
            <w:pPr>
              <w:jc w:val="center"/>
              <w:rPr>
                <w:rFonts w:ascii="宋体"/>
                <w:szCs w:val="21"/>
                <w:highlight w:val="none"/>
              </w:rPr>
            </w:pPr>
          </w:p>
        </w:tc>
        <w:tc>
          <w:tcPr>
            <w:tcW w:w="1559" w:type="dxa"/>
            <w:vAlign w:val="center"/>
          </w:tcPr>
          <w:p>
            <w:pPr>
              <w:jc w:val="center"/>
              <w:rPr>
                <w:rFonts w:ascii="宋体"/>
                <w:szCs w:val="21"/>
                <w:highlight w:val="none"/>
              </w:rPr>
            </w:pPr>
            <w:r>
              <w:rPr>
                <w:rFonts w:hint="eastAsia" w:ascii="宋体" w:hAnsi="宋体"/>
                <w:szCs w:val="21"/>
                <w:highlight w:val="none"/>
              </w:rPr>
              <w:t>是否接受挂牌价格</w:t>
            </w:r>
          </w:p>
        </w:tc>
        <w:tc>
          <w:tcPr>
            <w:tcW w:w="1730" w:type="dxa"/>
            <w:vAlign w:val="center"/>
          </w:tcPr>
          <w:p>
            <w:pPr>
              <w:ind w:firstLine="210" w:firstLineChars="100"/>
              <w:rPr>
                <w:rFonts w:ascii="宋体"/>
                <w:szCs w:val="21"/>
                <w:highlight w:val="none"/>
              </w:rPr>
            </w:pPr>
            <w:r>
              <w:rPr>
                <w:rFonts w:hint="eastAsia" w:ascii="宋体" w:hAnsi="宋体"/>
                <w:szCs w:val="21"/>
                <w:highlight w:val="none"/>
              </w:rPr>
              <w:t>□是□否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10" w:hRule="atLeast"/>
        </w:trPr>
        <w:tc>
          <w:tcPr>
            <w:tcW w:w="1276" w:type="dxa"/>
            <w:tcBorders>
              <w:bottom w:val="single" w:color="auto" w:sz="12" w:space="0"/>
            </w:tcBorders>
            <w:vAlign w:val="center"/>
          </w:tcPr>
          <w:p>
            <w:pPr>
              <w:pStyle w:val="8"/>
              <w:ind w:firstLine="0" w:firstLineChars="0"/>
              <w:jc w:val="center"/>
              <w:rPr>
                <w:rFonts w:ascii="宋体" w:hAnsi="宋体"/>
                <w:highlight w:val="none"/>
              </w:rPr>
            </w:pPr>
            <w:r>
              <w:rPr>
                <w:rFonts w:hint="eastAsia" w:ascii="宋体" w:hAnsi="宋体"/>
                <w:highlight w:val="none"/>
              </w:rPr>
              <w:t>投资</w:t>
            </w:r>
          </w:p>
          <w:p>
            <w:pPr>
              <w:pStyle w:val="8"/>
              <w:ind w:firstLine="0" w:firstLineChars="0"/>
              <w:jc w:val="center"/>
              <w:rPr>
                <w:rFonts w:ascii="宋体" w:hAnsi="宋体"/>
                <w:highlight w:val="none"/>
              </w:rPr>
            </w:pPr>
            <w:r>
              <w:rPr>
                <w:rFonts w:hint="eastAsia" w:ascii="宋体" w:hAnsi="宋体"/>
                <w:highlight w:val="none"/>
              </w:rPr>
              <w:t>意向</w:t>
            </w:r>
          </w:p>
          <w:p>
            <w:pPr>
              <w:pStyle w:val="8"/>
              <w:ind w:firstLine="0" w:firstLineChars="0"/>
              <w:jc w:val="center"/>
              <w:rPr>
                <w:rFonts w:ascii="宋体" w:eastAsia="宋体"/>
                <w:highlight w:val="none"/>
              </w:rPr>
            </w:pPr>
            <w:r>
              <w:rPr>
                <w:rFonts w:hint="eastAsia" w:ascii="宋体" w:hAnsi="宋体"/>
                <w:highlight w:val="none"/>
              </w:rPr>
              <w:t>描述</w:t>
            </w:r>
          </w:p>
        </w:tc>
        <w:tc>
          <w:tcPr>
            <w:tcW w:w="7400" w:type="dxa"/>
            <w:gridSpan w:val="4"/>
            <w:tcBorders>
              <w:bottom w:val="single" w:color="auto" w:sz="12" w:space="0"/>
            </w:tcBorders>
            <w:vAlign w:val="center"/>
          </w:tcPr>
          <w:p>
            <w:pPr>
              <w:rPr>
                <w:rFonts w:ascii="宋体"/>
                <w:szCs w:val="21"/>
                <w:highlight w:val="none"/>
              </w:rPr>
            </w:pPr>
          </w:p>
        </w:tc>
      </w:tr>
    </w:tbl>
    <w:p>
      <w:pPr>
        <w:spacing w:before="78" w:after="78"/>
        <w:rPr>
          <w:rFonts w:ascii="宋体" w:hAnsi="宋体"/>
          <w:b/>
          <w:sz w:val="32"/>
          <w:szCs w:val="32"/>
          <w:highlight w:val="none"/>
        </w:rPr>
      </w:pPr>
    </w:p>
    <w:p>
      <w:pPr>
        <w:spacing w:before="78" w:after="78"/>
        <w:rPr>
          <w:rFonts w:ascii="宋体"/>
          <w:b/>
          <w:sz w:val="32"/>
          <w:szCs w:val="32"/>
          <w:highlight w:val="none"/>
        </w:rPr>
      </w:pPr>
      <w:r>
        <w:rPr>
          <w:rFonts w:ascii="宋体" w:hAnsi="宋体"/>
          <w:b/>
          <w:sz w:val="32"/>
          <w:szCs w:val="32"/>
          <w:highlight w:val="none"/>
        </w:rPr>
        <w:br w:type="page"/>
      </w:r>
      <w:r>
        <w:rPr>
          <w:rFonts w:hint="eastAsia" w:ascii="宋体" w:hAnsi="宋体"/>
          <w:b/>
          <w:sz w:val="32"/>
          <w:szCs w:val="32"/>
          <w:highlight w:val="none"/>
        </w:rPr>
        <w:t>备查材料</w:t>
      </w:r>
    </w:p>
    <w:tbl>
      <w:tblPr>
        <w:tblStyle w:val="18"/>
        <w:tblW w:w="93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22"/>
        <w:gridCol w:w="4617"/>
        <w:gridCol w:w="2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tcBorders>
              <w:top w:val="single" w:color="auto" w:sz="12" w:space="0"/>
              <w:left w:val="single" w:color="auto" w:sz="12" w:space="0"/>
            </w:tcBorders>
            <w:vAlign w:val="center"/>
          </w:tcPr>
          <w:p>
            <w:pPr>
              <w:widowControl/>
              <w:adjustRightInd w:val="0"/>
              <w:snapToGrid w:val="0"/>
              <w:jc w:val="center"/>
              <w:rPr>
                <w:rFonts w:ascii="宋体" w:cs="宋体"/>
                <w:b/>
                <w:bCs/>
                <w:kern w:val="0"/>
                <w:sz w:val="24"/>
                <w:highlight w:val="none"/>
              </w:rPr>
            </w:pPr>
            <w:r>
              <w:rPr>
                <w:rFonts w:hint="eastAsia" w:ascii="宋体" w:hAnsi="宋体" w:cs="宋体"/>
                <w:b/>
                <w:bCs/>
                <w:kern w:val="0"/>
                <w:sz w:val="24"/>
                <w:highlight w:val="none"/>
              </w:rPr>
              <w:t>附件类型</w:t>
            </w:r>
          </w:p>
        </w:tc>
        <w:tc>
          <w:tcPr>
            <w:tcW w:w="4617" w:type="dxa"/>
            <w:tcBorders>
              <w:top w:val="single" w:color="auto" w:sz="12" w:space="0"/>
            </w:tcBorders>
            <w:vAlign w:val="center"/>
          </w:tcPr>
          <w:p>
            <w:pPr>
              <w:widowControl/>
              <w:adjustRightInd w:val="0"/>
              <w:snapToGrid w:val="0"/>
              <w:jc w:val="center"/>
              <w:rPr>
                <w:rFonts w:ascii="宋体" w:cs="宋体"/>
                <w:b/>
                <w:bCs/>
                <w:kern w:val="0"/>
                <w:sz w:val="24"/>
                <w:highlight w:val="none"/>
              </w:rPr>
            </w:pPr>
            <w:r>
              <w:rPr>
                <w:rFonts w:hint="eastAsia" w:ascii="宋体" w:hAnsi="宋体" w:cs="宋体"/>
                <w:b/>
                <w:bCs/>
                <w:kern w:val="0"/>
                <w:sz w:val="24"/>
                <w:highlight w:val="none"/>
              </w:rPr>
              <w:t>资料名称</w:t>
            </w:r>
          </w:p>
        </w:tc>
        <w:tc>
          <w:tcPr>
            <w:tcW w:w="2544" w:type="dxa"/>
            <w:tcBorders>
              <w:top w:val="single" w:color="auto" w:sz="12" w:space="0"/>
              <w:right w:val="single" w:color="auto" w:sz="12" w:space="0"/>
            </w:tcBorders>
            <w:vAlign w:val="center"/>
          </w:tcPr>
          <w:p>
            <w:pPr>
              <w:widowControl/>
              <w:adjustRightInd w:val="0"/>
              <w:snapToGrid w:val="0"/>
              <w:jc w:val="center"/>
              <w:rPr>
                <w:rFonts w:ascii="宋体" w:cs="宋体"/>
                <w:b/>
                <w:bCs/>
                <w:kern w:val="0"/>
                <w:sz w:val="24"/>
                <w:highlight w:val="none"/>
              </w:rPr>
            </w:pPr>
            <w:r>
              <w:rPr>
                <w:rFonts w:hint="eastAsia" w:ascii="宋体" w:hAnsi="宋体" w:cs="宋体"/>
                <w:b/>
                <w:bCs/>
                <w:kern w:val="0"/>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tcBorders>
              <w:left w:val="single" w:color="auto" w:sz="12" w:space="0"/>
            </w:tcBorders>
            <w:vAlign w:val="center"/>
          </w:tcPr>
          <w:p>
            <w:pPr>
              <w:widowControl/>
              <w:adjustRightInd w:val="0"/>
              <w:snapToGrid w:val="0"/>
              <w:jc w:val="center"/>
              <w:rPr>
                <w:rFonts w:ascii="宋体" w:cs="宋体"/>
                <w:b/>
                <w:bCs/>
                <w:kern w:val="0"/>
                <w:sz w:val="24"/>
                <w:highlight w:val="none"/>
              </w:rPr>
            </w:pPr>
            <w:r>
              <w:rPr>
                <w:rFonts w:hint="eastAsia" w:ascii="宋体" w:hAnsi="宋体" w:cs="宋体"/>
                <w:b/>
                <w:kern w:val="0"/>
                <w:sz w:val="24"/>
                <w:highlight w:val="none"/>
              </w:rPr>
              <w:t>申请类资料</w:t>
            </w:r>
          </w:p>
        </w:tc>
        <w:tc>
          <w:tcPr>
            <w:tcW w:w="4617" w:type="dxa"/>
            <w:vAlign w:val="center"/>
          </w:tcPr>
          <w:p>
            <w:pPr>
              <w:widowControl/>
              <w:adjustRightInd w:val="0"/>
              <w:snapToGrid w:val="0"/>
              <w:jc w:val="left"/>
              <w:rPr>
                <w:rFonts w:ascii="宋体"/>
                <w:kern w:val="0"/>
                <w:highlight w:val="none"/>
              </w:rPr>
            </w:pPr>
            <w:r>
              <w:rPr>
                <w:rFonts w:hint="eastAsia" w:ascii="宋体" w:hAnsi="宋体"/>
                <w:kern w:val="0"/>
                <w:highlight w:val="none"/>
              </w:rPr>
              <w:t>《增资扩股投资申请书》</w:t>
            </w:r>
          </w:p>
        </w:tc>
        <w:tc>
          <w:tcPr>
            <w:tcW w:w="2544" w:type="dxa"/>
            <w:tcBorders>
              <w:right w:val="single" w:color="auto" w:sz="12" w:space="0"/>
            </w:tcBorders>
            <w:vAlign w:val="center"/>
          </w:tcPr>
          <w:p>
            <w:pPr>
              <w:widowControl/>
              <w:adjustRightInd w:val="0"/>
              <w:snapToGrid w:val="0"/>
              <w:jc w:val="center"/>
              <w:rPr>
                <w:rFonts w:ascii="宋体" w:cs="宋体"/>
                <w:b/>
                <w:bCs/>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restart"/>
            <w:tcBorders>
              <w:left w:val="single" w:color="auto" w:sz="12" w:space="0"/>
            </w:tcBorders>
            <w:vAlign w:val="center"/>
          </w:tcPr>
          <w:p>
            <w:pPr>
              <w:widowControl/>
              <w:adjustRightInd w:val="0"/>
              <w:snapToGrid w:val="0"/>
              <w:jc w:val="center"/>
              <w:rPr>
                <w:rFonts w:ascii="宋体" w:cs="宋体"/>
                <w:b/>
                <w:kern w:val="0"/>
                <w:sz w:val="24"/>
                <w:highlight w:val="none"/>
              </w:rPr>
            </w:pPr>
            <w:r>
              <w:rPr>
                <w:rFonts w:hint="eastAsia" w:ascii="宋体" w:hAnsi="宋体" w:cs="宋体"/>
                <w:b/>
                <w:kern w:val="0"/>
                <w:sz w:val="24"/>
                <w:highlight w:val="none"/>
              </w:rPr>
              <w:t>主体资格类资料</w:t>
            </w:r>
          </w:p>
        </w:tc>
        <w:tc>
          <w:tcPr>
            <w:tcW w:w="4617" w:type="dxa"/>
            <w:vAlign w:val="center"/>
          </w:tcPr>
          <w:p>
            <w:pPr>
              <w:widowControl/>
              <w:adjustRightInd w:val="0"/>
              <w:snapToGrid w:val="0"/>
              <w:jc w:val="left"/>
              <w:rPr>
                <w:rFonts w:ascii="宋体"/>
                <w:kern w:val="0"/>
                <w:highlight w:val="none"/>
              </w:rPr>
            </w:pPr>
            <w:r>
              <w:rPr>
                <w:rFonts w:hint="eastAsia" w:ascii="宋体" w:hAnsi="宋体"/>
                <w:kern w:val="0"/>
                <w:highlight w:val="none"/>
              </w:rPr>
              <w:t>营业执照或</w:t>
            </w:r>
            <w:r>
              <w:rPr>
                <w:rFonts w:hint="eastAsia" w:ascii="宋体" w:hAnsi="宋体"/>
                <w:sz w:val="24"/>
                <w:highlight w:val="none"/>
              </w:rPr>
              <w:t>相关注册证明文件</w:t>
            </w:r>
          </w:p>
        </w:tc>
        <w:tc>
          <w:tcPr>
            <w:tcW w:w="2544" w:type="dxa"/>
            <w:tcBorders>
              <w:right w:val="single" w:color="auto" w:sz="12" w:space="0"/>
            </w:tcBorders>
            <w:vAlign w:val="center"/>
          </w:tcPr>
          <w:p>
            <w:pPr>
              <w:widowControl/>
              <w:adjustRightInd w:val="0"/>
              <w:snapToGrid w:val="0"/>
              <w:jc w:val="center"/>
              <w:rPr>
                <w:rFonts w:asci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ascii="宋体" w:cs="宋体"/>
                <w:b/>
                <w:kern w:val="0"/>
                <w:sz w:val="24"/>
                <w:highlight w:val="none"/>
              </w:rPr>
            </w:pPr>
          </w:p>
        </w:tc>
        <w:tc>
          <w:tcPr>
            <w:tcW w:w="4617" w:type="dxa"/>
            <w:vAlign w:val="center"/>
          </w:tcPr>
          <w:p>
            <w:pPr>
              <w:widowControl/>
              <w:adjustRightInd w:val="0"/>
              <w:snapToGrid w:val="0"/>
              <w:jc w:val="left"/>
              <w:rPr>
                <w:rFonts w:ascii="宋体"/>
                <w:kern w:val="0"/>
                <w:highlight w:val="none"/>
              </w:rPr>
            </w:pPr>
            <w:r>
              <w:rPr>
                <w:rFonts w:hint="eastAsia" w:ascii="宋体" w:hAnsi="宋体"/>
                <w:kern w:val="0"/>
                <w:highlight w:val="none"/>
              </w:rPr>
              <w:t>身份证明</w:t>
            </w:r>
          </w:p>
        </w:tc>
        <w:tc>
          <w:tcPr>
            <w:tcW w:w="2544" w:type="dxa"/>
            <w:tcBorders>
              <w:right w:val="single" w:color="auto" w:sz="12" w:space="0"/>
            </w:tcBorders>
            <w:vAlign w:val="center"/>
          </w:tcPr>
          <w:p>
            <w:pPr>
              <w:widowControl/>
              <w:adjustRightInd w:val="0"/>
              <w:snapToGrid w:val="0"/>
              <w:jc w:val="center"/>
              <w:rPr>
                <w:rFonts w:asci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restart"/>
            <w:tcBorders>
              <w:left w:val="single" w:color="auto" w:sz="12" w:space="0"/>
            </w:tcBorders>
            <w:vAlign w:val="center"/>
          </w:tcPr>
          <w:p>
            <w:pPr>
              <w:widowControl/>
              <w:adjustRightInd w:val="0"/>
              <w:snapToGrid w:val="0"/>
              <w:jc w:val="center"/>
              <w:rPr>
                <w:rFonts w:ascii="宋体" w:cs="宋体"/>
                <w:b/>
                <w:kern w:val="0"/>
                <w:sz w:val="24"/>
                <w:highlight w:val="none"/>
              </w:rPr>
            </w:pPr>
            <w:r>
              <w:rPr>
                <w:rFonts w:hint="eastAsia" w:ascii="宋体" w:hAnsi="宋体" w:cs="宋体"/>
                <w:b/>
                <w:kern w:val="0"/>
                <w:sz w:val="24"/>
                <w:highlight w:val="none"/>
              </w:rPr>
              <w:t>决议及批准类资料</w:t>
            </w:r>
          </w:p>
        </w:tc>
        <w:tc>
          <w:tcPr>
            <w:tcW w:w="4617" w:type="dxa"/>
            <w:vAlign w:val="center"/>
          </w:tcPr>
          <w:p>
            <w:pPr>
              <w:widowControl/>
              <w:adjustRightInd w:val="0"/>
              <w:snapToGrid w:val="0"/>
              <w:jc w:val="left"/>
              <w:rPr>
                <w:rFonts w:ascii="宋体"/>
                <w:kern w:val="0"/>
                <w:highlight w:val="none"/>
              </w:rPr>
            </w:pPr>
            <w:r>
              <w:rPr>
                <w:rFonts w:hint="eastAsia" w:ascii="宋体" w:hAnsi="宋体"/>
                <w:kern w:val="0"/>
                <w:highlight w:val="none"/>
              </w:rPr>
              <w:t>公司章程或相关证明材料</w:t>
            </w:r>
          </w:p>
        </w:tc>
        <w:tc>
          <w:tcPr>
            <w:tcW w:w="2544" w:type="dxa"/>
            <w:tcBorders>
              <w:right w:val="single" w:color="auto" w:sz="12" w:space="0"/>
            </w:tcBorders>
            <w:vAlign w:val="center"/>
          </w:tcPr>
          <w:p>
            <w:pPr>
              <w:widowControl/>
              <w:adjustRightInd w:val="0"/>
              <w:snapToGrid w:val="0"/>
              <w:jc w:val="center"/>
              <w:rPr>
                <w:rFonts w:asci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ascii="宋体" w:hAnsi="宋体" w:cs="宋体"/>
                <w:b/>
                <w:kern w:val="0"/>
                <w:sz w:val="24"/>
                <w:highlight w:val="none"/>
              </w:rPr>
            </w:pPr>
          </w:p>
        </w:tc>
        <w:tc>
          <w:tcPr>
            <w:tcW w:w="4617" w:type="dxa"/>
            <w:vAlign w:val="center"/>
          </w:tcPr>
          <w:p>
            <w:pPr>
              <w:widowControl/>
              <w:adjustRightInd w:val="0"/>
              <w:snapToGrid w:val="0"/>
              <w:jc w:val="left"/>
              <w:rPr>
                <w:rFonts w:ascii="宋体" w:hAnsi="宋体"/>
                <w:kern w:val="0"/>
                <w:highlight w:val="none"/>
              </w:rPr>
            </w:pPr>
            <w:r>
              <w:rPr>
                <w:rFonts w:hint="eastAsia" w:ascii="宋体" w:hAnsi="宋体"/>
                <w:kern w:val="0"/>
                <w:highlight w:val="none"/>
              </w:rPr>
              <w:t>工商管理部门或其他部门企业登记证明</w:t>
            </w:r>
          </w:p>
        </w:tc>
        <w:tc>
          <w:tcPr>
            <w:tcW w:w="2544" w:type="dxa"/>
            <w:tcBorders>
              <w:right w:val="single" w:color="auto" w:sz="12" w:space="0"/>
            </w:tcBorders>
            <w:vAlign w:val="center"/>
          </w:tcPr>
          <w:p>
            <w:pPr>
              <w:widowControl/>
              <w:adjustRightInd w:val="0"/>
              <w:snapToGrid w:val="0"/>
              <w:jc w:val="center"/>
              <w:rPr>
                <w:rFonts w:asci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ascii="宋体" w:cs="宋体"/>
                <w:b/>
                <w:kern w:val="0"/>
                <w:sz w:val="24"/>
                <w:highlight w:val="none"/>
              </w:rPr>
            </w:pPr>
          </w:p>
        </w:tc>
        <w:tc>
          <w:tcPr>
            <w:tcW w:w="4617" w:type="dxa"/>
            <w:vAlign w:val="center"/>
          </w:tcPr>
          <w:p>
            <w:pPr>
              <w:widowControl/>
              <w:adjustRightInd w:val="0"/>
              <w:snapToGrid w:val="0"/>
              <w:jc w:val="left"/>
              <w:rPr>
                <w:rFonts w:ascii="宋体"/>
                <w:kern w:val="0"/>
                <w:highlight w:val="none"/>
              </w:rPr>
            </w:pPr>
            <w:r>
              <w:rPr>
                <w:rFonts w:hint="eastAsia" w:ascii="宋体" w:hAnsi="宋体"/>
                <w:kern w:val="0"/>
                <w:highlight w:val="none"/>
              </w:rPr>
              <w:t>股东大会决议</w:t>
            </w:r>
          </w:p>
        </w:tc>
        <w:tc>
          <w:tcPr>
            <w:tcW w:w="2544" w:type="dxa"/>
            <w:tcBorders>
              <w:right w:val="single" w:color="auto" w:sz="12" w:space="0"/>
            </w:tcBorders>
            <w:vAlign w:val="center"/>
          </w:tcPr>
          <w:p>
            <w:pPr>
              <w:widowControl/>
              <w:adjustRightInd w:val="0"/>
              <w:snapToGrid w:val="0"/>
              <w:jc w:val="center"/>
              <w:rPr>
                <w:rFonts w:asci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ascii="宋体" w:cs="宋体"/>
                <w:b/>
                <w:kern w:val="0"/>
                <w:sz w:val="24"/>
                <w:highlight w:val="none"/>
              </w:rPr>
            </w:pPr>
          </w:p>
        </w:tc>
        <w:tc>
          <w:tcPr>
            <w:tcW w:w="4617" w:type="dxa"/>
            <w:vAlign w:val="center"/>
          </w:tcPr>
          <w:p>
            <w:pPr>
              <w:widowControl/>
              <w:adjustRightInd w:val="0"/>
              <w:snapToGrid w:val="0"/>
              <w:jc w:val="left"/>
              <w:rPr>
                <w:rFonts w:ascii="宋体"/>
                <w:kern w:val="0"/>
                <w:highlight w:val="none"/>
              </w:rPr>
            </w:pPr>
            <w:r>
              <w:rPr>
                <w:rFonts w:hint="eastAsia" w:ascii="宋体" w:hAnsi="宋体"/>
                <w:kern w:val="0"/>
                <w:highlight w:val="none"/>
              </w:rPr>
              <w:t>董事会决议</w:t>
            </w:r>
          </w:p>
        </w:tc>
        <w:tc>
          <w:tcPr>
            <w:tcW w:w="2544" w:type="dxa"/>
            <w:tcBorders>
              <w:right w:val="single" w:color="auto" w:sz="12" w:space="0"/>
            </w:tcBorders>
            <w:vAlign w:val="center"/>
          </w:tcPr>
          <w:p>
            <w:pPr>
              <w:widowControl/>
              <w:adjustRightInd w:val="0"/>
              <w:snapToGrid w:val="0"/>
              <w:jc w:val="center"/>
              <w:rPr>
                <w:rFonts w:asci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ascii="宋体" w:cs="宋体"/>
                <w:b/>
                <w:kern w:val="0"/>
                <w:sz w:val="24"/>
                <w:highlight w:val="none"/>
              </w:rPr>
            </w:pPr>
          </w:p>
        </w:tc>
        <w:tc>
          <w:tcPr>
            <w:tcW w:w="4617" w:type="dxa"/>
            <w:vAlign w:val="center"/>
          </w:tcPr>
          <w:p>
            <w:pPr>
              <w:widowControl/>
              <w:adjustRightInd w:val="0"/>
              <w:snapToGrid w:val="0"/>
              <w:jc w:val="left"/>
              <w:rPr>
                <w:rFonts w:ascii="宋体"/>
                <w:kern w:val="0"/>
                <w:highlight w:val="none"/>
              </w:rPr>
            </w:pPr>
            <w:r>
              <w:rPr>
                <w:rFonts w:hint="eastAsia" w:ascii="宋体" w:hAnsi="宋体"/>
                <w:kern w:val="0"/>
                <w:highlight w:val="none"/>
              </w:rPr>
              <w:t>总经理办公会决议</w:t>
            </w:r>
          </w:p>
        </w:tc>
        <w:tc>
          <w:tcPr>
            <w:tcW w:w="2544" w:type="dxa"/>
            <w:tcBorders>
              <w:right w:val="single" w:color="auto" w:sz="12" w:space="0"/>
            </w:tcBorders>
            <w:vAlign w:val="center"/>
          </w:tcPr>
          <w:p>
            <w:pPr>
              <w:widowControl/>
              <w:adjustRightInd w:val="0"/>
              <w:snapToGrid w:val="0"/>
              <w:jc w:val="center"/>
              <w:rPr>
                <w:rFonts w:asci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ascii="宋体" w:cs="宋体"/>
                <w:b/>
                <w:kern w:val="0"/>
                <w:sz w:val="24"/>
                <w:highlight w:val="none"/>
              </w:rPr>
            </w:pPr>
          </w:p>
        </w:tc>
        <w:tc>
          <w:tcPr>
            <w:tcW w:w="4617" w:type="dxa"/>
            <w:vAlign w:val="center"/>
          </w:tcPr>
          <w:p>
            <w:pPr>
              <w:widowControl/>
              <w:adjustRightInd w:val="0"/>
              <w:snapToGrid w:val="0"/>
              <w:jc w:val="left"/>
              <w:rPr>
                <w:rFonts w:ascii="宋体"/>
                <w:kern w:val="0"/>
                <w:highlight w:val="none"/>
              </w:rPr>
            </w:pPr>
            <w:r>
              <w:rPr>
                <w:rFonts w:hint="eastAsia" w:ascii="宋体" w:hAnsi="宋体"/>
                <w:kern w:val="0"/>
                <w:highlight w:val="none"/>
              </w:rPr>
              <w:t>主管部门批复</w:t>
            </w:r>
          </w:p>
        </w:tc>
        <w:tc>
          <w:tcPr>
            <w:tcW w:w="2544" w:type="dxa"/>
            <w:tcBorders>
              <w:right w:val="single" w:color="auto" w:sz="12" w:space="0"/>
            </w:tcBorders>
            <w:vAlign w:val="center"/>
          </w:tcPr>
          <w:p>
            <w:pPr>
              <w:widowControl/>
              <w:adjustRightInd w:val="0"/>
              <w:snapToGrid w:val="0"/>
              <w:jc w:val="center"/>
              <w:rPr>
                <w:rFonts w:asci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restart"/>
            <w:tcBorders>
              <w:left w:val="single" w:color="auto" w:sz="12" w:space="0"/>
            </w:tcBorders>
            <w:vAlign w:val="center"/>
          </w:tcPr>
          <w:p>
            <w:pPr>
              <w:widowControl/>
              <w:adjustRightInd w:val="0"/>
              <w:snapToGrid w:val="0"/>
              <w:jc w:val="center"/>
              <w:rPr>
                <w:rFonts w:ascii="宋体" w:cs="宋体"/>
                <w:b/>
                <w:kern w:val="0"/>
                <w:sz w:val="24"/>
                <w:highlight w:val="none"/>
              </w:rPr>
            </w:pPr>
            <w:r>
              <w:rPr>
                <w:rFonts w:hint="eastAsia" w:ascii="宋体" w:hAnsi="宋体" w:cs="宋体"/>
                <w:b/>
                <w:kern w:val="0"/>
                <w:sz w:val="24"/>
                <w:highlight w:val="none"/>
              </w:rPr>
              <w:t>符合增资扩股条件的其他资料</w:t>
            </w:r>
          </w:p>
        </w:tc>
        <w:tc>
          <w:tcPr>
            <w:tcW w:w="4617" w:type="dxa"/>
            <w:vAlign w:val="center"/>
          </w:tcPr>
          <w:p>
            <w:pPr>
              <w:widowControl/>
              <w:adjustRightInd w:val="0"/>
              <w:snapToGrid w:val="0"/>
              <w:jc w:val="left"/>
              <w:rPr>
                <w:rFonts w:ascii="宋体" w:cs="宋体"/>
                <w:kern w:val="0"/>
                <w:szCs w:val="21"/>
                <w:highlight w:val="none"/>
              </w:rPr>
            </w:pPr>
          </w:p>
        </w:tc>
        <w:tc>
          <w:tcPr>
            <w:tcW w:w="2544" w:type="dxa"/>
            <w:tcBorders>
              <w:right w:val="single" w:color="auto" w:sz="12" w:space="0"/>
            </w:tcBorders>
            <w:vAlign w:val="center"/>
          </w:tcPr>
          <w:p>
            <w:pPr>
              <w:widowControl/>
              <w:adjustRightInd w:val="0"/>
              <w:snapToGrid w:val="0"/>
              <w:jc w:val="center"/>
              <w:rPr>
                <w:rFonts w:asci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ascii="宋体" w:cs="宋体"/>
                <w:b/>
                <w:kern w:val="0"/>
                <w:sz w:val="24"/>
                <w:highlight w:val="none"/>
              </w:rPr>
            </w:pPr>
          </w:p>
        </w:tc>
        <w:tc>
          <w:tcPr>
            <w:tcW w:w="4617" w:type="dxa"/>
            <w:vAlign w:val="center"/>
          </w:tcPr>
          <w:p>
            <w:pPr>
              <w:widowControl/>
              <w:adjustRightInd w:val="0"/>
              <w:snapToGrid w:val="0"/>
              <w:jc w:val="left"/>
              <w:rPr>
                <w:rFonts w:ascii="宋体" w:cs="宋体"/>
                <w:kern w:val="0"/>
                <w:szCs w:val="21"/>
                <w:highlight w:val="none"/>
              </w:rPr>
            </w:pPr>
          </w:p>
        </w:tc>
        <w:tc>
          <w:tcPr>
            <w:tcW w:w="2544" w:type="dxa"/>
            <w:tcBorders>
              <w:right w:val="single" w:color="auto" w:sz="12" w:space="0"/>
            </w:tcBorders>
            <w:vAlign w:val="center"/>
          </w:tcPr>
          <w:p>
            <w:pPr>
              <w:widowControl/>
              <w:adjustRightInd w:val="0"/>
              <w:snapToGrid w:val="0"/>
              <w:jc w:val="center"/>
              <w:rPr>
                <w:rFonts w:asci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ascii="宋体" w:cs="宋体"/>
                <w:b/>
                <w:kern w:val="0"/>
                <w:sz w:val="24"/>
                <w:highlight w:val="none"/>
              </w:rPr>
            </w:pPr>
          </w:p>
        </w:tc>
        <w:tc>
          <w:tcPr>
            <w:tcW w:w="4617" w:type="dxa"/>
            <w:vAlign w:val="center"/>
          </w:tcPr>
          <w:p>
            <w:pPr>
              <w:widowControl/>
              <w:adjustRightInd w:val="0"/>
              <w:snapToGrid w:val="0"/>
              <w:jc w:val="left"/>
              <w:rPr>
                <w:rFonts w:ascii="宋体" w:cs="宋体"/>
                <w:kern w:val="0"/>
                <w:szCs w:val="21"/>
                <w:highlight w:val="none"/>
              </w:rPr>
            </w:pPr>
          </w:p>
        </w:tc>
        <w:tc>
          <w:tcPr>
            <w:tcW w:w="2544" w:type="dxa"/>
            <w:tcBorders>
              <w:right w:val="single" w:color="auto" w:sz="12" w:space="0"/>
            </w:tcBorders>
            <w:vAlign w:val="center"/>
          </w:tcPr>
          <w:p>
            <w:pPr>
              <w:widowControl/>
              <w:adjustRightInd w:val="0"/>
              <w:snapToGrid w:val="0"/>
              <w:jc w:val="center"/>
              <w:rPr>
                <w:rFonts w:asci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ascii="宋体" w:cs="宋体"/>
                <w:b/>
                <w:kern w:val="0"/>
                <w:sz w:val="24"/>
                <w:highlight w:val="none"/>
              </w:rPr>
            </w:pPr>
          </w:p>
        </w:tc>
        <w:tc>
          <w:tcPr>
            <w:tcW w:w="4617" w:type="dxa"/>
            <w:vAlign w:val="center"/>
          </w:tcPr>
          <w:p>
            <w:pPr>
              <w:widowControl/>
              <w:adjustRightInd w:val="0"/>
              <w:snapToGrid w:val="0"/>
              <w:jc w:val="left"/>
              <w:rPr>
                <w:rFonts w:ascii="宋体" w:cs="宋体"/>
                <w:kern w:val="0"/>
                <w:szCs w:val="21"/>
                <w:highlight w:val="none"/>
              </w:rPr>
            </w:pPr>
          </w:p>
        </w:tc>
        <w:tc>
          <w:tcPr>
            <w:tcW w:w="2544" w:type="dxa"/>
            <w:tcBorders>
              <w:right w:val="single" w:color="auto" w:sz="12" w:space="0"/>
            </w:tcBorders>
            <w:vAlign w:val="center"/>
          </w:tcPr>
          <w:p>
            <w:pPr>
              <w:widowControl/>
              <w:adjustRightInd w:val="0"/>
              <w:snapToGrid w:val="0"/>
              <w:jc w:val="center"/>
              <w:rPr>
                <w:rFonts w:asci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ascii="宋体" w:cs="宋体"/>
                <w:b/>
                <w:kern w:val="0"/>
                <w:sz w:val="24"/>
                <w:highlight w:val="none"/>
              </w:rPr>
            </w:pPr>
          </w:p>
        </w:tc>
        <w:tc>
          <w:tcPr>
            <w:tcW w:w="4617" w:type="dxa"/>
            <w:vAlign w:val="center"/>
          </w:tcPr>
          <w:p>
            <w:pPr>
              <w:widowControl/>
              <w:adjustRightInd w:val="0"/>
              <w:snapToGrid w:val="0"/>
              <w:jc w:val="left"/>
              <w:rPr>
                <w:rFonts w:ascii="宋体" w:cs="宋体"/>
                <w:kern w:val="0"/>
                <w:szCs w:val="21"/>
                <w:highlight w:val="none"/>
              </w:rPr>
            </w:pPr>
          </w:p>
        </w:tc>
        <w:tc>
          <w:tcPr>
            <w:tcW w:w="2544" w:type="dxa"/>
            <w:tcBorders>
              <w:right w:val="single" w:color="auto" w:sz="12" w:space="0"/>
            </w:tcBorders>
            <w:vAlign w:val="center"/>
          </w:tcPr>
          <w:p>
            <w:pPr>
              <w:widowControl/>
              <w:adjustRightInd w:val="0"/>
              <w:snapToGrid w:val="0"/>
              <w:jc w:val="center"/>
              <w:rPr>
                <w:rFonts w:asci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8" w:hRule="exact"/>
          <w:jc w:val="center"/>
        </w:trPr>
        <w:tc>
          <w:tcPr>
            <w:tcW w:w="2222" w:type="dxa"/>
            <w:tcBorders>
              <w:left w:val="single" w:color="auto" w:sz="12" w:space="0"/>
              <w:bottom w:val="single" w:color="auto" w:sz="12" w:space="0"/>
            </w:tcBorders>
            <w:vAlign w:val="center"/>
          </w:tcPr>
          <w:p>
            <w:pPr>
              <w:adjustRightInd w:val="0"/>
              <w:snapToGrid w:val="0"/>
              <w:spacing w:line="360" w:lineRule="auto"/>
              <w:jc w:val="center"/>
              <w:rPr>
                <w:rFonts w:ascii="宋体"/>
                <w:b/>
                <w:sz w:val="24"/>
                <w:highlight w:val="none"/>
              </w:rPr>
            </w:pPr>
            <w:r>
              <w:rPr>
                <w:rFonts w:hint="eastAsia" w:ascii="宋体" w:hAnsi="宋体"/>
                <w:b/>
                <w:sz w:val="24"/>
                <w:highlight w:val="none"/>
              </w:rPr>
              <w:t>核实意见</w:t>
            </w:r>
          </w:p>
        </w:tc>
        <w:tc>
          <w:tcPr>
            <w:tcW w:w="7161" w:type="dxa"/>
            <w:gridSpan w:val="2"/>
            <w:tcBorders>
              <w:bottom w:val="single" w:color="auto" w:sz="12" w:space="0"/>
              <w:right w:val="single" w:color="auto" w:sz="12" w:space="0"/>
            </w:tcBorders>
            <w:vAlign w:val="center"/>
          </w:tcPr>
          <w:p>
            <w:pPr>
              <w:ind w:firstLine="420" w:firstLineChars="200"/>
              <w:jc w:val="left"/>
              <w:rPr>
                <w:szCs w:val="21"/>
                <w:highlight w:val="none"/>
              </w:rPr>
            </w:pPr>
            <w:r>
              <w:rPr>
                <w:rFonts w:hint="eastAsia"/>
                <w:szCs w:val="21"/>
                <w:highlight w:val="none"/>
              </w:rPr>
              <w:t>我方所提交的报名资料和有关证明（含有关附件）均为真实、合法、有效文件，否则我方所交保证金由融资方和组织人没收。</w:t>
            </w:r>
          </w:p>
          <w:p>
            <w:pPr>
              <w:jc w:val="left"/>
              <w:rPr>
                <w:szCs w:val="21"/>
                <w:highlight w:val="none"/>
              </w:rPr>
            </w:pPr>
          </w:p>
          <w:p>
            <w:pPr>
              <w:jc w:val="left"/>
              <w:rPr>
                <w:szCs w:val="21"/>
                <w:highlight w:val="none"/>
              </w:rPr>
            </w:pPr>
          </w:p>
          <w:p>
            <w:pPr>
              <w:spacing w:line="360" w:lineRule="auto"/>
              <w:jc w:val="center"/>
              <w:rPr>
                <w:szCs w:val="21"/>
                <w:highlight w:val="none"/>
              </w:rPr>
            </w:pPr>
            <w:r>
              <w:rPr>
                <w:rFonts w:hint="eastAsia"/>
                <w:szCs w:val="21"/>
                <w:highlight w:val="none"/>
              </w:rPr>
              <w:t>意向投资方（盖章）：</w:t>
            </w:r>
          </w:p>
          <w:p>
            <w:pPr>
              <w:spacing w:line="360" w:lineRule="auto"/>
              <w:jc w:val="center"/>
              <w:rPr>
                <w:szCs w:val="21"/>
                <w:highlight w:val="none"/>
              </w:rPr>
            </w:pPr>
          </w:p>
          <w:p>
            <w:pPr>
              <w:spacing w:line="360" w:lineRule="auto"/>
              <w:jc w:val="center"/>
              <w:rPr>
                <w:szCs w:val="21"/>
                <w:highlight w:val="none"/>
              </w:rPr>
            </w:pPr>
          </w:p>
          <w:p>
            <w:pPr>
              <w:spacing w:line="480" w:lineRule="auto"/>
              <w:ind w:right="420"/>
              <w:jc w:val="center"/>
              <w:rPr>
                <w:szCs w:val="21"/>
                <w:highlight w:val="none"/>
              </w:rPr>
            </w:pPr>
            <w:r>
              <w:rPr>
                <w:rFonts w:hint="eastAsia"/>
                <w:szCs w:val="21"/>
                <w:highlight w:val="none"/>
              </w:rPr>
              <w:t>（签字）：</w:t>
            </w:r>
            <w:r>
              <w:rPr>
                <w:rFonts w:hint="eastAsia"/>
                <w:szCs w:val="21"/>
                <w:highlight w:val="none"/>
                <w:u w:val="single"/>
              </w:rPr>
              <w:t xml:space="preserve">                               </w:t>
            </w:r>
          </w:p>
          <w:p>
            <w:pPr>
              <w:adjustRightInd w:val="0"/>
              <w:snapToGrid w:val="0"/>
              <w:spacing w:line="480" w:lineRule="auto"/>
              <w:jc w:val="right"/>
              <w:rPr>
                <w:rFonts w:ascii="宋体"/>
                <w:szCs w:val="21"/>
                <w:highlight w:val="none"/>
              </w:rPr>
            </w:pPr>
            <w:r>
              <w:rPr>
                <w:rFonts w:hint="eastAsia"/>
                <w:szCs w:val="21"/>
                <w:highlight w:val="none"/>
              </w:rPr>
              <w:t>日期：</w:t>
            </w:r>
            <w:r>
              <w:rPr>
                <w:szCs w:val="21"/>
                <w:highlight w:val="none"/>
              </w:rPr>
              <w:t>______</w:t>
            </w:r>
            <w:r>
              <w:rPr>
                <w:rFonts w:hint="eastAsia"/>
                <w:szCs w:val="21"/>
                <w:highlight w:val="none"/>
              </w:rPr>
              <w:t>年</w:t>
            </w:r>
            <w:r>
              <w:rPr>
                <w:szCs w:val="21"/>
                <w:highlight w:val="none"/>
              </w:rPr>
              <w:t>____</w:t>
            </w:r>
            <w:r>
              <w:rPr>
                <w:rFonts w:hint="eastAsia"/>
                <w:szCs w:val="21"/>
                <w:highlight w:val="none"/>
              </w:rPr>
              <w:t>月</w:t>
            </w:r>
            <w:r>
              <w:rPr>
                <w:szCs w:val="21"/>
                <w:highlight w:val="none"/>
              </w:rPr>
              <w:t>____</w:t>
            </w:r>
            <w:r>
              <w:rPr>
                <w:rFonts w:hint="eastAsia"/>
                <w:szCs w:val="21"/>
                <w:highlight w:val="none"/>
              </w:rPr>
              <w:t>日</w:t>
            </w:r>
          </w:p>
          <w:p>
            <w:pPr>
              <w:rPr>
                <w:rFonts w:ascii="宋体"/>
                <w:szCs w:val="21"/>
                <w:highlight w:val="none"/>
              </w:rPr>
            </w:pPr>
          </w:p>
        </w:tc>
      </w:tr>
    </w:tbl>
    <w:p>
      <w:pPr>
        <w:pStyle w:val="2"/>
        <w:spacing w:before="120" w:after="120" w:line="360" w:lineRule="auto"/>
        <w:jc w:val="center"/>
        <w:rPr>
          <w:sz w:val="32"/>
          <w:szCs w:val="32"/>
          <w:highlight w:val="none"/>
        </w:rPr>
      </w:pPr>
      <w:r>
        <w:rPr>
          <w:sz w:val="32"/>
          <w:szCs w:val="32"/>
          <w:highlight w:val="none"/>
        </w:rPr>
        <w:br w:type="page"/>
      </w:r>
      <w:bookmarkStart w:id="8" w:name="_Toc48252219"/>
      <w:r>
        <w:rPr>
          <w:rFonts w:hint="eastAsia"/>
          <w:sz w:val="32"/>
          <w:szCs w:val="32"/>
          <w:highlight w:val="none"/>
        </w:rPr>
        <w:t>认购风险告知书</w:t>
      </w:r>
      <w:bookmarkEnd w:id="8"/>
    </w:p>
    <w:p>
      <w:pPr>
        <w:spacing w:line="360" w:lineRule="auto"/>
        <w:rPr>
          <w:rFonts w:ascii="宋体"/>
          <w:sz w:val="24"/>
          <w:szCs w:val="24"/>
          <w:highlight w:val="none"/>
        </w:rPr>
      </w:pPr>
      <w:r>
        <w:rPr>
          <w:rFonts w:hint="eastAsia" w:ascii="宋体" w:hAnsi="宋体"/>
          <w:sz w:val="24"/>
          <w:szCs w:val="24"/>
          <w:highlight w:val="none"/>
        </w:rPr>
        <w:t>尊敬的投资方：</w:t>
      </w:r>
    </w:p>
    <w:p>
      <w:pPr>
        <w:spacing w:line="360" w:lineRule="auto"/>
        <w:ind w:firstLine="600" w:firstLineChars="250"/>
        <w:rPr>
          <w:rFonts w:ascii="宋体"/>
          <w:sz w:val="24"/>
          <w:szCs w:val="24"/>
          <w:highlight w:val="none"/>
        </w:rPr>
      </w:pPr>
      <w:r>
        <w:rPr>
          <w:rFonts w:hint="eastAsia" w:ascii="宋体" w:hAnsi="宋体"/>
          <w:sz w:val="24"/>
          <w:szCs w:val="24"/>
          <w:highlight w:val="none"/>
        </w:rPr>
        <w:t>台州市产权交易所有限公司作为产权市场的交易平台将恪尽职守，履行诚实、信用、谨慎、有效组织的义务。在您通过台州市产权交易所有限公司参与</w:t>
      </w:r>
      <w:bookmarkStart w:id="9" w:name="_Hlk527723805"/>
      <w:r>
        <w:rPr>
          <w:rFonts w:hint="eastAsia" w:ascii="宋体" w:hAnsi="宋体"/>
          <w:sz w:val="24"/>
          <w:szCs w:val="24"/>
          <w:highlight w:val="none"/>
        </w:rPr>
        <w:t>浙江海正生物材料股份有限公司新增</w:t>
      </w:r>
      <w:r>
        <w:rPr>
          <w:rFonts w:hint="eastAsia" w:ascii="宋体" w:hAnsi="宋体"/>
          <w:sz w:val="24"/>
          <w:szCs w:val="24"/>
          <w:highlight w:val="none"/>
          <w:lang w:val="en-US" w:eastAsia="zh-CN"/>
        </w:rPr>
        <w:t>10,457,516</w:t>
      </w:r>
      <w:bookmarkEnd w:id="9"/>
      <w:r>
        <w:rPr>
          <w:rFonts w:hint="eastAsia" w:ascii="宋体" w:hAnsi="宋体"/>
          <w:sz w:val="24"/>
          <w:szCs w:val="24"/>
          <w:highlight w:val="none"/>
          <w:lang w:eastAsia="zh-CN"/>
        </w:rPr>
        <w:t>股</w:t>
      </w:r>
      <w:r>
        <w:rPr>
          <w:rFonts w:hint="eastAsia" w:ascii="宋体" w:hAnsi="宋体"/>
          <w:sz w:val="24"/>
          <w:szCs w:val="24"/>
          <w:highlight w:val="none"/>
        </w:rPr>
        <w:t>项目的投资时，应充分意识到可能面临的各种投资风险。为此，台州市产权交易所有限公司郑重告知如下：</w:t>
      </w:r>
    </w:p>
    <w:p>
      <w:pPr>
        <w:spacing w:line="360" w:lineRule="auto"/>
        <w:ind w:firstLine="480" w:firstLineChars="200"/>
        <w:rPr>
          <w:rFonts w:ascii="宋体"/>
          <w:sz w:val="24"/>
          <w:szCs w:val="24"/>
          <w:highlight w:val="none"/>
        </w:rPr>
      </w:pPr>
      <w:r>
        <w:rPr>
          <w:rFonts w:hint="eastAsia" w:ascii="宋体" w:hAnsi="宋体"/>
          <w:sz w:val="24"/>
          <w:szCs w:val="24"/>
          <w:highlight w:val="none"/>
        </w:rPr>
        <w:t>一、本项目海正生物未承诺保本和最低收益，具有一定的投资风险，适合风险识别、评估、承受能力较强的合格投资者。</w:t>
      </w:r>
    </w:p>
    <w:p>
      <w:pPr>
        <w:spacing w:line="360" w:lineRule="auto"/>
        <w:ind w:firstLine="480" w:firstLineChars="200"/>
        <w:rPr>
          <w:rFonts w:ascii="宋体"/>
          <w:sz w:val="24"/>
          <w:szCs w:val="24"/>
          <w:highlight w:val="none"/>
        </w:rPr>
      </w:pPr>
      <w:r>
        <w:rPr>
          <w:rFonts w:hint="eastAsia" w:ascii="宋体" w:hAnsi="宋体"/>
          <w:sz w:val="24"/>
          <w:szCs w:val="24"/>
          <w:highlight w:val="none"/>
        </w:rPr>
        <w:t>二、投资方提供的所有证件和资料均应真实、全面、有效、合法，并保证其认购资金来源合法。</w:t>
      </w: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三、投资方因参与本项目所产生的风险，由投资方自行承担。</w:t>
      </w:r>
    </w:p>
    <w:p>
      <w:pPr>
        <w:spacing w:line="360" w:lineRule="auto"/>
        <w:ind w:right="105" w:rightChars="50" w:firstLine="480" w:firstLineChars="200"/>
        <w:jc w:val="left"/>
        <w:rPr>
          <w:rFonts w:ascii="宋体" w:hAnsi="宋体"/>
          <w:sz w:val="24"/>
          <w:szCs w:val="24"/>
          <w:highlight w:val="none"/>
        </w:rPr>
      </w:pPr>
      <w:r>
        <w:rPr>
          <w:rFonts w:hint="eastAsia" w:ascii="宋体" w:hAnsi="宋体"/>
          <w:sz w:val="24"/>
          <w:szCs w:val="24"/>
          <w:highlight w:val="none"/>
        </w:rPr>
        <w:t>四、在本项目中，如只有一家投资方报名并经确认后，您方报名时提交的《增资认购报价单》报价作为成交价。如有两家或两家以上报名的，应按增资文件规定采取竞价</w:t>
      </w:r>
      <w:r>
        <w:rPr>
          <w:rFonts w:hint="eastAsia" w:ascii="宋体" w:hAnsi="宋体"/>
          <w:sz w:val="24"/>
          <w:highlight w:val="none"/>
        </w:rPr>
        <w:t>方式确定最终投资方</w:t>
      </w:r>
      <w:r>
        <w:rPr>
          <w:rFonts w:hint="eastAsia" w:ascii="宋体" w:hAnsi="宋体"/>
          <w:sz w:val="24"/>
          <w:szCs w:val="24"/>
          <w:highlight w:val="none"/>
        </w:rPr>
        <w:t>，您报名时提交的《增资认购报价单》将被确认为无效。</w:t>
      </w: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五、在本项目中，投资方提交的《增资认购报价单》应当明确所认购</w:t>
      </w:r>
      <w:r>
        <w:rPr>
          <w:rFonts w:hint="eastAsia" w:ascii="宋体" w:hAnsi="宋体"/>
          <w:sz w:val="24"/>
          <w:szCs w:val="24"/>
          <w:highlight w:val="none"/>
          <w:lang w:val="en-US" w:eastAsia="zh-CN"/>
        </w:rPr>
        <w:t>10,457,516</w:t>
      </w:r>
      <w:r>
        <w:rPr>
          <w:rFonts w:hint="eastAsia" w:ascii="宋体" w:hAnsi="宋体"/>
          <w:sz w:val="24"/>
          <w:szCs w:val="24"/>
          <w:highlight w:val="none"/>
          <w:lang w:eastAsia="zh-CN"/>
        </w:rPr>
        <w:t>股</w:t>
      </w:r>
      <w:r>
        <w:rPr>
          <w:rFonts w:ascii="宋体" w:hAnsi="宋体"/>
          <w:sz w:val="24"/>
          <w:szCs w:val="24"/>
          <w:highlight w:val="none"/>
        </w:rPr>
        <w:t>，报价不得低于每股的起始价格</w:t>
      </w:r>
      <w:r>
        <w:rPr>
          <w:rFonts w:hint="eastAsia" w:ascii="宋体" w:hAnsi="宋体"/>
          <w:sz w:val="24"/>
          <w:szCs w:val="24"/>
          <w:highlight w:val="none"/>
        </w:rPr>
        <w:t>7.65元人民币。如低于上述价格或认购</w:t>
      </w:r>
      <w:r>
        <w:rPr>
          <w:rFonts w:ascii="宋体" w:hAnsi="宋体"/>
          <w:sz w:val="24"/>
          <w:szCs w:val="24"/>
          <w:highlight w:val="none"/>
        </w:rPr>
        <w:t>注册资本金额未达</w:t>
      </w:r>
      <w:r>
        <w:rPr>
          <w:rFonts w:hint="eastAsia" w:ascii="宋体" w:hAnsi="宋体"/>
          <w:sz w:val="24"/>
          <w:szCs w:val="24"/>
          <w:highlight w:val="none"/>
          <w:lang w:val="en-US" w:eastAsia="zh-CN"/>
        </w:rPr>
        <w:t>10,457,516</w:t>
      </w:r>
      <w:r>
        <w:rPr>
          <w:rFonts w:hint="eastAsia" w:ascii="宋体" w:hAnsi="宋体"/>
          <w:sz w:val="24"/>
          <w:szCs w:val="24"/>
          <w:highlight w:val="none"/>
          <w:lang w:eastAsia="zh-CN"/>
        </w:rPr>
        <w:t>股</w:t>
      </w:r>
      <w:r>
        <w:rPr>
          <w:rFonts w:ascii="宋体" w:hAnsi="宋体"/>
          <w:sz w:val="24"/>
          <w:szCs w:val="24"/>
          <w:highlight w:val="none"/>
        </w:rPr>
        <w:t>时，您提交的《增资认购报价单》将被确认为无效。您将面临丧失投资资格以及相应的损失。</w:t>
      </w: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六、在本项目中，如投资方有效的《增资认购报价单》所认购的金额未达到</w:t>
      </w:r>
      <w:r>
        <w:rPr>
          <w:rFonts w:hint="eastAsia" w:ascii="宋体" w:hAnsi="宋体"/>
          <w:sz w:val="24"/>
          <w:szCs w:val="24"/>
          <w:highlight w:val="none"/>
          <w:lang w:val="en-US" w:eastAsia="zh-CN"/>
        </w:rPr>
        <w:t>80,000,000.00</w:t>
      </w:r>
      <w:r>
        <w:rPr>
          <w:rFonts w:hint="eastAsia" w:ascii="宋体" w:hAnsi="宋体"/>
          <w:sz w:val="24"/>
          <w:szCs w:val="24"/>
          <w:highlight w:val="none"/>
        </w:rPr>
        <w:t>元时，本次增资活动无条件终止。由此，您可能会面临因本项目终止的交易风险。</w:t>
      </w:r>
    </w:p>
    <w:p>
      <w:pPr>
        <w:spacing w:line="360" w:lineRule="auto"/>
        <w:ind w:firstLine="480" w:firstLineChars="200"/>
        <w:rPr>
          <w:rFonts w:ascii="宋体"/>
          <w:sz w:val="24"/>
          <w:szCs w:val="24"/>
          <w:highlight w:val="none"/>
        </w:rPr>
      </w:pPr>
      <w:r>
        <w:rPr>
          <w:rFonts w:hint="eastAsia" w:ascii="宋体" w:hAnsi="宋体"/>
          <w:sz w:val="24"/>
          <w:szCs w:val="24"/>
          <w:highlight w:val="none"/>
        </w:rPr>
        <w:t>七、请您务必在规定时间内足额缴付保证金到台交所指定账户</w:t>
      </w:r>
      <w:r>
        <w:rPr>
          <w:rFonts w:hint="eastAsia" w:ascii="宋体" w:hAnsi="宋体"/>
          <w:sz w:val="24"/>
          <w:highlight w:val="none"/>
        </w:rPr>
        <w:t>，如异地网银支付的请关注人民银行大额转账的时间要求，提前汇款。否则，会影响您的认购资格。</w:t>
      </w:r>
    </w:p>
    <w:p>
      <w:pPr>
        <w:spacing w:line="360" w:lineRule="auto"/>
        <w:ind w:firstLine="480" w:firstLineChars="200"/>
        <w:rPr>
          <w:rFonts w:ascii="宋体"/>
          <w:sz w:val="24"/>
          <w:szCs w:val="24"/>
          <w:highlight w:val="none"/>
        </w:rPr>
      </w:pPr>
      <w:r>
        <w:rPr>
          <w:rFonts w:hint="eastAsia" w:ascii="宋体" w:hAnsi="宋体"/>
          <w:sz w:val="24"/>
          <w:szCs w:val="24"/>
          <w:highlight w:val="none"/>
        </w:rPr>
        <w:t>八、在本项目中，您一经提交《增资认购报价单》并缴纳保证金后不得随意撤销认购，否则将承担违约责任。由此您可能会面临撤销认购带来的违约责任。</w:t>
      </w:r>
    </w:p>
    <w:p>
      <w:pPr>
        <w:spacing w:line="360" w:lineRule="auto"/>
        <w:ind w:firstLine="480" w:firstLineChars="200"/>
        <w:rPr>
          <w:rFonts w:ascii="宋体"/>
          <w:sz w:val="24"/>
          <w:szCs w:val="24"/>
          <w:highlight w:val="none"/>
        </w:rPr>
      </w:pPr>
      <w:r>
        <w:rPr>
          <w:rFonts w:hint="eastAsia" w:ascii="宋体" w:hAnsi="宋体"/>
          <w:sz w:val="24"/>
          <w:szCs w:val="24"/>
          <w:highlight w:val="none"/>
        </w:rPr>
        <w:t>九、如您违反其他交易规则，也可能会导致交易无效，对此产生的法律后果请您充分知悉。</w:t>
      </w:r>
    </w:p>
    <w:p>
      <w:pPr>
        <w:spacing w:line="360" w:lineRule="auto"/>
        <w:ind w:firstLine="480" w:firstLineChars="200"/>
        <w:jc w:val="left"/>
        <w:rPr>
          <w:rFonts w:ascii="宋体" w:hAnsi="宋体"/>
          <w:sz w:val="24"/>
          <w:szCs w:val="24"/>
          <w:highlight w:val="none"/>
        </w:rPr>
      </w:pPr>
      <w:r>
        <w:rPr>
          <w:rFonts w:hint="eastAsia" w:ascii="宋体" w:hAnsi="宋体"/>
          <w:sz w:val="24"/>
          <w:szCs w:val="24"/>
          <w:highlight w:val="none"/>
        </w:rPr>
        <w:t>十、您在参加增资活动前，应当仔细阅读本告知书及其他交易文件，谨慎作出是否签署交易文件的决策。投资方签署相关文件并缴付保证金后，即表明您已认真阅读并理解本告知书及所有的交易文件，并愿意依法承担相应的投资风险和法律责任。</w:t>
      </w:r>
    </w:p>
    <w:p>
      <w:pPr>
        <w:spacing w:line="360" w:lineRule="auto"/>
        <w:ind w:firstLine="5400" w:firstLineChars="2250"/>
        <w:jc w:val="center"/>
        <w:rPr>
          <w:rFonts w:ascii="宋体"/>
          <w:sz w:val="24"/>
          <w:szCs w:val="24"/>
          <w:highlight w:val="none"/>
        </w:rPr>
      </w:pPr>
      <w:r>
        <w:rPr>
          <w:rFonts w:hint="eastAsia" w:ascii="宋体" w:hAnsi="宋体"/>
          <w:sz w:val="24"/>
          <w:szCs w:val="24"/>
          <w:highlight w:val="none"/>
        </w:rPr>
        <w:t>台州市产权交易所有限公司</w:t>
      </w:r>
    </w:p>
    <w:p>
      <w:pPr>
        <w:spacing w:line="360" w:lineRule="auto"/>
        <w:ind w:firstLine="5400" w:firstLineChars="2250"/>
        <w:jc w:val="center"/>
        <w:rPr>
          <w:rFonts w:ascii="方正姚体" w:hAnsi="宋体" w:eastAsia="方正姚体"/>
          <w:b/>
          <w:kern w:val="0"/>
          <w:sz w:val="40"/>
          <w:highlight w:val="none"/>
        </w:rPr>
      </w:pPr>
      <w:r>
        <w:rPr>
          <w:rFonts w:hint="eastAsia" w:ascii="宋体" w:hAnsi="宋体"/>
          <w:sz w:val="24"/>
          <w:szCs w:val="24"/>
          <w:highlight w:val="none"/>
        </w:rPr>
        <w:t>二〇二〇年</w:t>
      </w:r>
      <w:r>
        <w:rPr>
          <w:rFonts w:hint="eastAsia" w:ascii="宋体" w:hAnsi="宋体"/>
          <w:sz w:val="24"/>
          <w:szCs w:val="24"/>
          <w:highlight w:val="none"/>
          <w:lang w:eastAsia="zh-CN"/>
        </w:rPr>
        <w:t>十一</w:t>
      </w:r>
      <w:r>
        <w:rPr>
          <w:rFonts w:hint="eastAsia" w:ascii="宋体" w:hAnsi="宋体"/>
          <w:sz w:val="24"/>
          <w:szCs w:val="24"/>
          <w:highlight w:val="none"/>
        </w:rPr>
        <w:t>月</w:t>
      </w:r>
      <w:r>
        <w:rPr>
          <w:rFonts w:hint="eastAsia" w:ascii="宋体" w:hAnsi="宋体"/>
          <w:sz w:val="24"/>
          <w:szCs w:val="24"/>
          <w:highlight w:val="none"/>
          <w:lang w:eastAsia="zh-CN"/>
        </w:rPr>
        <w:t>三</w:t>
      </w:r>
      <w:r>
        <w:rPr>
          <w:rFonts w:hint="eastAsia" w:ascii="宋体" w:hAnsi="宋体"/>
          <w:sz w:val="24"/>
          <w:szCs w:val="24"/>
          <w:highlight w:val="none"/>
        </w:rPr>
        <w:t>日</w:t>
      </w:r>
      <w:r>
        <w:rPr>
          <w:rFonts w:ascii="宋体" w:hAnsi="宋体"/>
          <w:b/>
          <w:sz w:val="44"/>
          <w:szCs w:val="72"/>
          <w:highlight w:val="none"/>
        </w:rPr>
        <w:br w:type="page"/>
      </w:r>
    </w:p>
    <w:p>
      <w:pPr>
        <w:pStyle w:val="2"/>
        <w:jc w:val="center"/>
        <w:rPr>
          <w:sz w:val="32"/>
          <w:szCs w:val="32"/>
          <w:highlight w:val="none"/>
        </w:rPr>
      </w:pPr>
      <w:bookmarkStart w:id="10" w:name="_Toc48252220"/>
      <w:r>
        <w:rPr>
          <w:rFonts w:hint="eastAsia"/>
          <w:sz w:val="32"/>
          <w:szCs w:val="32"/>
          <w:highlight w:val="none"/>
        </w:rPr>
        <w:t>意向投资方资格确认通知书</w:t>
      </w:r>
      <w:bookmarkEnd w:id="10"/>
    </w:p>
    <w:p>
      <w:pPr>
        <w:rPr>
          <w:snapToGrid w:val="0"/>
          <w:kern w:val="0"/>
          <w:highlight w:val="none"/>
        </w:rPr>
      </w:pPr>
    </w:p>
    <w:p>
      <w:pPr>
        <w:rPr>
          <w:snapToGrid w:val="0"/>
          <w:kern w:val="0"/>
          <w:highlight w:val="none"/>
        </w:rPr>
      </w:pPr>
    </w:p>
    <w:p>
      <w:pPr>
        <w:spacing w:line="360" w:lineRule="auto"/>
        <w:ind w:firstLine="300"/>
        <w:rPr>
          <w:rFonts w:ascii="宋体"/>
          <w:snapToGrid w:val="0"/>
          <w:kern w:val="0"/>
          <w:sz w:val="24"/>
          <w:highlight w:val="none"/>
          <w:u w:val="single"/>
        </w:rPr>
      </w:pPr>
      <w:r>
        <w:rPr>
          <w:rFonts w:ascii="仿宋_GB2312" w:hAnsi="Tahoma"/>
          <w:kern w:val="0"/>
          <w:sz w:val="30"/>
          <w:highlight w:val="none"/>
          <w:u w:val="single"/>
        </w:rPr>
        <w:t xml:space="preserve">                 </w:t>
      </w:r>
      <w:r>
        <w:rPr>
          <w:rFonts w:hint="eastAsia" w:ascii="仿宋_GB2312" w:hAnsi="Tahoma"/>
          <w:kern w:val="0"/>
          <w:sz w:val="30"/>
          <w:highlight w:val="none"/>
          <w:u w:val="single"/>
        </w:rPr>
        <w:t xml:space="preserve"> </w:t>
      </w:r>
      <w:r>
        <w:rPr>
          <w:rFonts w:ascii="仿宋_GB2312" w:hAnsi="Tahoma"/>
          <w:kern w:val="0"/>
          <w:sz w:val="30"/>
          <w:highlight w:val="none"/>
          <w:u w:val="single"/>
        </w:rPr>
        <w:t xml:space="preserve">       </w:t>
      </w:r>
      <w:r>
        <w:rPr>
          <w:rFonts w:hint="eastAsia" w:ascii="宋体" w:hAnsi="宋体"/>
          <w:snapToGrid w:val="0"/>
          <w:kern w:val="0"/>
          <w:sz w:val="24"/>
          <w:highlight w:val="none"/>
          <w:u w:val="single"/>
        </w:rPr>
        <w:t>：</w:t>
      </w:r>
    </w:p>
    <w:p>
      <w:pPr>
        <w:spacing w:line="360" w:lineRule="auto"/>
        <w:rPr>
          <w:rFonts w:ascii="仿宋_GB2312" w:hAnsi="Tahoma" w:eastAsia="仿宋_GB2312" w:cs="Tahoma"/>
          <w:kern w:val="0"/>
          <w:sz w:val="30"/>
          <w:szCs w:val="30"/>
          <w:highlight w:val="none"/>
        </w:rPr>
      </w:pPr>
    </w:p>
    <w:p>
      <w:pPr>
        <w:snapToGrid w:val="0"/>
        <w:spacing w:line="360" w:lineRule="auto"/>
        <w:ind w:firstLine="600" w:firstLineChars="200"/>
        <w:jc w:val="left"/>
        <w:rPr>
          <w:rFonts w:ascii="仿宋_GB2312" w:hAnsi="Tahoma" w:eastAsia="仿宋_GB2312" w:cs="Tahoma"/>
          <w:kern w:val="0"/>
          <w:sz w:val="30"/>
          <w:szCs w:val="30"/>
          <w:highlight w:val="none"/>
        </w:rPr>
      </w:pPr>
      <w:r>
        <w:rPr>
          <w:rFonts w:hint="eastAsia" w:ascii="仿宋_GB2312" w:hAnsi="Tahoma" w:eastAsia="仿宋_GB2312" w:cs="Tahoma"/>
          <w:kern w:val="0"/>
          <w:sz w:val="30"/>
          <w:szCs w:val="30"/>
          <w:highlight w:val="none"/>
        </w:rPr>
        <w:t>贵方拟投资浙江海正生物材料股份有限公司增资扩股项目，根据贵方所缴的保证金</w:t>
      </w:r>
      <w:r>
        <w:rPr>
          <w:rFonts w:hint="eastAsia" w:ascii="仿宋_GB2312" w:hAnsi="Tahoma" w:eastAsia="仿宋_GB2312" w:cs="Tahoma"/>
          <w:kern w:val="0"/>
          <w:sz w:val="30"/>
          <w:szCs w:val="30"/>
          <w:highlight w:val="none"/>
          <w:u w:val="single"/>
        </w:rPr>
        <w:t>人民币</w:t>
      </w:r>
      <w:r>
        <w:rPr>
          <w:rFonts w:hint="eastAsia" w:ascii="仿宋_GB2312" w:hAnsi="Tahoma" w:eastAsia="仿宋_GB2312" w:cs="Tahoma"/>
          <w:kern w:val="0"/>
          <w:sz w:val="30"/>
          <w:szCs w:val="30"/>
          <w:highlight w:val="none"/>
          <w:u w:val="single"/>
          <w:lang w:val="en-US" w:eastAsia="zh-CN"/>
        </w:rPr>
        <w:t>24,000,000.00</w:t>
      </w:r>
      <w:r>
        <w:rPr>
          <w:rFonts w:hint="eastAsia" w:ascii="仿宋_GB2312" w:hAnsi="Tahoma" w:eastAsia="仿宋_GB2312" w:cs="Tahoma"/>
          <w:kern w:val="0"/>
          <w:sz w:val="30"/>
          <w:szCs w:val="30"/>
          <w:highlight w:val="none"/>
          <w:u w:val="single"/>
        </w:rPr>
        <w:t>元</w:t>
      </w:r>
      <w:r>
        <w:rPr>
          <w:rFonts w:hint="eastAsia" w:ascii="仿宋_GB2312" w:hAnsi="Tahoma" w:eastAsia="仿宋_GB2312" w:cs="Tahoma"/>
          <w:kern w:val="0"/>
          <w:sz w:val="30"/>
          <w:szCs w:val="30"/>
          <w:highlight w:val="none"/>
        </w:rPr>
        <w:t>，符合本次</w:t>
      </w:r>
      <w:r>
        <w:rPr>
          <w:rFonts w:hint="eastAsia" w:ascii="仿宋_GB2312" w:hAnsi="Tahoma" w:eastAsia="仿宋_GB2312" w:cs="Tahoma"/>
          <w:kern w:val="0"/>
          <w:sz w:val="30"/>
          <w:szCs w:val="30"/>
          <w:highlight w:val="none"/>
          <w:u w:val="none"/>
        </w:rPr>
        <w:t>增资</w:t>
      </w:r>
      <w:r>
        <w:rPr>
          <w:rFonts w:hint="eastAsia" w:ascii="仿宋_GB2312" w:hAnsi="Tahoma" w:eastAsia="仿宋_GB2312" w:cs="Tahoma"/>
          <w:kern w:val="0"/>
          <w:sz w:val="30"/>
          <w:szCs w:val="30"/>
          <w:highlight w:val="none"/>
          <w:u w:val="single"/>
          <w:lang w:val="en-US" w:eastAsia="zh-CN"/>
        </w:rPr>
        <w:t>10,457,516</w:t>
      </w:r>
      <w:r>
        <w:rPr>
          <w:rFonts w:hint="eastAsia" w:ascii="仿宋_GB2312" w:hAnsi="Tahoma" w:eastAsia="仿宋_GB2312" w:cs="Tahoma"/>
          <w:kern w:val="0"/>
          <w:sz w:val="30"/>
          <w:szCs w:val="30"/>
          <w:highlight w:val="none"/>
          <w:lang w:eastAsia="zh-CN"/>
        </w:rPr>
        <w:t>股</w:t>
      </w:r>
      <w:r>
        <w:rPr>
          <w:rFonts w:hint="eastAsia" w:ascii="仿宋_GB2312" w:hAnsi="Tahoma" w:eastAsia="仿宋_GB2312" w:cs="Tahoma"/>
          <w:kern w:val="0"/>
          <w:sz w:val="30"/>
          <w:szCs w:val="30"/>
          <w:highlight w:val="none"/>
        </w:rPr>
        <w:t>资格条件，已经融资方审核，通知如下：</w:t>
      </w:r>
    </w:p>
    <w:p>
      <w:pPr>
        <w:spacing w:line="500" w:lineRule="atLeast"/>
        <w:ind w:firstLine="600" w:firstLineChars="200"/>
        <w:rPr>
          <w:rFonts w:ascii="仿宋_GB2312" w:hAnsi="Tahoma" w:eastAsia="仿宋_GB2312" w:cs="Tahoma"/>
          <w:kern w:val="0"/>
          <w:sz w:val="30"/>
          <w:szCs w:val="30"/>
          <w:highlight w:val="none"/>
        </w:rPr>
      </w:pPr>
      <w:r>
        <w:rPr>
          <w:rFonts w:hint="eastAsia" w:ascii="仿宋_GB2312" w:hAnsi="Tahoma" w:eastAsia="仿宋_GB2312" w:cs="Tahoma"/>
          <w:kern w:val="0"/>
          <w:sz w:val="30"/>
          <w:szCs w:val="30"/>
          <w:highlight w:val="none"/>
        </w:rPr>
        <w:t>贵方请持此《资格确认书》参加我所</w:t>
      </w:r>
      <w:r>
        <w:rPr>
          <w:rFonts w:hint="eastAsia" w:ascii="仿宋_GB2312" w:hAnsi="Tahoma" w:eastAsia="仿宋_GB2312" w:cs="Tahoma"/>
          <w:kern w:val="0"/>
          <w:sz w:val="30"/>
          <w:szCs w:val="30"/>
          <w:highlight w:val="none"/>
          <w:u w:val="single"/>
        </w:rPr>
        <w:t>于2020年</w:t>
      </w:r>
      <w:r>
        <w:rPr>
          <w:rFonts w:hint="eastAsia" w:ascii="仿宋_GB2312" w:hAnsi="Tahoma" w:eastAsia="仿宋_GB2312" w:cs="Tahoma"/>
          <w:kern w:val="0"/>
          <w:sz w:val="30"/>
          <w:szCs w:val="30"/>
          <w:highlight w:val="none"/>
          <w:u w:val="single"/>
          <w:lang w:val="en-US" w:eastAsia="zh-CN"/>
        </w:rPr>
        <w:t>12</w:t>
      </w:r>
      <w:r>
        <w:rPr>
          <w:rFonts w:hint="eastAsia" w:ascii="仿宋_GB2312" w:hAnsi="Tahoma" w:eastAsia="仿宋_GB2312" w:cs="Tahoma"/>
          <w:kern w:val="0"/>
          <w:sz w:val="30"/>
          <w:szCs w:val="30"/>
          <w:highlight w:val="none"/>
          <w:u w:val="single"/>
        </w:rPr>
        <w:t>月</w:t>
      </w:r>
      <w:r>
        <w:rPr>
          <w:rFonts w:hint="eastAsia" w:ascii="仿宋_GB2312" w:hAnsi="Tahoma" w:eastAsia="仿宋_GB2312" w:cs="Tahoma"/>
          <w:kern w:val="0"/>
          <w:sz w:val="30"/>
          <w:szCs w:val="30"/>
          <w:highlight w:val="none"/>
          <w:u w:val="single"/>
          <w:lang w:val="en-US" w:eastAsia="zh-CN"/>
        </w:rPr>
        <w:t>29</w:t>
      </w:r>
      <w:r>
        <w:rPr>
          <w:rFonts w:hint="eastAsia" w:ascii="仿宋_GB2312" w:hAnsi="Tahoma" w:eastAsia="仿宋_GB2312" w:cs="Tahoma"/>
          <w:kern w:val="0"/>
          <w:sz w:val="30"/>
          <w:szCs w:val="30"/>
          <w:highlight w:val="none"/>
          <w:u w:val="single"/>
        </w:rPr>
        <w:t>日</w:t>
      </w:r>
      <w:r>
        <w:rPr>
          <w:rFonts w:ascii="仿宋_GB2312" w:hAnsi="Tahoma" w:eastAsia="仿宋_GB2312" w:cs="Tahoma"/>
          <w:kern w:val="0"/>
          <w:sz w:val="30"/>
          <w:szCs w:val="30"/>
          <w:highlight w:val="none"/>
          <w:u w:val="single"/>
        </w:rPr>
        <w:t>(</w:t>
      </w:r>
      <w:r>
        <w:rPr>
          <w:rFonts w:hint="eastAsia" w:ascii="仿宋_GB2312" w:hAnsi="Tahoma" w:eastAsia="仿宋_GB2312" w:cs="Tahoma"/>
          <w:kern w:val="0"/>
          <w:sz w:val="30"/>
          <w:szCs w:val="30"/>
          <w:highlight w:val="none"/>
          <w:u w:val="single"/>
        </w:rPr>
        <w:t>星期</w:t>
      </w:r>
      <w:r>
        <w:rPr>
          <w:rFonts w:hint="eastAsia" w:ascii="仿宋_GB2312" w:hAnsi="Tahoma" w:eastAsia="仿宋_GB2312" w:cs="Tahoma"/>
          <w:kern w:val="0"/>
          <w:sz w:val="30"/>
          <w:szCs w:val="30"/>
          <w:highlight w:val="none"/>
          <w:u w:val="single"/>
          <w:lang w:eastAsia="zh-CN"/>
        </w:rPr>
        <w:t>二</w:t>
      </w:r>
      <w:r>
        <w:rPr>
          <w:rFonts w:ascii="仿宋_GB2312" w:hAnsi="Tahoma"/>
          <w:kern w:val="0"/>
          <w:sz w:val="30"/>
          <w:highlight w:val="none"/>
          <w:u w:val="single"/>
        </w:rPr>
        <w:t>)</w:t>
      </w:r>
      <w:r>
        <w:rPr>
          <w:rFonts w:hint="eastAsia" w:ascii="仿宋_GB2312" w:hAnsi="Tahoma" w:eastAsia="仿宋_GB2312" w:cs="Tahoma"/>
          <w:kern w:val="0"/>
          <w:sz w:val="30"/>
          <w:szCs w:val="30"/>
          <w:highlight w:val="none"/>
          <w:u w:val="single"/>
        </w:rPr>
        <w:t>上午9：30时</w:t>
      </w:r>
      <w:r>
        <w:rPr>
          <w:rFonts w:hint="eastAsia" w:ascii="仿宋_GB2312" w:hAnsi="Tahoma" w:eastAsia="仿宋_GB2312" w:cs="Tahoma"/>
          <w:kern w:val="0"/>
          <w:sz w:val="30"/>
          <w:szCs w:val="30"/>
          <w:highlight w:val="none"/>
        </w:rPr>
        <w:t>，在台州市产权交易所</w:t>
      </w:r>
      <w:bookmarkStart w:id="11" w:name="dizhi"/>
      <w:r>
        <w:rPr>
          <w:rFonts w:hint="eastAsia" w:ascii="仿宋_GB2312" w:hAnsi="Tahoma" w:eastAsia="仿宋_GB2312" w:cs="Tahoma"/>
          <w:kern w:val="0"/>
          <w:sz w:val="30"/>
          <w:szCs w:val="30"/>
          <w:highlight w:val="none"/>
          <w:lang w:eastAsia="zh-CN"/>
        </w:rPr>
        <w:t>有限公司</w:t>
      </w:r>
      <w:r>
        <w:rPr>
          <w:rFonts w:hint="eastAsia" w:ascii="仿宋_GB2312" w:hAnsi="Tahoma" w:eastAsia="仿宋_GB2312" w:cs="Tahoma"/>
          <w:kern w:val="0"/>
          <w:sz w:val="30"/>
          <w:szCs w:val="30"/>
          <w:highlight w:val="none"/>
        </w:rPr>
        <w:t>（台州市市府大道777号浙江民泰商业银行五楼）</w:t>
      </w:r>
      <w:bookmarkEnd w:id="11"/>
      <w:r>
        <w:rPr>
          <w:rFonts w:hint="eastAsia" w:ascii="仿宋_GB2312" w:hAnsi="Tahoma" w:eastAsia="仿宋_GB2312" w:cs="Tahoma"/>
          <w:kern w:val="0"/>
          <w:sz w:val="30"/>
          <w:szCs w:val="30"/>
          <w:highlight w:val="none"/>
        </w:rPr>
        <w:t>举行的浙江海正生物材料股份有限公司新增</w:t>
      </w:r>
      <w:r>
        <w:rPr>
          <w:rFonts w:hint="eastAsia" w:ascii="仿宋_GB2312" w:hAnsi="Tahoma" w:eastAsia="仿宋_GB2312" w:cs="Tahoma"/>
          <w:kern w:val="0"/>
          <w:sz w:val="30"/>
          <w:szCs w:val="30"/>
          <w:highlight w:val="none"/>
          <w:lang w:val="en-US" w:eastAsia="zh-CN"/>
        </w:rPr>
        <w:t>10,457,516</w:t>
      </w:r>
      <w:r>
        <w:rPr>
          <w:rFonts w:hint="eastAsia" w:ascii="仿宋_GB2312" w:hAnsi="Tahoma" w:eastAsia="仿宋_GB2312" w:cs="Tahoma"/>
          <w:kern w:val="0"/>
          <w:sz w:val="30"/>
          <w:szCs w:val="30"/>
          <w:highlight w:val="none"/>
          <w:lang w:eastAsia="zh-CN"/>
        </w:rPr>
        <w:t>股</w:t>
      </w:r>
      <w:r>
        <w:rPr>
          <w:rFonts w:hint="eastAsia" w:ascii="仿宋_GB2312" w:hAnsi="Tahoma" w:eastAsia="仿宋_GB2312" w:cs="Tahoma"/>
          <w:kern w:val="0"/>
          <w:sz w:val="30"/>
          <w:szCs w:val="30"/>
          <w:highlight w:val="none"/>
        </w:rPr>
        <w:t>项目活动。</w:t>
      </w:r>
    </w:p>
    <w:p>
      <w:pPr>
        <w:snapToGrid w:val="0"/>
        <w:spacing w:line="360" w:lineRule="auto"/>
        <w:ind w:firstLine="600" w:firstLineChars="200"/>
        <w:rPr>
          <w:rFonts w:ascii="仿宋_GB2312" w:hAnsi="Tahoma" w:eastAsia="仿宋_GB2312" w:cs="Tahoma"/>
          <w:kern w:val="0"/>
          <w:sz w:val="30"/>
          <w:szCs w:val="30"/>
          <w:highlight w:val="none"/>
        </w:rPr>
      </w:pPr>
    </w:p>
    <w:p>
      <w:pPr>
        <w:snapToGrid w:val="0"/>
        <w:spacing w:line="360" w:lineRule="auto"/>
        <w:ind w:firstLine="600" w:firstLineChars="200"/>
        <w:rPr>
          <w:rFonts w:ascii="仿宋_GB2312" w:hAnsi="Tahoma" w:eastAsia="仿宋_GB2312" w:cs="Tahoma"/>
          <w:kern w:val="0"/>
          <w:sz w:val="30"/>
          <w:szCs w:val="30"/>
          <w:highlight w:val="none"/>
        </w:rPr>
      </w:pPr>
      <w:r>
        <w:rPr>
          <w:rFonts w:hint="eastAsia" w:ascii="仿宋_GB2312" w:hAnsi="Tahoma" w:eastAsia="仿宋_GB2312" w:cs="Tahoma"/>
          <w:kern w:val="0"/>
          <w:sz w:val="30"/>
          <w:szCs w:val="30"/>
          <w:highlight w:val="none"/>
        </w:rPr>
        <w:t>特此通知。</w:t>
      </w:r>
    </w:p>
    <w:p>
      <w:pPr>
        <w:snapToGrid w:val="0"/>
        <w:spacing w:line="360" w:lineRule="auto"/>
        <w:ind w:firstLine="600" w:firstLineChars="200"/>
        <w:rPr>
          <w:rFonts w:ascii="宋体"/>
          <w:snapToGrid w:val="0"/>
          <w:kern w:val="0"/>
          <w:sz w:val="30"/>
          <w:szCs w:val="30"/>
          <w:highlight w:val="none"/>
        </w:rPr>
      </w:pPr>
    </w:p>
    <w:p>
      <w:pPr>
        <w:snapToGrid w:val="0"/>
        <w:spacing w:line="360" w:lineRule="auto"/>
        <w:ind w:firstLine="600" w:firstLineChars="200"/>
        <w:rPr>
          <w:rFonts w:ascii="宋体"/>
          <w:snapToGrid w:val="0"/>
          <w:kern w:val="0"/>
          <w:sz w:val="30"/>
          <w:szCs w:val="30"/>
          <w:highlight w:val="none"/>
        </w:rPr>
      </w:pPr>
    </w:p>
    <w:p>
      <w:pPr>
        <w:snapToGrid w:val="0"/>
        <w:spacing w:line="360" w:lineRule="auto"/>
        <w:ind w:firstLine="435"/>
        <w:jc w:val="center"/>
        <w:rPr>
          <w:rFonts w:ascii="宋体"/>
          <w:snapToGrid w:val="0"/>
          <w:kern w:val="0"/>
          <w:sz w:val="30"/>
          <w:szCs w:val="30"/>
          <w:highlight w:val="none"/>
        </w:rPr>
      </w:pPr>
      <w:r>
        <w:rPr>
          <w:rFonts w:ascii="宋体" w:hAnsi="宋体"/>
          <w:snapToGrid w:val="0"/>
          <w:kern w:val="0"/>
          <w:sz w:val="30"/>
          <w:szCs w:val="30"/>
          <w:highlight w:val="none"/>
        </w:rPr>
        <w:t xml:space="preserve">                       </w:t>
      </w:r>
      <w:r>
        <w:rPr>
          <w:rFonts w:hint="eastAsia" w:ascii="宋体" w:hAnsi="宋体"/>
          <w:snapToGrid w:val="0"/>
          <w:kern w:val="0"/>
          <w:sz w:val="30"/>
          <w:szCs w:val="30"/>
          <w:highlight w:val="none"/>
        </w:rPr>
        <w:t>产权交易机构（盖章）</w:t>
      </w:r>
    </w:p>
    <w:p>
      <w:pPr>
        <w:snapToGrid w:val="0"/>
        <w:spacing w:line="360" w:lineRule="auto"/>
        <w:ind w:firstLine="435"/>
        <w:rPr>
          <w:rFonts w:ascii="宋体"/>
          <w:snapToGrid w:val="0"/>
          <w:kern w:val="0"/>
          <w:sz w:val="30"/>
          <w:szCs w:val="30"/>
          <w:highlight w:val="none"/>
        </w:rPr>
      </w:pPr>
    </w:p>
    <w:p>
      <w:pPr>
        <w:snapToGrid w:val="0"/>
        <w:spacing w:line="360" w:lineRule="auto"/>
        <w:ind w:firstLine="6465" w:firstLineChars="2155"/>
        <w:rPr>
          <w:rFonts w:ascii="宋体"/>
          <w:snapToGrid w:val="0"/>
          <w:kern w:val="0"/>
          <w:sz w:val="30"/>
          <w:szCs w:val="30"/>
          <w:highlight w:val="none"/>
        </w:rPr>
      </w:pPr>
      <w:r>
        <w:rPr>
          <w:rFonts w:hint="eastAsia" w:ascii="宋体" w:hAnsi="宋体"/>
          <w:kern w:val="0"/>
          <w:sz w:val="30"/>
          <w:highlight w:val="none"/>
        </w:rPr>
        <w:t>年</w:t>
      </w:r>
      <w:r>
        <w:rPr>
          <w:rFonts w:ascii="宋体" w:hAnsi="宋体"/>
          <w:kern w:val="0"/>
          <w:sz w:val="30"/>
          <w:highlight w:val="none"/>
        </w:rPr>
        <w:t xml:space="preserve"> </w:t>
      </w:r>
      <w:r>
        <w:rPr>
          <w:rFonts w:hint="eastAsia" w:ascii="宋体" w:hAnsi="宋体"/>
          <w:kern w:val="0"/>
          <w:sz w:val="30"/>
          <w:highlight w:val="none"/>
        </w:rPr>
        <w:t xml:space="preserve"> </w:t>
      </w:r>
      <w:r>
        <w:rPr>
          <w:rFonts w:ascii="宋体" w:hAnsi="宋体"/>
          <w:kern w:val="0"/>
          <w:sz w:val="30"/>
          <w:highlight w:val="none"/>
        </w:rPr>
        <w:t xml:space="preserve"> </w:t>
      </w:r>
      <w:r>
        <w:rPr>
          <w:rFonts w:hint="eastAsia" w:ascii="宋体" w:hAnsi="宋体"/>
          <w:kern w:val="0"/>
          <w:sz w:val="30"/>
          <w:highlight w:val="none"/>
        </w:rPr>
        <w:t>月</w:t>
      </w:r>
      <w:r>
        <w:rPr>
          <w:rFonts w:ascii="宋体" w:hAnsi="宋体"/>
          <w:kern w:val="0"/>
          <w:sz w:val="30"/>
          <w:highlight w:val="none"/>
        </w:rPr>
        <w:t xml:space="preserve">  </w:t>
      </w:r>
      <w:r>
        <w:rPr>
          <w:rFonts w:ascii="宋体" w:hAnsi="宋体"/>
          <w:snapToGrid w:val="0"/>
          <w:kern w:val="0"/>
          <w:sz w:val="30"/>
          <w:szCs w:val="30"/>
          <w:highlight w:val="none"/>
        </w:rPr>
        <w:t xml:space="preserve"> </w:t>
      </w:r>
      <w:r>
        <w:rPr>
          <w:rFonts w:hint="eastAsia" w:ascii="宋体" w:hAnsi="宋体"/>
          <w:kern w:val="0"/>
          <w:sz w:val="30"/>
          <w:highlight w:val="none"/>
        </w:rPr>
        <w:t>日</w:t>
      </w:r>
    </w:p>
    <w:p>
      <w:pPr>
        <w:spacing w:line="500" w:lineRule="atLeast"/>
        <w:ind w:firstLine="1084" w:firstLineChars="450"/>
        <w:jc w:val="center"/>
        <w:rPr>
          <w:rFonts w:ascii="宋体"/>
          <w:b/>
          <w:sz w:val="24"/>
          <w:szCs w:val="24"/>
          <w:highlight w:val="none"/>
        </w:rPr>
      </w:pPr>
    </w:p>
    <w:p>
      <w:pPr>
        <w:spacing w:line="500" w:lineRule="atLeast"/>
        <w:rPr>
          <w:rFonts w:ascii="宋体"/>
          <w:b/>
          <w:sz w:val="24"/>
          <w:szCs w:val="24"/>
          <w:highlight w:val="none"/>
        </w:rPr>
      </w:pPr>
    </w:p>
    <w:p>
      <w:pPr>
        <w:pStyle w:val="2"/>
        <w:jc w:val="center"/>
        <w:rPr>
          <w:sz w:val="32"/>
          <w:szCs w:val="32"/>
          <w:highlight w:val="none"/>
        </w:rPr>
      </w:pPr>
      <w:r>
        <w:rPr>
          <w:rFonts w:ascii="宋体" w:hAnsi="宋体"/>
          <w:b w:val="0"/>
          <w:sz w:val="24"/>
          <w:szCs w:val="24"/>
          <w:highlight w:val="none"/>
        </w:rPr>
        <w:br w:type="page"/>
      </w:r>
      <w:bookmarkStart w:id="12" w:name="_Toc48252221"/>
      <w:r>
        <w:rPr>
          <w:rFonts w:hint="eastAsia"/>
          <w:sz w:val="32"/>
          <w:szCs w:val="32"/>
          <w:highlight w:val="none"/>
        </w:rPr>
        <w:t>增资认购报价单</w:t>
      </w:r>
      <w:bookmarkEnd w:id="12"/>
    </w:p>
    <w:p>
      <w:pPr>
        <w:spacing w:line="520" w:lineRule="exact"/>
        <w:ind w:firstLine="480" w:firstLineChars="200"/>
        <w:rPr>
          <w:rFonts w:ascii="宋体" w:hAnsi="宋体"/>
          <w:sz w:val="24"/>
          <w:szCs w:val="24"/>
          <w:highlight w:val="none"/>
        </w:rPr>
      </w:pPr>
      <w:r>
        <w:rPr>
          <w:rFonts w:hint="eastAsia" w:ascii="宋体" w:hAnsi="宋体"/>
          <w:sz w:val="24"/>
          <w:szCs w:val="24"/>
          <w:highlight w:val="none"/>
        </w:rPr>
        <w:t>台州市产权交易所有限公司：</w:t>
      </w:r>
    </w:p>
    <w:p>
      <w:pPr>
        <w:pStyle w:val="8"/>
        <w:numPr>
          <w:ilvl w:val="0"/>
          <w:numId w:val="4"/>
        </w:numPr>
        <w:spacing w:line="520" w:lineRule="exact"/>
        <w:ind w:left="0" w:firstLine="480"/>
        <w:rPr>
          <w:rFonts w:ascii="宋体" w:hAnsi="宋体" w:eastAsia="宋体"/>
          <w:sz w:val="24"/>
          <w:highlight w:val="none"/>
        </w:rPr>
      </w:pPr>
      <w:r>
        <w:rPr>
          <w:rFonts w:hint="eastAsia" w:ascii="宋体" w:hAnsi="宋体" w:eastAsia="宋体"/>
          <w:sz w:val="24"/>
          <w:highlight w:val="none"/>
        </w:rPr>
        <w:t>经认真阅读编号为台交所挂【2020】</w:t>
      </w:r>
      <w:r>
        <w:rPr>
          <w:rFonts w:hint="eastAsia" w:ascii="宋体" w:hAnsi="宋体" w:eastAsia="宋体"/>
          <w:sz w:val="24"/>
          <w:highlight w:val="none"/>
          <w:lang w:val="en-US" w:eastAsia="zh-CN"/>
        </w:rPr>
        <w:t>16</w:t>
      </w:r>
      <w:r>
        <w:rPr>
          <w:rFonts w:hint="eastAsia" w:ascii="宋体" w:hAnsi="宋体" w:eastAsia="宋体"/>
          <w:sz w:val="24"/>
          <w:highlight w:val="none"/>
        </w:rPr>
        <w:t>号《浙江海正生物材料股份有限公司新增</w:t>
      </w:r>
      <w:r>
        <w:rPr>
          <w:rFonts w:hint="eastAsia" w:ascii="宋体" w:hAnsi="宋体" w:eastAsia="宋体"/>
          <w:sz w:val="24"/>
          <w:highlight w:val="none"/>
          <w:lang w:val="en-US" w:eastAsia="zh-CN"/>
        </w:rPr>
        <w:t>10,457,516</w:t>
      </w:r>
      <w:r>
        <w:rPr>
          <w:rFonts w:hint="eastAsia" w:ascii="宋体" w:hAnsi="宋体" w:eastAsia="宋体"/>
          <w:sz w:val="24"/>
          <w:highlight w:val="none"/>
          <w:lang w:eastAsia="zh-CN"/>
        </w:rPr>
        <w:t>股</w:t>
      </w:r>
      <w:r>
        <w:rPr>
          <w:rFonts w:hint="eastAsia" w:ascii="宋体" w:hAnsi="宋体" w:eastAsia="宋体"/>
          <w:sz w:val="24"/>
          <w:highlight w:val="none"/>
        </w:rPr>
        <w:t>项目文件》，我方已充分知悉和理解该增资扩股项目情况及相关风险，同意按照台州市产权交易所</w:t>
      </w:r>
      <w:r>
        <w:rPr>
          <w:rFonts w:hint="eastAsia" w:ascii="宋体" w:hAnsi="宋体" w:eastAsia="宋体"/>
          <w:sz w:val="24"/>
          <w:highlight w:val="none"/>
          <w:lang w:eastAsia="zh-CN"/>
        </w:rPr>
        <w:t>有限公司</w:t>
      </w:r>
      <w:r>
        <w:rPr>
          <w:rFonts w:hint="eastAsia" w:ascii="宋体" w:hAnsi="宋体" w:eastAsia="宋体"/>
          <w:sz w:val="24"/>
          <w:highlight w:val="none"/>
        </w:rPr>
        <w:t>规则和公告的投资方择优选择程序参与本次增资认购活动，并接受程序选择结果和承担由此产生的一切后果。在此过程中，如我方有违法违规行为，我方愿意承担相应法律责任，并赔偿相关方损失，包括扣除已缴纳的保证金和承担违约责任等。我方对此次增资报价为：</w:t>
      </w:r>
    </w:p>
    <w:p>
      <w:pPr>
        <w:pStyle w:val="8"/>
        <w:spacing w:line="520" w:lineRule="exact"/>
        <w:ind w:firstLine="480"/>
        <w:rPr>
          <w:rFonts w:ascii="宋体" w:hAnsi="宋体" w:eastAsia="宋体"/>
          <w:sz w:val="24"/>
          <w:highlight w:val="none"/>
          <w:u w:val="single"/>
        </w:rPr>
      </w:pPr>
      <w:r>
        <w:rPr>
          <w:rFonts w:hint="eastAsia" w:ascii="宋体" w:hAnsi="宋体" w:eastAsia="宋体"/>
          <w:sz w:val="24"/>
          <w:highlight w:val="none"/>
          <w:u w:val="single"/>
        </w:rPr>
        <w:t>报价：</w:t>
      </w:r>
      <w:r>
        <w:rPr>
          <w:rFonts w:hint="eastAsia" w:ascii="宋体" w:hAnsi="宋体" w:eastAsia="宋体"/>
          <w:sz w:val="24"/>
          <w:highlight w:val="none"/>
          <w:u w:val="single"/>
          <w:lang w:val="en-US" w:eastAsia="zh-CN"/>
        </w:rPr>
        <w:t>认购股数10,457,516</w:t>
      </w:r>
      <w:r>
        <w:rPr>
          <w:rFonts w:hint="eastAsia" w:ascii="宋体" w:hAnsi="宋体" w:eastAsia="宋体"/>
          <w:sz w:val="24"/>
          <w:highlight w:val="none"/>
          <w:u w:val="single"/>
          <w:lang w:eastAsia="zh-CN"/>
        </w:rPr>
        <w:t>股</w:t>
      </w:r>
      <w:r>
        <w:rPr>
          <w:rFonts w:hint="eastAsia" w:ascii="宋体" w:hAnsi="宋体" w:eastAsia="宋体"/>
          <w:sz w:val="24"/>
          <w:highlight w:val="none"/>
          <w:u w:val="single"/>
        </w:rPr>
        <w:t>，</w:t>
      </w:r>
      <w:r>
        <w:rPr>
          <w:rFonts w:hint="eastAsia" w:ascii="宋体" w:hAnsi="宋体" w:eastAsia="宋体"/>
          <w:sz w:val="24"/>
          <w:highlight w:val="none"/>
          <w:u w:val="single"/>
          <w:lang w:val="en-US" w:eastAsia="zh-CN"/>
        </w:rPr>
        <w:t>认购金额80,000,000.00（人民币），</w:t>
      </w:r>
      <w:r>
        <w:rPr>
          <w:rFonts w:hint="eastAsia" w:ascii="宋体" w:hAnsi="宋体" w:eastAsia="宋体"/>
          <w:sz w:val="24"/>
          <w:highlight w:val="none"/>
          <w:u w:val="single"/>
        </w:rPr>
        <w:t>单价 7.65元/</w:t>
      </w:r>
      <w:r>
        <w:rPr>
          <w:rFonts w:hint="eastAsia" w:ascii="宋体" w:hAnsi="宋体" w:eastAsia="宋体"/>
          <w:sz w:val="24"/>
          <w:highlight w:val="none"/>
          <w:u w:val="single"/>
          <w:lang w:eastAsia="zh-CN"/>
        </w:rPr>
        <w:t>股</w:t>
      </w:r>
      <w:r>
        <w:rPr>
          <w:rFonts w:hint="eastAsia" w:ascii="宋体" w:hAnsi="宋体" w:eastAsia="宋体"/>
          <w:sz w:val="24"/>
          <w:highlight w:val="none"/>
          <w:u w:val="single"/>
        </w:rPr>
        <w:t>（人民币）。</w:t>
      </w:r>
    </w:p>
    <w:p>
      <w:pPr>
        <w:pStyle w:val="10"/>
        <w:spacing w:after="0" w:line="520" w:lineRule="exact"/>
        <w:ind w:leftChars="0" w:firstLine="480" w:firstLineChars="200"/>
        <w:rPr>
          <w:rFonts w:ascii="宋体" w:hAnsi="宋体"/>
          <w:sz w:val="24"/>
          <w:highlight w:val="none"/>
        </w:rPr>
      </w:pPr>
      <w:r>
        <w:rPr>
          <w:rFonts w:hint="eastAsia" w:ascii="宋体" w:hAnsi="宋体"/>
          <w:sz w:val="24"/>
          <w:highlight w:val="none"/>
        </w:rPr>
        <w:t>二、一旦我方有幸成为最终投资方，我方保证：</w:t>
      </w:r>
    </w:p>
    <w:p>
      <w:pPr>
        <w:pStyle w:val="10"/>
        <w:spacing w:after="0" w:line="520" w:lineRule="exact"/>
        <w:ind w:left="0" w:leftChars="0" w:firstLine="480" w:firstLineChars="200"/>
        <w:rPr>
          <w:rFonts w:ascii="宋体" w:hAnsi="宋体"/>
          <w:sz w:val="24"/>
          <w:highlight w:val="none"/>
        </w:rPr>
      </w:pPr>
      <w:r>
        <w:rPr>
          <w:rFonts w:hint="eastAsia" w:ascii="宋体" w:hAnsi="宋体"/>
          <w:sz w:val="24"/>
          <w:highlight w:val="none"/>
        </w:rPr>
        <w:t>1、当场签订《增资确认书》和《增资扩股协议》；</w:t>
      </w:r>
    </w:p>
    <w:p>
      <w:pPr>
        <w:pStyle w:val="10"/>
        <w:spacing w:after="0" w:line="520" w:lineRule="exact"/>
        <w:ind w:left="0" w:leftChars="0" w:firstLine="480" w:firstLineChars="200"/>
        <w:rPr>
          <w:rFonts w:ascii="宋体" w:hAnsi="宋体"/>
          <w:sz w:val="24"/>
          <w:highlight w:val="none"/>
        </w:rPr>
      </w:pPr>
      <w:r>
        <w:rPr>
          <w:rFonts w:hint="eastAsia" w:ascii="宋体" w:hAnsi="宋体"/>
          <w:sz w:val="24"/>
          <w:highlight w:val="none"/>
        </w:rPr>
        <w:t>2、如只有我方一家报名并经确认后，我方接受本《增资认购报价单》报价作为成交价。</w:t>
      </w:r>
    </w:p>
    <w:p>
      <w:pPr>
        <w:spacing w:line="520" w:lineRule="exact"/>
        <w:ind w:right="105" w:rightChars="50" w:firstLine="480" w:firstLineChars="200"/>
        <w:jc w:val="left"/>
        <w:rPr>
          <w:rFonts w:ascii="宋体" w:hAnsi="宋体"/>
          <w:sz w:val="24"/>
          <w:szCs w:val="24"/>
          <w:highlight w:val="none"/>
        </w:rPr>
      </w:pPr>
      <w:r>
        <w:rPr>
          <w:rFonts w:hint="eastAsia" w:ascii="宋体" w:hAnsi="宋体"/>
          <w:sz w:val="24"/>
          <w:szCs w:val="24"/>
          <w:highlight w:val="none"/>
        </w:rPr>
        <w:t>3、如有两家或两家以上报名的，我方愿意按增资文件规定采取竞价方式确定最终投资方。</w:t>
      </w:r>
    </w:p>
    <w:p>
      <w:pPr>
        <w:pStyle w:val="10"/>
        <w:spacing w:after="0" w:line="520" w:lineRule="exact"/>
        <w:ind w:left="0" w:leftChars="0" w:firstLine="480" w:firstLineChars="200"/>
        <w:rPr>
          <w:rFonts w:ascii="宋体" w:hAnsi="宋体"/>
          <w:sz w:val="24"/>
          <w:highlight w:val="none"/>
        </w:rPr>
      </w:pPr>
      <w:r>
        <w:rPr>
          <w:rFonts w:hint="eastAsia" w:ascii="宋体" w:hAnsi="宋体"/>
          <w:sz w:val="24"/>
          <w:highlight w:val="none"/>
        </w:rPr>
        <w:t>4、</w:t>
      </w:r>
      <w:r>
        <w:rPr>
          <w:rFonts w:hint="eastAsia" w:ascii="宋体" w:hAnsi="宋体"/>
          <w:sz w:val="24"/>
          <w:highlight w:val="none"/>
          <w:lang w:eastAsia="zh-CN"/>
        </w:rPr>
        <w:t>增资协议</w:t>
      </w:r>
      <w:r>
        <w:rPr>
          <w:rFonts w:hint="eastAsia" w:ascii="宋体" w:hAnsi="宋体"/>
          <w:sz w:val="24"/>
          <w:highlight w:val="none"/>
        </w:rPr>
        <w:t>签署</w:t>
      </w:r>
      <w:r>
        <w:rPr>
          <w:rFonts w:ascii="宋体" w:hAnsi="宋体"/>
          <w:sz w:val="24"/>
          <w:highlight w:val="none"/>
        </w:rPr>
        <w:t>后</w:t>
      </w:r>
      <w:r>
        <w:rPr>
          <w:rFonts w:hint="eastAsia" w:ascii="宋体" w:hAnsi="宋体"/>
          <w:sz w:val="24"/>
          <w:highlight w:val="none"/>
          <w:lang w:val="en-US" w:eastAsia="zh-CN"/>
        </w:rPr>
        <w:t>10</w:t>
      </w:r>
      <w:r>
        <w:rPr>
          <w:rFonts w:hint="eastAsia" w:ascii="宋体" w:hAnsi="宋体"/>
          <w:sz w:val="24"/>
          <w:highlight w:val="none"/>
        </w:rPr>
        <w:t>个工作日内一次性支付全部</w:t>
      </w:r>
      <w:r>
        <w:rPr>
          <w:rFonts w:hint="eastAsia" w:ascii="宋体" w:hAnsi="宋体"/>
          <w:sz w:val="24"/>
          <w:highlight w:val="none"/>
          <w:lang w:eastAsia="zh-CN"/>
        </w:rPr>
        <w:t>剩余增</w:t>
      </w:r>
      <w:r>
        <w:rPr>
          <w:rFonts w:hint="eastAsia" w:ascii="宋体" w:hAnsi="宋体"/>
          <w:sz w:val="24"/>
          <w:highlight w:val="none"/>
        </w:rPr>
        <w:t>资款（投资方</w:t>
      </w:r>
      <w:r>
        <w:rPr>
          <w:rFonts w:ascii="宋体" w:hAnsi="宋体"/>
          <w:sz w:val="24"/>
          <w:highlight w:val="none"/>
        </w:rPr>
        <w:t>先期汇入产交所的竞买保证金应转</w:t>
      </w:r>
      <w:r>
        <w:rPr>
          <w:rFonts w:hint="eastAsia" w:ascii="宋体" w:hAnsi="宋体"/>
          <w:sz w:val="24"/>
          <w:highlight w:val="none"/>
        </w:rPr>
        <w:t>为</w:t>
      </w:r>
      <w:r>
        <w:rPr>
          <w:rFonts w:hint="eastAsia" w:ascii="宋体" w:hAnsi="宋体"/>
          <w:sz w:val="24"/>
          <w:highlight w:val="none"/>
          <w:lang w:val="en-US" w:eastAsia="zh-CN"/>
        </w:rPr>
        <w:t>等</w:t>
      </w:r>
      <w:r>
        <w:rPr>
          <w:rFonts w:ascii="宋体" w:hAnsi="宋体"/>
          <w:sz w:val="24"/>
          <w:highlight w:val="none"/>
        </w:rPr>
        <w:t>额投资款）</w:t>
      </w:r>
      <w:r>
        <w:rPr>
          <w:rFonts w:hint="eastAsia" w:ascii="宋体" w:hAnsi="宋体"/>
          <w:sz w:val="24"/>
          <w:highlight w:val="none"/>
        </w:rPr>
        <w:t>，</w:t>
      </w:r>
      <w:r>
        <w:rPr>
          <w:rFonts w:ascii="宋体" w:hAnsi="宋体"/>
          <w:sz w:val="24"/>
          <w:highlight w:val="none"/>
        </w:rPr>
        <w:t>并于</w:t>
      </w:r>
      <w:r>
        <w:rPr>
          <w:rFonts w:hint="eastAsia" w:ascii="宋体" w:hAnsi="宋体"/>
          <w:sz w:val="24"/>
          <w:highlight w:val="none"/>
          <w:lang w:eastAsia="zh-CN"/>
        </w:rPr>
        <w:t>增资协议</w:t>
      </w:r>
      <w:r>
        <w:rPr>
          <w:rFonts w:hint="eastAsia" w:ascii="宋体" w:hAnsi="宋体"/>
          <w:sz w:val="24"/>
          <w:highlight w:val="none"/>
        </w:rPr>
        <w:t>签署</w:t>
      </w:r>
      <w:r>
        <w:rPr>
          <w:rFonts w:ascii="宋体" w:hAnsi="宋体"/>
          <w:sz w:val="24"/>
          <w:highlight w:val="none"/>
        </w:rPr>
        <w:t>后</w:t>
      </w:r>
      <w:r>
        <w:rPr>
          <w:rFonts w:hint="eastAsia" w:ascii="宋体" w:hAnsi="宋体"/>
          <w:sz w:val="24"/>
          <w:highlight w:val="none"/>
        </w:rPr>
        <w:t>10</w:t>
      </w:r>
      <w:r>
        <w:rPr>
          <w:rFonts w:ascii="宋体" w:hAnsi="宋体"/>
          <w:sz w:val="24"/>
          <w:highlight w:val="none"/>
        </w:rPr>
        <w:t>个工作日内</w:t>
      </w:r>
      <w:r>
        <w:rPr>
          <w:rFonts w:hint="eastAsia" w:ascii="宋体" w:hAnsi="宋体"/>
          <w:sz w:val="24"/>
          <w:highlight w:val="none"/>
        </w:rPr>
        <w:t>向</w:t>
      </w:r>
      <w:r>
        <w:rPr>
          <w:rFonts w:ascii="宋体" w:hAnsi="宋体"/>
          <w:sz w:val="24"/>
          <w:highlight w:val="none"/>
        </w:rPr>
        <w:t>产交所支付</w:t>
      </w:r>
      <w:r>
        <w:rPr>
          <w:rFonts w:hint="eastAsia" w:ascii="宋体" w:hAnsi="宋体"/>
          <w:sz w:val="24"/>
          <w:highlight w:val="none"/>
          <w:lang w:val="en-US" w:eastAsia="zh-CN"/>
        </w:rPr>
        <w:t>金额为</w:t>
      </w:r>
      <w:r>
        <w:rPr>
          <w:rFonts w:hint="eastAsia" w:ascii="宋体" w:hAnsi="宋体"/>
          <w:sz w:val="24"/>
          <w:highlight w:val="none"/>
        </w:rPr>
        <w:t>成交额0.2%的服务费；所支付的资金来源合法。</w:t>
      </w:r>
    </w:p>
    <w:p>
      <w:pPr>
        <w:pStyle w:val="10"/>
        <w:spacing w:after="0" w:line="520" w:lineRule="exact"/>
        <w:ind w:left="0" w:leftChars="0" w:firstLine="480" w:firstLineChars="200"/>
        <w:rPr>
          <w:rFonts w:ascii="宋体" w:hAnsi="宋体"/>
          <w:sz w:val="24"/>
          <w:highlight w:val="none"/>
        </w:rPr>
      </w:pPr>
      <w:r>
        <w:rPr>
          <w:rFonts w:hint="eastAsia" w:ascii="宋体" w:hAnsi="宋体"/>
          <w:sz w:val="24"/>
          <w:highlight w:val="none"/>
        </w:rPr>
        <w:t>5、自愿接受该项目公告所有内容和增资认购的全部要求和条件。</w:t>
      </w:r>
    </w:p>
    <w:p>
      <w:pPr>
        <w:pStyle w:val="10"/>
        <w:spacing w:after="0" w:line="520" w:lineRule="exact"/>
        <w:ind w:left="0" w:leftChars="0" w:right="640" w:firstLine="5520" w:firstLineChars="2300"/>
        <w:rPr>
          <w:rFonts w:ascii="宋体" w:hAnsi="宋体"/>
          <w:sz w:val="24"/>
          <w:highlight w:val="none"/>
        </w:rPr>
      </w:pPr>
      <w:r>
        <w:rPr>
          <w:rFonts w:hint="eastAsia" w:ascii="宋体" w:hAnsi="宋体"/>
          <w:sz w:val="24"/>
          <w:highlight w:val="none"/>
        </w:rPr>
        <w:t>竞买方(盖章)：</w:t>
      </w:r>
    </w:p>
    <w:p>
      <w:pPr>
        <w:pStyle w:val="10"/>
        <w:spacing w:after="0" w:line="520" w:lineRule="exact"/>
        <w:ind w:left="0" w:leftChars="0" w:right="640" w:firstLine="5520" w:firstLineChars="2300"/>
        <w:rPr>
          <w:rFonts w:ascii="宋体" w:hAnsi="宋体"/>
          <w:sz w:val="24"/>
          <w:highlight w:val="none"/>
        </w:rPr>
      </w:pPr>
      <w:r>
        <w:rPr>
          <w:rFonts w:hint="eastAsia" w:ascii="宋体" w:hAnsi="宋体"/>
          <w:sz w:val="24"/>
          <w:highlight w:val="none"/>
        </w:rPr>
        <w:t>代表人（签字）：</w:t>
      </w:r>
    </w:p>
    <w:p>
      <w:pPr>
        <w:pStyle w:val="10"/>
        <w:spacing w:after="0" w:line="520" w:lineRule="exact"/>
        <w:ind w:left="0" w:leftChars="0" w:right="640" w:firstLine="5520" w:firstLineChars="2300"/>
        <w:rPr>
          <w:rFonts w:ascii="宋体" w:hAnsi="宋体"/>
          <w:sz w:val="24"/>
          <w:highlight w:val="none"/>
        </w:rPr>
      </w:pPr>
      <w:r>
        <w:rPr>
          <w:rFonts w:hint="eastAsia" w:ascii="宋体" w:hAnsi="宋体"/>
          <w:sz w:val="24"/>
          <w:highlight w:val="none"/>
        </w:rPr>
        <w:t>联系电话：</w:t>
      </w:r>
    </w:p>
    <w:p>
      <w:pPr>
        <w:spacing w:line="520" w:lineRule="exact"/>
        <w:ind w:right="960"/>
        <w:jc w:val="right"/>
        <w:rPr>
          <w:rFonts w:ascii="宋体"/>
          <w:b/>
          <w:spacing w:val="12"/>
          <w:sz w:val="36"/>
          <w:szCs w:val="36"/>
          <w:highlight w:val="none"/>
        </w:rPr>
      </w:pPr>
      <w:r>
        <w:rPr>
          <w:rFonts w:hint="eastAsia" w:ascii="宋体" w:hAnsi="宋体"/>
          <w:sz w:val="24"/>
          <w:szCs w:val="24"/>
          <w:highlight w:val="none"/>
        </w:rPr>
        <w:t xml:space="preserve">二〇二〇年  月   日 </w:t>
      </w:r>
      <w:r>
        <w:rPr>
          <w:rFonts w:ascii="宋体" w:hAnsi="宋体" w:cs="Tahoma"/>
          <w:kern w:val="0"/>
          <w:sz w:val="24"/>
          <w:szCs w:val="24"/>
          <w:highlight w:val="none"/>
        </w:rPr>
        <w:br w:type="page"/>
      </w:r>
    </w:p>
    <w:p>
      <w:pPr>
        <w:widowControl/>
        <w:spacing w:line="360" w:lineRule="auto"/>
        <w:jc w:val="center"/>
        <w:rPr>
          <w:rFonts w:ascii="华文中宋" w:hAnsi="华文中宋"/>
          <w:sz w:val="28"/>
          <w:highlight w:val="none"/>
          <w:shd w:val="clear" w:color="auto" w:fill="FFFFFF"/>
        </w:rPr>
      </w:pPr>
      <w:bookmarkStart w:id="13" w:name="_Toc48252222"/>
      <w:r>
        <w:rPr>
          <w:rStyle w:val="25"/>
          <w:rFonts w:hint="eastAsia"/>
          <w:highlight w:val="none"/>
        </w:rPr>
        <w:t>网络竞价规则</w:t>
      </w:r>
      <w:bookmarkEnd w:id="13"/>
    </w:p>
    <w:p>
      <w:pPr>
        <w:tabs>
          <w:tab w:val="left" w:pos="720"/>
          <w:tab w:val="left" w:pos="1260"/>
          <w:tab w:val="left" w:pos="2160"/>
          <w:tab w:val="left" w:pos="2880"/>
          <w:tab w:val="left" w:pos="3600"/>
          <w:tab w:val="left" w:pos="4320"/>
          <w:tab w:val="left" w:pos="5040"/>
          <w:tab w:val="left" w:pos="5760"/>
          <w:tab w:val="left" w:pos="6660"/>
          <w:tab w:val="left" w:pos="8280"/>
        </w:tabs>
        <w:autoSpaceDE w:val="0"/>
        <w:autoSpaceDN w:val="0"/>
        <w:adjustRightInd w:val="0"/>
        <w:spacing w:line="360" w:lineRule="auto"/>
        <w:ind w:right="23" w:firstLine="560"/>
        <w:rPr>
          <w:rFonts w:ascii="宋体" w:hAnsi="宋体"/>
          <w:kern w:val="0"/>
          <w:sz w:val="28"/>
          <w:highlight w:val="none"/>
        </w:rPr>
      </w:pPr>
      <w:r>
        <w:rPr>
          <w:rFonts w:hint="eastAsia" w:ascii="宋体" w:hAnsi="宋体"/>
          <w:kern w:val="0"/>
          <w:sz w:val="28"/>
          <w:highlight w:val="none"/>
        </w:rPr>
        <w:t>台州市产权交易所</w:t>
      </w:r>
      <w:r>
        <w:rPr>
          <w:rFonts w:hint="eastAsia" w:ascii="宋体" w:hAnsi="宋体"/>
          <w:kern w:val="0"/>
          <w:sz w:val="28"/>
          <w:highlight w:val="none"/>
          <w:lang w:eastAsia="zh-CN"/>
        </w:rPr>
        <w:t>有限公司</w:t>
      </w:r>
      <w:r>
        <w:rPr>
          <w:rFonts w:hint="eastAsia" w:ascii="宋体" w:hAnsi="宋体" w:cs="宋体"/>
          <w:kern w:val="0"/>
          <w:sz w:val="28"/>
          <w:szCs w:val="28"/>
          <w:highlight w:val="none"/>
        </w:rPr>
        <w:t>（以下简称“产交所”）对浙江海正生物材料股份有限公司增资扩股</w:t>
      </w:r>
      <w:r>
        <w:rPr>
          <w:rFonts w:hint="eastAsia" w:ascii="宋体" w:hAnsi="宋体"/>
          <w:sz w:val="28"/>
          <w:szCs w:val="28"/>
          <w:highlight w:val="none"/>
        </w:rPr>
        <w:t>对外</w:t>
      </w:r>
      <w:r>
        <w:rPr>
          <w:rFonts w:hint="eastAsia" w:ascii="宋体" w:hAnsi="宋体"/>
          <w:sz w:val="28"/>
          <w:highlight w:val="none"/>
        </w:rPr>
        <w:t>公开</w:t>
      </w:r>
      <w:r>
        <w:rPr>
          <w:rFonts w:hint="eastAsia" w:ascii="宋体" w:hAnsi="宋体"/>
          <w:sz w:val="28"/>
          <w:szCs w:val="28"/>
          <w:highlight w:val="none"/>
        </w:rPr>
        <w:t>出让</w:t>
      </w:r>
      <w:r>
        <w:rPr>
          <w:rFonts w:hint="eastAsia" w:ascii="宋体" w:hAnsi="宋体"/>
          <w:kern w:val="0"/>
          <w:sz w:val="28"/>
          <w:highlight w:val="none"/>
        </w:rPr>
        <w:t>，特制定本次</w:t>
      </w:r>
      <w:r>
        <w:rPr>
          <w:rFonts w:hint="eastAsia" w:ascii="宋体" w:hAnsi="宋体" w:cs="宋体"/>
          <w:kern w:val="0"/>
          <w:sz w:val="28"/>
          <w:szCs w:val="28"/>
          <w:highlight w:val="none"/>
        </w:rPr>
        <w:t>多次性网络竞价</w:t>
      </w:r>
      <w:r>
        <w:rPr>
          <w:rFonts w:hint="eastAsia" w:ascii="宋体" w:hAnsi="宋体"/>
          <w:kern w:val="0"/>
          <w:sz w:val="28"/>
          <w:highlight w:val="none"/>
        </w:rPr>
        <w:t>规则：</w:t>
      </w:r>
    </w:p>
    <w:p>
      <w:pPr>
        <w:spacing w:line="360" w:lineRule="auto"/>
        <w:ind w:firstLine="560"/>
        <w:rPr>
          <w:rFonts w:ascii="宋体" w:hAnsi="宋体" w:cs="宋体"/>
          <w:sz w:val="28"/>
          <w:szCs w:val="28"/>
          <w:highlight w:val="none"/>
        </w:rPr>
      </w:pPr>
      <w:r>
        <w:rPr>
          <w:rFonts w:hint="eastAsia" w:ascii="宋体" w:hAnsi="宋体" w:cs="宋体"/>
          <w:sz w:val="28"/>
          <w:szCs w:val="28"/>
          <w:highlight w:val="none"/>
        </w:rPr>
        <w:t>一、竞价人报名及资格确认成功后，即表示已认真阅读并同意本竞价文件中提出的相关内容，报价一经确认提交即不可撤回，竞价人须谨慎报价。</w:t>
      </w:r>
    </w:p>
    <w:p>
      <w:pPr>
        <w:spacing w:line="360" w:lineRule="auto"/>
        <w:ind w:firstLine="551" w:firstLineChars="196"/>
        <w:rPr>
          <w:rFonts w:ascii="宋体" w:hAnsi="宋体" w:cs="宋体"/>
          <w:b/>
          <w:bCs/>
          <w:sz w:val="28"/>
          <w:szCs w:val="28"/>
          <w:highlight w:val="none"/>
        </w:rPr>
      </w:pPr>
      <w:r>
        <w:rPr>
          <w:rFonts w:hint="eastAsia" w:ascii="宋体" w:hAnsi="宋体" w:cs="宋体"/>
          <w:b/>
          <w:sz w:val="28"/>
          <w:szCs w:val="28"/>
          <w:highlight w:val="none"/>
        </w:rPr>
        <w:t>二、本次报价不得低于起始价人民币</w:t>
      </w:r>
      <w:r>
        <w:rPr>
          <w:rFonts w:hint="eastAsia" w:ascii="宋体" w:hAnsi="宋体" w:cs="宋体"/>
          <w:b/>
          <w:sz w:val="28"/>
          <w:szCs w:val="28"/>
          <w:highlight w:val="none"/>
          <w:lang w:val="en-US" w:eastAsia="zh-CN"/>
        </w:rPr>
        <w:t>80,000,000.00</w:t>
      </w:r>
      <w:r>
        <w:rPr>
          <w:rFonts w:hint="eastAsia" w:ascii="宋体" w:hAnsi="宋体" w:cs="宋体"/>
          <w:b/>
          <w:sz w:val="28"/>
          <w:szCs w:val="28"/>
          <w:highlight w:val="none"/>
        </w:rPr>
        <w:t>元人民币。</w:t>
      </w:r>
    </w:p>
    <w:p>
      <w:pPr>
        <w:widowControl/>
        <w:shd w:val="clear" w:color="auto" w:fill="FFFFFF"/>
        <w:spacing w:line="360" w:lineRule="auto"/>
        <w:ind w:firstLine="562"/>
        <w:jc w:val="left"/>
        <w:rPr>
          <w:rFonts w:ascii="宋体" w:hAnsi="宋体" w:cs="宋体"/>
          <w:i/>
          <w:sz w:val="28"/>
          <w:szCs w:val="28"/>
          <w:highlight w:val="none"/>
        </w:rPr>
      </w:pPr>
      <w:r>
        <w:rPr>
          <w:rFonts w:hint="eastAsia" w:ascii="宋体" w:hAnsi="宋体" w:cs="宋体"/>
          <w:b/>
          <w:bCs/>
          <w:sz w:val="28"/>
          <w:szCs w:val="28"/>
          <w:highlight w:val="none"/>
        </w:rPr>
        <w:t>三、</w:t>
      </w:r>
      <w:r>
        <w:rPr>
          <w:rFonts w:hint="eastAsia" w:ascii="宋体" w:hAnsi="宋体" w:cs="宋体"/>
          <w:sz w:val="28"/>
          <w:szCs w:val="28"/>
          <w:highlight w:val="none"/>
        </w:rPr>
        <w:t>本次报价以报价最高者为成交方。</w:t>
      </w:r>
    </w:p>
    <w:p>
      <w:pPr>
        <w:widowControl/>
        <w:shd w:val="clear" w:color="auto" w:fill="FFFFFF"/>
        <w:spacing w:line="360" w:lineRule="auto"/>
        <w:ind w:firstLine="562"/>
        <w:jc w:val="left"/>
        <w:rPr>
          <w:rFonts w:ascii="宋体" w:hAnsi="宋体" w:cs="宋体"/>
          <w:b/>
          <w:bCs/>
          <w:sz w:val="28"/>
          <w:szCs w:val="28"/>
          <w:highlight w:val="none"/>
        </w:rPr>
      </w:pPr>
      <w:r>
        <w:rPr>
          <w:rFonts w:hint="eastAsia" w:ascii="宋体" w:hAnsi="宋体" w:cs="宋体"/>
          <w:b/>
          <w:bCs/>
          <w:sz w:val="28"/>
          <w:szCs w:val="28"/>
          <w:highlight w:val="none"/>
        </w:rPr>
        <w:t>四、网络多次性竞价程序：</w:t>
      </w:r>
    </w:p>
    <w:p>
      <w:pPr>
        <w:spacing w:line="360" w:lineRule="auto"/>
        <w:ind w:firstLine="560"/>
        <w:rPr>
          <w:rFonts w:ascii="宋体" w:hAnsi="宋体" w:cs="宋体"/>
          <w:b/>
          <w:kern w:val="0"/>
          <w:sz w:val="28"/>
          <w:szCs w:val="28"/>
          <w:highlight w:val="none"/>
        </w:rPr>
      </w:pPr>
      <w:r>
        <w:rPr>
          <w:rFonts w:hint="eastAsia" w:ascii="宋体" w:hAnsi="宋体" w:cs="宋体"/>
          <w:sz w:val="28"/>
          <w:szCs w:val="28"/>
          <w:highlight w:val="none"/>
        </w:rPr>
        <w:t>1、</w:t>
      </w:r>
      <w:r>
        <w:rPr>
          <w:rFonts w:hint="eastAsia" w:ascii="宋体" w:hAnsi="宋体"/>
          <w:sz w:val="28"/>
          <w:highlight w:val="none"/>
        </w:rPr>
        <w:t>意向</w:t>
      </w:r>
      <w:r>
        <w:rPr>
          <w:rFonts w:hint="eastAsia" w:ascii="宋体" w:hAnsi="宋体" w:cs="宋体"/>
          <w:sz w:val="28"/>
          <w:szCs w:val="28"/>
          <w:highlight w:val="none"/>
        </w:rPr>
        <w:t>竞价人</w:t>
      </w:r>
      <w:r>
        <w:rPr>
          <w:rFonts w:hint="eastAsia" w:ascii="宋体" w:hAnsi="宋体"/>
          <w:sz w:val="28"/>
          <w:highlight w:val="none"/>
        </w:rPr>
        <w:t>在台州市公共资源交易</w:t>
      </w:r>
      <w:r>
        <w:rPr>
          <w:rFonts w:hint="eastAsia" w:ascii="宋体" w:hAnsi="宋体" w:cs="宋体"/>
          <w:sz w:val="28"/>
          <w:szCs w:val="28"/>
          <w:highlight w:val="none"/>
        </w:rPr>
        <w:t>网</w:t>
      </w:r>
      <w:r>
        <w:rPr>
          <w:rFonts w:hint="eastAsia" w:ascii="宋体" w:hAnsi="宋体" w:cs="宋体"/>
          <w:b/>
          <w:kern w:val="0"/>
          <w:sz w:val="28"/>
          <w:szCs w:val="28"/>
          <w:highlight w:val="none"/>
        </w:rPr>
        <w:t>（</w:t>
      </w:r>
      <w:r>
        <w:rPr>
          <w:highlight w:val="none"/>
        </w:rPr>
        <w:fldChar w:fldCharType="begin"/>
      </w:r>
      <w:r>
        <w:rPr>
          <w:highlight w:val="none"/>
        </w:rPr>
        <w:instrText xml:space="preserve"> HYPERLINK "http://www.tzztb.com/tzcms/" </w:instrText>
      </w:r>
      <w:r>
        <w:rPr>
          <w:highlight w:val="none"/>
        </w:rPr>
        <w:fldChar w:fldCharType="separate"/>
      </w:r>
      <w:r>
        <w:rPr>
          <w:rStyle w:val="22"/>
          <w:rFonts w:hint="eastAsia" w:ascii="宋体" w:hAnsi="宋体" w:cs="宋体"/>
          <w:color w:val="auto"/>
          <w:sz w:val="28"/>
          <w:szCs w:val="28"/>
          <w:highlight w:val="none"/>
        </w:rPr>
        <w:t>http://www.tzztb.com/tzcms/</w:t>
      </w:r>
      <w:r>
        <w:rPr>
          <w:rStyle w:val="22"/>
          <w:rFonts w:hint="eastAsia" w:ascii="宋体" w:hAnsi="宋体" w:cs="宋体"/>
          <w:color w:val="auto"/>
          <w:sz w:val="28"/>
          <w:szCs w:val="28"/>
          <w:highlight w:val="none"/>
        </w:rPr>
        <w:fldChar w:fldCharType="end"/>
      </w:r>
      <w:r>
        <w:rPr>
          <w:rFonts w:hint="eastAsia" w:ascii="宋体" w:hAnsi="宋体" w:cs="宋体"/>
          <w:b/>
          <w:kern w:val="0"/>
          <w:sz w:val="28"/>
          <w:szCs w:val="28"/>
          <w:highlight w:val="none"/>
        </w:rPr>
        <w:t>）</w:t>
      </w:r>
      <w:r>
        <w:rPr>
          <w:rFonts w:hint="eastAsia" w:ascii="宋体" w:hAnsi="宋体" w:cs="宋体"/>
          <w:sz w:val="28"/>
          <w:szCs w:val="28"/>
          <w:highlight w:val="none"/>
        </w:rPr>
        <w:t>上对本项目进行网络报名。如实登记手机号并牢记密码。</w:t>
      </w:r>
    </w:p>
    <w:p>
      <w:pPr>
        <w:wordWrap w:val="0"/>
        <w:spacing w:line="360" w:lineRule="auto"/>
        <w:ind w:firstLine="560"/>
        <w:rPr>
          <w:rFonts w:ascii="宋体" w:hAnsi="宋体"/>
          <w:kern w:val="0"/>
          <w:sz w:val="28"/>
          <w:highlight w:val="none"/>
        </w:rPr>
      </w:pPr>
      <w:r>
        <w:rPr>
          <w:rFonts w:hint="eastAsia" w:ascii="宋体" w:hAnsi="宋体" w:cs="宋体"/>
          <w:sz w:val="28"/>
          <w:szCs w:val="28"/>
          <w:highlight w:val="none"/>
        </w:rPr>
        <w:t>2、报名成功并收到短信后在规定时间内（2020年</w:t>
      </w:r>
      <w:r>
        <w:rPr>
          <w:rFonts w:hint="eastAsia" w:ascii="宋体" w:hAnsi="宋体" w:cs="宋体"/>
          <w:sz w:val="28"/>
          <w:szCs w:val="28"/>
          <w:highlight w:val="none"/>
          <w:lang w:val="en-US" w:eastAsia="zh-CN"/>
        </w:rPr>
        <w:t>11</w:t>
      </w:r>
      <w:r>
        <w:rPr>
          <w:rFonts w:hint="eastAsia" w:ascii="宋体" w:hAnsi="宋体" w:cs="宋体"/>
          <w:sz w:val="28"/>
          <w:szCs w:val="28"/>
          <w:highlight w:val="none"/>
        </w:rPr>
        <w:t>月</w:t>
      </w:r>
      <w:r>
        <w:rPr>
          <w:rFonts w:hint="eastAsia" w:ascii="宋体" w:hAnsi="宋体" w:cs="宋体"/>
          <w:sz w:val="28"/>
          <w:szCs w:val="28"/>
          <w:highlight w:val="none"/>
          <w:lang w:val="en-US" w:eastAsia="zh-CN"/>
        </w:rPr>
        <w:t>3</w:t>
      </w:r>
      <w:r>
        <w:rPr>
          <w:rFonts w:hint="eastAsia" w:ascii="宋体" w:hAnsi="宋体" w:cs="宋体"/>
          <w:sz w:val="28"/>
          <w:szCs w:val="28"/>
          <w:highlight w:val="none"/>
        </w:rPr>
        <w:t>日至</w:t>
      </w:r>
      <w:r>
        <w:rPr>
          <w:rFonts w:hint="eastAsia" w:ascii="宋体" w:hAnsi="宋体" w:cs="宋体"/>
          <w:sz w:val="28"/>
          <w:szCs w:val="28"/>
          <w:highlight w:val="none"/>
          <w:lang w:val="en-US" w:eastAsia="zh-CN"/>
        </w:rPr>
        <w:t>12</w:t>
      </w:r>
      <w:r>
        <w:rPr>
          <w:rFonts w:hint="eastAsia" w:ascii="宋体" w:hAnsi="宋体" w:cs="宋体"/>
          <w:sz w:val="28"/>
          <w:szCs w:val="28"/>
          <w:highlight w:val="none"/>
        </w:rPr>
        <w:t>月</w:t>
      </w:r>
      <w:r>
        <w:rPr>
          <w:rFonts w:hint="eastAsia" w:ascii="宋体" w:hAnsi="宋体" w:cs="宋体"/>
          <w:sz w:val="28"/>
          <w:szCs w:val="28"/>
          <w:highlight w:val="none"/>
          <w:lang w:val="en-US" w:eastAsia="zh-CN"/>
        </w:rPr>
        <w:t>28</w:t>
      </w:r>
      <w:r>
        <w:rPr>
          <w:rFonts w:hint="eastAsia" w:ascii="宋体" w:hAnsi="宋体" w:cs="宋体"/>
          <w:sz w:val="28"/>
          <w:szCs w:val="28"/>
          <w:highlight w:val="none"/>
        </w:rPr>
        <w:t>日</w:t>
      </w:r>
      <w:r>
        <w:rPr>
          <w:rFonts w:hint="eastAsia" w:ascii="宋体" w:hAnsi="宋体" w:cs="宋体"/>
          <w:sz w:val="28"/>
          <w:szCs w:val="28"/>
          <w:highlight w:val="none"/>
          <w:lang w:eastAsia="zh-CN"/>
        </w:rPr>
        <w:t>1</w:t>
      </w:r>
      <w:r>
        <w:rPr>
          <w:rFonts w:hint="eastAsia" w:ascii="宋体" w:hAnsi="宋体" w:cs="宋体"/>
          <w:sz w:val="28"/>
          <w:szCs w:val="28"/>
          <w:highlight w:val="none"/>
          <w:lang w:val="en-US" w:eastAsia="zh-CN"/>
        </w:rPr>
        <w:t>6</w:t>
      </w:r>
      <w:r>
        <w:rPr>
          <w:rFonts w:hint="eastAsia" w:ascii="宋体" w:hAnsi="宋体" w:cs="宋体"/>
          <w:sz w:val="28"/>
          <w:szCs w:val="28"/>
          <w:highlight w:val="none"/>
        </w:rPr>
        <w:t>：00，节假日除外）到</w:t>
      </w:r>
      <w:r>
        <w:rPr>
          <w:rFonts w:hint="eastAsia" w:ascii="宋体" w:hAnsi="宋体" w:cs="宋体"/>
          <w:kern w:val="0"/>
          <w:sz w:val="28"/>
          <w:szCs w:val="28"/>
          <w:highlight w:val="none"/>
        </w:rPr>
        <w:t>台州市产权交易所</w:t>
      </w:r>
      <w:r>
        <w:rPr>
          <w:rFonts w:hint="eastAsia" w:ascii="宋体" w:hAnsi="宋体" w:cs="宋体"/>
          <w:kern w:val="0"/>
          <w:sz w:val="28"/>
          <w:szCs w:val="28"/>
          <w:highlight w:val="none"/>
          <w:lang w:eastAsia="zh-CN"/>
        </w:rPr>
        <w:t>有限公司</w:t>
      </w:r>
      <w:r>
        <w:rPr>
          <w:rFonts w:hint="eastAsia" w:ascii="宋体" w:hAnsi="宋体" w:cs="宋体"/>
          <w:kern w:val="0"/>
          <w:sz w:val="28"/>
          <w:szCs w:val="28"/>
          <w:highlight w:val="none"/>
        </w:rPr>
        <w:t>（</w:t>
      </w:r>
      <w:r>
        <w:rPr>
          <w:rFonts w:hint="eastAsia" w:ascii="宋体" w:hAnsi="宋体"/>
          <w:kern w:val="0"/>
          <w:sz w:val="28"/>
          <w:highlight w:val="none"/>
        </w:rPr>
        <w:t>台州市市府大道777号</w:t>
      </w:r>
      <w:r>
        <w:rPr>
          <w:rFonts w:hint="eastAsia" w:ascii="宋体" w:hAnsi="宋体"/>
          <w:kern w:val="0"/>
          <w:sz w:val="28"/>
          <w:szCs w:val="28"/>
          <w:highlight w:val="none"/>
        </w:rPr>
        <w:t>浙江民泰商业银行五楼511室</w:t>
      </w:r>
      <w:r>
        <w:rPr>
          <w:rFonts w:hint="eastAsia" w:ascii="宋体" w:hAnsi="宋体" w:cs="宋体"/>
          <w:kern w:val="0"/>
          <w:sz w:val="28"/>
          <w:szCs w:val="28"/>
          <w:highlight w:val="none"/>
        </w:rPr>
        <w:t>）进行资料审核,并缴付竞买保证金，并将审核意见告知出让方进行征询、确认</w:t>
      </w:r>
      <w:r>
        <w:rPr>
          <w:rFonts w:hint="eastAsia" w:ascii="宋体" w:hAnsi="宋体"/>
          <w:kern w:val="0"/>
          <w:sz w:val="28"/>
          <w:highlight w:val="none"/>
        </w:rPr>
        <w:t>。</w:t>
      </w:r>
    </w:p>
    <w:p>
      <w:pPr>
        <w:spacing w:line="360" w:lineRule="auto"/>
        <w:ind w:firstLine="560"/>
        <w:rPr>
          <w:rFonts w:ascii="宋体" w:hAnsi="宋体" w:cs="宋体"/>
          <w:b/>
          <w:bCs/>
          <w:sz w:val="28"/>
          <w:szCs w:val="28"/>
          <w:highlight w:val="none"/>
          <w:u w:val="single"/>
        </w:rPr>
      </w:pPr>
      <w:r>
        <w:rPr>
          <w:rFonts w:hint="eastAsia" w:ascii="宋体" w:hAnsi="宋体" w:cs="宋体"/>
          <w:kern w:val="0"/>
          <w:sz w:val="28"/>
          <w:szCs w:val="28"/>
          <w:highlight w:val="none"/>
        </w:rPr>
        <w:t>3、</w:t>
      </w:r>
      <w:r>
        <w:rPr>
          <w:rFonts w:hint="eastAsia" w:ascii="宋体" w:hAnsi="宋体" w:cs="宋体"/>
          <w:b/>
          <w:bCs/>
          <w:kern w:val="0"/>
          <w:sz w:val="28"/>
          <w:szCs w:val="28"/>
          <w:highlight w:val="none"/>
          <w:u w:val="single"/>
        </w:rPr>
        <w:t>在竞价时间十分钟前凭报名时的</w:t>
      </w:r>
      <w:r>
        <w:rPr>
          <w:rFonts w:hint="eastAsia" w:ascii="宋体" w:hAnsi="宋体" w:cs="宋体"/>
          <w:b/>
          <w:bCs/>
          <w:sz w:val="28"/>
          <w:szCs w:val="28"/>
          <w:highlight w:val="none"/>
          <w:u w:val="single"/>
        </w:rPr>
        <w:t>信用代码证号（或手机号码）、密码以及手机验证码登入本项目网络竞价大厅进行报价准备，并在竞价时间予以报价。</w:t>
      </w:r>
    </w:p>
    <w:p>
      <w:pPr>
        <w:spacing w:line="360" w:lineRule="auto"/>
        <w:ind w:firstLine="551" w:firstLineChars="196"/>
        <w:rPr>
          <w:rFonts w:ascii="宋体" w:hAnsi="宋体" w:cs="宋体"/>
          <w:b/>
          <w:bCs/>
          <w:sz w:val="28"/>
          <w:szCs w:val="28"/>
          <w:highlight w:val="none"/>
          <w:shd w:val="clear" w:color="auto" w:fill="FFFFFF"/>
        </w:rPr>
      </w:pPr>
      <w:r>
        <w:rPr>
          <w:rFonts w:hint="eastAsia" w:ascii="宋体" w:hAnsi="宋体" w:cs="宋体"/>
          <w:b/>
          <w:bCs/>
          <w:sz w:val="28"/>
          <w:szCs w:val="28"/>
          <w:highlight w:val="none"/>
          <w:shd w:val="clear" w:color="auto" w:fill="FFFFFF"/>
        </w:rPr>
        <w:t>多次网络报价的报价时段分为自由报价时段和延时报价时段。自由报价时段是网络竞价系统中预设的一段时间周期，此时段内，竞价人可以发送报价，也可不发送报价，自由报价时段结束后，系统进入延时报价时段。 延时报价时段是在自由报价时段之外提供的不定时间的补充交易时段，设一定时长的延时周期。在一个延时周期内，如无竞价人继续报价，则竞价活动结束；如有竞价人报价，则重新进入一个延时周期，直到无人报价为止。“自由报价时长”和“延时报价时长”以本项目竞价厅为准。</w:t>
      </w:r>
    </w:p>
    <w:p>
      <w:pPr>
        <w:spacing w:line="360" w:lineRule="auto"/>
        <w:ind w:firstLine="562"/>
        <w:jc w:val="left"/>
        <w:rPr>
          <w:rFonts w:ascii="宋体" w:hAnsi="宋体" w:cs="宋体"/>
          <w:b/>
          <w:bCs/>
          <w:sz w:val="28"/>
          <w:szCs w:val="28"/>
          <w:highlight w:val="none"/>
          <w:shd w:val="clear" w:color="auto" w:fill="FFFFFF"/>
        </w:rPr>
      </w:pPr>
      <w:r>
        <w:rPr>
          <w:rFonts w:hint="eastAsia" w:ascii="宋体" w:hAnsi="宋体" w:cs="宋体"/>
          <w:b/>
          <w:bCs/>
          <w:sz w:val="28"/>
          <w:szCs w:val="28"/>
          <w:highlight w:val="none"/>
          <w:shd w:val="clear" w:color="auto" w:fill="FFFFFF"/>
        </w:rPr>
        <w:t>竞价人在规定的报价时段内通过网络竞价系统报价，报价指令未确认前可撤回或更改，经确认后不得撤销。在规定的报价时段内，所有竞价人均未报价的，网络竞价活动终止。</w:t>
      </w:r>
    </w:p>
    <w:p>
      <w:pPr>
        <w:spacing w:line="360" w:lineRule="auto"/>
        <w:ind w:firstLine="562"/>
        <w:jc w:val="left"/>
        <w:rPr>
          <w:rFonts w:ascii="宋体" w:hAnsi="宋体" w:cs="宋体"/>
          <w:b/>
          <w:bCs/>
          <w:sz w:val="28"/>
          <w:szCs w:val="28"/>
          <w:highlight w:val="none"/>
          <w:shd w:val="clear" w:color="auto" w:fill="FFFFFF"/>
        </w:rPr>
      </w:pPr>
      <w:r>
        <w:rPr>
          <w:rFonts w:hint="eastAsia" w:ascii="宋体" w:hAnsi="宋体" w:cs="宋体"/>
          <w:b/>
          <w:bCs/>
          <w:sz w:val="28"/>
          <w:szCs w:val="28"/>
          <w:highlight w:val="none"/>
          <w:shd w:val="clear" w:color="auto" w:fill="FFFFFF"/>
        </w:rPr>
        <w:t>本次网络竞价的首次报价是以</w:t>
      </w:r>
      <w:r>
        <w:rPr>
          <w:rFonts w:hint="eastAsia" w:ascii="宋体" w:hAnsi="宋体" w:cs="宋体"/>
          <w:b/>
          <w:sz w:val="28"/>
          <w:szCs w:val="28"/>
          <w:highlight w:val="none"/>
          <w:lang w:val="en-US" w:eastAsia="zh-CN"/>
        </w:rPr>
        <w:t>80,000,000.00</w:t>
      </w:r>
      <w:r>
        <w:rPr>
          <w:rFonts w:hint="eastAsia" w:ascii="宋体" w:hAnsi="宋体" w:cs="宋体"/>
          <w:b/>
          <w:sz w:val="28"/>
          <w:szCs w:val="28"/>
          <w:highlight w:val="none"/>
        </w:rPr>
        <w:t>元</w:t>
      </w:r>
      <w:r>
        <w:rPr>
          <w:rFonts w:hint="eastAsia" w:ascii="宋体" w:hAnsi="宋体" w:cs="宋体"/>
          <w:b/>
          <w:bCs/>
          <w:sz w:val="28"/>
          <w:szCs w:val="28"/>
          <w:highlight w:val="none"/>
          <w:shd w:val="clear" w:color="auto" w:fill="FFFFFF"/>
        </w:rPr>
        <w:t>人民币（挂牌价）为基础，根据公告内容，不得低于</w:t>
      </w:r>
      <w:r>
        <w:rPr>
          <w:rFonts w:hint="eastAsia" w:ascii="宋体" w:hAnsi="宋体" w:cs="宋体"/>
          <w:b/>
          <w:sz w:val="28"/>
          <w:szCs w:val="28"/>
          <w:highlight w:val="none"/>
          <w:lang w:val="en-US" w:eastAsia="zh-CN"/>
        </w:rPr>
        <w:t>80,000,000.00</w:t>
      </w:r>
      <w:r>
        <w:rPr>
          <w:rFonts w:hint="eastAsia" w:ascii="宋体" w:hAnsi="宋体" w:cs="宋体"/>
          <w:b/>
          <w:sz w:val="28"/>
          <w:szCs w:val="28"/>
          <w:highlight w:val="none"/>
        </w:rPr>
        <w:t>元</w:t>
      </w:r>
      <w:r>
        <w:rPr>
          <w:rFonts w:hint="eastAsia" w:ascii="宋体" w:hAnsi="宋体" w:cs="宋体"/>
          <w:b/>
          <w:bCs/>
          <w:sz w:val="28"/>
          <w:szCs w:val="28"/>
          <w:highlight w:val="none"/>
          <w:shd w:val="clear" w:color="auto" w:fill="FFFFFF"/>
        </w:rPr>
        <w:t>人民币（挂牌价），再次报价应根据公告高于前次报价，成为当前最新报价，原报价即丧失其约束力，每次加价必须等于交易中心事先确定的加价幅度或加价幅度的整数倍。报价结束时的最高报价为成交价，其报价者即为成交方。</w:t>
      </w:r>
    </w:p>
    <w:p>
      <w:pPr>
        <w:spacing w:line="360" w:lineRule="auto"/>
        <w:ind w:firstLine="560"/>
        <w:rPr>
          <w:rFonts w:ascii="宋体" w:hAnsi="宋体" w:cs="宋体"/>
          <w:sz w:val="28"/>
          <w:szCs w:val="28"/>
          <w:highlight w:val="none"/>
        </w:rPr>
      </w:pPr>
      <w:r>
        <w:rPr>
          <w:rFonts w:hint="eastAsia" w:ascii="宋体" w:hAnsi="宋体" w:cs="宋体"/>
          <w:sz w:val="28"/>
          <w:szCs w:val="28"/>
          <w:highlight w:val="none"/>
        </w:rPr>
        <w:t>4、竞价大厅公布成交结果。</w:t>
      </w:r>
    </w:p>
    <w:p>
      <w:pPr>
        <w:spacing w:line="360" w:lineRule="auto"/>
        <w:ind w:firstLine="560"/>
        <w:rPr>
          <w:rFonts w:ascii="宋体" w:hAnsi="宋体" w:cs="宋体"/>
          <w:sz w:val="28"/>
          <w:szCs w:val="28"/>
          <w:highlight w:val="none"/>
        </w:rPr>
      </w:pPr>
      <w:r>
        <w:rPr>
          <w:rFonts w:hint="eastAsia" w:ascii="宋体" w:hAnsi="宋体" w:cs="宋体"/>
          <w:sz w:val="28"/>
          <w:szCs w:val="28"/>
          <w:highlight w:val="none"/>
        </w:rPr>
        <w:t>5、成交方携带身份证明到</w:t>
      </w:r>
      <w:r>
        <w:rPr>
          <w:rFonts w:hint="eastAsia" w:ascii="宋体" w:hAnsi="宋体" w:cs="宋体"/>
          <w:kern w:val="0"/>
          <w:sz w:val="28"/>
          <w:szCs w:val="28"/>
          <w:highlight w:val="none"/>
        </w:rPr>
        <w:t>台州市产权交易所</w:t>
      </w:r>
      <w:r>
        <w:rPr>
          <w:rFonts w:hint="eastAsia" w:ascii="宋体" w:hAnsi="宋体" w:cs="宋体"/>
          <w:kern w:val="0"/>
          <w:sz w:val="28"/>
          <w:szCs w:val="28"/>
          <w:highlight w:val="none"/>
          <w:lang w:eastAsia="zh-CN"/>
        </w:rPr>
        <w:t>有限公司</w:t>
      </w:r>
      <w:r>
        <w:rPr>
          <w:rFonts w:hint="eastAsia" w:ascii="宋体" w:hAnsi="宋体" w:cs="宋体"/>
          <w:kern w:val="0"/>
          <w:sz w:val="28"/>
          <w:szCs w:val="28"/>
          <w:highlight w:val="none"/>
        </w:rPr>
        <w:t>（台州市民泰银行五楼511室）领取成交通知书</w:t>
      </w:r>
      <w:r>
        <w:rPr>
          <w:rFonts w:hint="eastAsia" w:ascii="宋体" w:hAnsi="宋体" w:cs="宋体"/>
          <w:sz w:val="28"/>
          <w:szCs w:val="28"/>
          <w:highlight w:val="none"/>
        </w:rPr>
        <w:t>。</w:t>
      </w:r>
    </w:p>
    <w:p>
      <w:pPr>
        <w:spacing w:line="360" w:lineRule="auto"/>
        <w:ind w:firstLine="562"/>
        <w:rPr>
          <w:rFonts w:ascii="宋体" w:hAnsi="宋体" w:cs="宋体"/>
          <w:bCs/>
          <w:kern w:val="0"/>
          <w:sz w:val="28"/>
          <w:szCs w:val="28"/>
          <w:highlight w:val="none"/>
        </w:rPr>
      </w:pPr>
      <w:r>
        <w:rPr>
          <w:rFonts w:hint="eastAsia" w:ascii="宋体" w:hAnsi="宋体" w:cs="宋体"/>
          <w:b/>
          <w:sz w:val="28"/>
          <w:szCs w:val="28"/>
          <w:highlight w:val="none"/>
        </w:rPr>
        <w:t>五、</w:t>
      </w:r>
      <w:r>
        <w:rPr>
          <w:rFonts w:hint="eastAsia" w:ascii="宋体" w:hAnsi="宋体" w:cs="宋体"/>
          <w:b/>
          <w:bCs/>
          <w:kern w:val="0"/>
          <w:sz w:val="28"/>
          <w:szCs w:val="28"/>
          <w:highlight w:val="none"/>
        </w:rPr>
        <w:t>网络竞价时间：</w:t>
      </w:r>
      <w:r>
        <w:rPr>
          <w:rFonts w:hint="eastAsia" w:ascii="宋体" w:hAnsi="宋体" w:cs="宋体"/>
          <w:bCs/>
          <w:kern w:val="0"/>
          <w:sz w:val="28"/>
          <w:szCs w:val="28"/>
          <w:highlight w:val="none"/>
        </w:rPr>
        <w:t>2020年</w:t>
      </w:r>
      <w:r>
        <w:rPr>
          <w:rFonts w:hint="eastAsia" w:ascii="宋体" w:hAnsi="宋体" w:cs="宋体"/>
          <w:bCs/>
          <w:kern w:val="0"/>
          <w:sz w:val="28"/>
          <w:szCs w:val="28"/>
          <w:highlight w:val="none"/>
          <w:lang w:val="en-US" w:eastAsia="zh-CN"/>
        </w:rPr>
        <w:t>12</w:t>
      </w:r>
      <w:r>
        <w:rPr>
          <w:rFonts w:hint="eastAsia" w:ascii="宋体" w:hAnsi="宋体" w:cs="宋体"/>
          <w:bCs/>
          <w:kern w:val="0"/>
          <w:sz w:val="28"/>
          <w:szCs w:val="28"/>
          <w:highlight w:val="none"/>
        </w:rPr>
        <w:t>月</w:t>
      </w:r>
      <w:r>
        <w:rPr>
          <w:rFonts w:hint="eastAsia" w:ascii="宋体" w:hAnsi="宋体" w:cs="宋体"/>
          <w:bCs/>
          <w:kern w:val="0"/>
          <w:sz w:val="28"/>
          <w:szCs w:val="28"/>
          <w:highlight w:val="none"/>
          <w:lang w:val="en-US" w:eastAsia="zh-CN"/>
        </w:rPr>
        <w:t>29</w:t>
      </w:r>
      <w:r>
        <w:rPr>
          <w:rFonts w:hint="eastAsia" w:ascii="宋体" w:hAnsi="宋体" w:cs="宋体"/>
          <w:bCs/>
          <w:kern w:val="0"/>
          <w:sz w:val="28"/>
          <w:szCs w:val="28"/>
          <w:highlight w:val="none"/>
        </w:rPr>
        <w:t>日（星期</w:t>
      </w:r>
      <w:r>
        <w:rPr>
          <w:rFonts w:hint="eastAsia" w:ascii="宋体" w:hAnsi="宋体" w:cs="宋体"/>
          <w:bCs/>
          <w:kern w:val="0"/>
          <w:sz w:val="28"/>
          <w:szCs w:val="28"/>
          <w:highlight w:val="none"/>
          <w:lang w:val="en-US" w:eastAsia="zh-CN"/>
        </w:rPr>
        <w:t>二</w:t>
      </w:r>
      <w:r>
        <w:rPr>
          <w:rFonts w:hint="eastAsia" w:ascii="宋体" w:hAnsi="宋体" w:cs="宋体"/>
          <w:bCs/>
          <w:kern w:val="0"/>
          <w:sz w:val="28"/>
          <w:szCs w:val="28"/>
          <w:highlight w:val="none"/>
        </w:rPr>
        <w:t>）上午</w:t>
      </w:r>
      <w:r>
        <w:rPr>
          <w:rFonts w:ascii="宋体" w:hAnsi="宋体" w:cs="宋体"/>
          <w:bCs/>
          <w:kern w:val="0"/>
          <w:sz w:val="28"/>
          <w:szCs w:val="28"/>
          <w:highlight w:val="none"/>
        </w:rPr>
        <w:t>9：30</w:t>
      </w:r>
      <w:r>
        <w:rPr>
          <w:rFonts w:hint="eastAsia" w:ascii="宋体" w:hAnsi="宋体" w:cs="宋体"/>
          <w:bCs/>
          <w:kern w:val="0"/>
          <w:sz w:val="28"/>
          <w:szCs w:val="28"/>
          <w:highlight w:val="none"/>
        </w:rPr>
        <w:t>。</w:t>
      </w:r>
    </w:p>
    <w:p>
      <w:pPr>
        <w:spacing w:line="360" w:lineRule="auto"/>
        <w:ind w:firstLine="562"/>
        <w:rPr>
          <w:rFonts w:ascii="宋体" w:hAnsi="宋体" w:cs="宋体"/>
          <w:sz w:val="28"/>
          <w:szCs w:val="28"/>
          <w:highlight w:val="none"/>
        </w:rPr>
      </w:pPr>
      <w:r>
        <w:rPr>
          <w:rFonts w:hint="eastAsia" w:ascii="宋体" w:hAnsi="宋体" w:cs="宋体"/>
          <w:sz w:val="28"/>
          <w:szCs w:val="28"/>
          <w:highlight w:val="none"/>
        </w:rPr>
        <w:t>六、确定成交方后，成交方须在当日到我所签署《增资确认书》。成交方凭《增资确认书》两天内与委托方签订《增资扩股</w:t>
      </w:r>
      <w:r>
        <w:rPr>
          <w:rFonts w:ascii="宋体" w:hAnsi="宋体" w:cs="宋体"/>
          <w:sz w:val="28"/>
          <w:szCs w:val="28"/>
          <w:highlight w:val="none"/>
        </w:rPr>
        <w:t>协议</w:t>
      </w:r>
      <w:r>
        <w:rPr>
          <w:rFonts w:hint="eastAsia" w:ascii="宋体" w:hAnsi="宋体" w:cs="宋体"/>
          <w:sz w:val="28"/>
          <w:szCs w:val="28"/>
          <w:highlight w:val="none"/>
        </w:rPr>
        <w:t>》。</w:t>
      </w:r>
    </w:p>
    <w:p>
      <w:pPr>
        <w:spacing w:line="360" w:lineRule="auto"/>
        <w:ind w:firstLine="560"/>
        <w:rPr>
          <w:rFonts w:ascii="宋体" w:hAnsi="宋体" w:cs="宋体"/>
          <w:sz w:val="28"/>
          <w:szCs w:val="28"/>
          <w:highlight w:val="none"/>
          <w:u w:val="single"/>
        </w:rPr>
      </w:pPr>
      <w:r>
        <w:rPr>
          <w:rFonts w:hint="eastAsia" w:ascii="宋体" w:hAnsi="宋体" w:cs="宋体"/>
          <w:sz w:val="28"/>
          <w:szCs w:val="28"/>
          <w:highlight w:val="none"/>
          <w:u w:val="single"/>
        </w:rPr>
        <w:t>成交方无故拖延或拒签合同的保证金将不予退还并取消成交资格。</w:t>
      </w:r>
    </w:p>
    <w:p>
      <w:pPr>
        <w:numPr>
          <w:ilvl w:val="0"/>
          <w:numId w:val="5"/>
        </w:numPr>
        <w:spacing w:line="360" w:lineRule="auto"/>
        <w:ind w:firstLine="560" w:firstLineChars="200"/>
        <w:rPr>
          <w:rFonts w:ascii="宋体" w:hAnsi="宋体" w:cs="宋体"/>
          <w:kern w:val="0"/>
          <w:sz w:val="28"/>
          <w:szCs w:val="28"/>
          <w:highlight w:val="none"/>
        </w:rPr>
      </w:pPr>
      <w:r>
        <w:rPr>
          <w:rFonts w:hint="eastAsia" w:ascii="宋体" w:hAnsi="宋体" w:cs="宋体"/>
          <w:kern w:val="0"/>
          <w:sz w:val="28"/>
          <w:szCs w:val="28"/>
          <w:highlight w:val="none"/>
        </w:rPr>
        <w:t>免责声明：</w:t>
      </w:r>
    </w:p>
    <w:p>
      <w:pPr>
        <w:numPr>
          <w:ilvl w:val="255"/>
          <w:numId w:val="0"/>
        </w:numPr>
        <w:spacing w:line="360" w:lineRule="auto"/>
        <w:ind w:firstLine="560" w:firstLineChars="200"/>
        <w:rPr>
          <w:rFonts w:ascii="宋体" w:hAnsi="宋体" w:cs="宋体"/>
          <w:sz w:val="28"/>
          <w:szCs w:val="28"/>
          <w:highlight w:val="none"/>
          <w:shd w:val="clear" w:color="auto" w:fill="FFFFFF"/>
        </w:rPr>
      </w:pPr>
      <w:r>
        <w:rPr>
          <w:rFonts w:hint="eastAsia" w:ascii="宋体" w:hAnsi="宋体" w:cs="宋体"/>
          <w:sz w:val="28"/>
          <w:szCs w:val="28"/>
          <w:highlight w:val="none"/>
          <w:shd w:val="clear" w:color="auto" w:fill="FFFFFF"/>
        </w:rPr>
        <w:t>1、报价人在参加网络竞价活动之前，应对竞价标的进行了全面了解，接受竞价文件的内容和要求，对其报价行为负责，且网络报价实施后不得以不了解所竞得标的为由予以反悔。</w:t>
      </w:r>
    </w:p>
    <w:p>
      <w:pPr>
        <w:numPr>
          <w:ilvl w:val="255"/>
          <w:numId w:val="0"/>
        </w:numPr>
        <w:spacing w:line="360" w:lineRule="auto"/>
        <w:ind w:firstLine="560" w:firstLineChars="200"/>
        <w:rPr>
          <w:rFonts w:ascii="宋体" w:hAnsi="宋体" w:cs="宋体"/>
          <w:sz w:val="28"/>
          <w:szCs w:val="28"/>
          <w:highlight w:val="none"/>
          <w:shd w:val="clear" w:color="auto" w:fill="FFFFFF"/>
        </w:rPr>
      </w:pPr>
      <w:r>
        <w:rPr>
          <w:rFonts w:hint="eastAsia" w:ascii="宋体" w:hAnsi="宋体" w:cs="宋体"/>
          <w:sz w:val="28"/>
          <w:szCs w:val="28"/>
          <w:highlight w:val="none"/>
          <w:shd w:val="clear" w:color="auto" w:fill="FFFFFF"/>
        </w:rPr>
        <w:t>2、为确保网络传输的安全，保障报价人的利益，网络报价平台对网络资料的传输采用数据加密处理，但无法保证电子信息绝对安全。</w:t>
      </w:r>
    </w:p>
    <w:p>
      <w:pPr>
        <w:numPr>
          <w:ilvl w:val="255"/>
          <w:numId w:val="0"/>
        </w:numPr>
        <w:spacing w:line="360" w:lineRule="auto"/>
        <w:ind w:firstLine="560" w:firstLineChars="200"/>
        <w:rPr>
          <w:rFonts w:ascii="宋体" w:hAnsi="宋体" w:cs="宋体"/>
          <w:sz w:val="28"/>
          <w:szCs w:val="28"/>
          <w:highlight w:val="none"/>
          <w:shd w:val="clear" w:color="auto" w:fill="FFFFFF"/>
        </w:rPr>
      </w:pPr>
      <w:r>
        <w:rPr>
          <w:rFonts w:hint="eastAsia" w:ascii="宋体" w:hAnsi="宋体" w:cs="宋体"/>
          <w:sz w:val="28"/>
          <w:szCs w:val="28"/>
          <w:highlight w:val="none"/>
          <w:shd w:val="clear" w:color="auto" w:fill="FFFFFF"/>
        </w:rPr>
        <w:t>3、如因不可抗力造成网络报价活动不能正常进行，台州产权交易所不承担任何责任。</w:t>
      </w:r>
    </w:p>
    <w:p>
      <w:pPr>
        <w:numPr>
          <w:ilvl w:val="255"/>
          <w:numId w:val="0"/>
        </w:numPr>
        <w:spacing w:line="360" w:lineRule="auto"/>
        <w:ind w:firstLine="560" w:firstLineChars="200"/>
        <w:rPr>
          <w:rFonts w:ascii="宋体" w:hAnsi="宋体" w:cs="宋体"/>
          <w:sz w:val="28"/>
          <w:szCs w:val="28"/>
          <w:highlight w:val="none"/>
          <w:shd w:val="clear" w:color="auto" w:fill="FFFFFF"/>
        </w:rPr>
      </w:pPr>
      <w:r>
        <w:rPr>
          <w:rFonts w:hint="eastAsia" w:ascii="宋体" w:hAnsi="宋体" w:cs="宋体"/>
          <w:sz w:val="28"/>
          <w:szCs w:val="28"/>
          <w:highlight w:val="none"/>
          <w:shd w:val="clear" w:color="auto" w:fill="FFFFFF"/>
        </w:rPr>
        <w:t>4、如因网络报价服务器等设备故障、网络传输线路（电信）故障、黑客攻击等原因造成网络报价不能正常进行，台州产权交易所不承担任何责任。但是，我所将全力排除故障，解决问题，尽快恢复网络报价平台的正常运行。</w:t>
      </w:r>
    </w:p>
    <w:p>
      <w:pPr>
        <w:numPr>
          <w:ilvl w:val="255"/>
          <w:numId w:val="0"/>
        </w:numPr>
        <w:spacing w:line="360" w:lineRule="auto"/>
        <w:ind w:firstLine="560" w:firstLineChars="200"/>
        <w:rPr>
          <w:rFonts w:ascii="宋体" w:hAnsi="宋体" w:cs="宋体"/>
          <w:sz w:val="28"/>
          <w:szCs w:val="28"/>
          <w:highlight w:val="none"/>
          <w:shd w:val="clear" w:color="auto" w:fill="FFFFFF"/>
        </w:rPr>
      </w:pPr>
      <w:r>
        <w:rPr>
          <w:rFonts w:hint="eastAsia" w:ascii="宋体" w:hAnsi="宋体" w:cs="宋体"/>
          <w:sz w:val="28"/>
          <w:szCs w:val="28"/>
          <w:highlight w:val="none"/>
          <w:shd w:val="clear" w:color="auto" w:fill="FFFFFF"/>
        </w:rPr>
        <w:t>5、如因报价人自身报价电脑设备故障、网络传输线路不畅通等原因，造成报价人不能正常进行网络报价，我所不承担任何责任。</w:t>
      </w:r>
    </w:p>
    <w:p>
      <w:pPr>
        <w:numPr>
          <w:ilvl w:val="255"/>
          <w:numId w:val="0"/>
        </w:numPr>
        <w:spacing w:line="360" w:lineRule="auto"/>
        <w:ind w:firstLine="560" w:firstLineChars="200"/>
        <w:rPr>
          <w:rFonts w:ascii="宋体" w:hAnsi="宋体" w:cs="宋体"/>
          <w:sz w:val="28"/>
          <w:szCs w:val="28"/>
          <w:highlight w:val="none"/>
          <w:shd w:val="clear" w:color="auto" w:fill="FFFFFF"/>
        </w:rPr>
      </w:pPr>
      <w:r>
        <w:rPr>
          <w:rFonts w:hint="eastAsia" w:ascii="宋体" w:hAnsi="宋体" w:cs="宋体"/>
          <w:sz w:val="28"/>
          <w:szCs w:val="28"/>
          <w:highlight w:val="none"/>
          <w:shd w:val="clear" w:color="auto" w:fill="FFFFFF"/>
        </w:rPr>
        <w:t>6、如因报价人操作不当或操作失误而造成的任何损失，由当事人自己负责。</w:t>
      </w:r>
    </w:p>
    <w:p>
      <w:pPr>
        <w:numPr>
          <w:ilvl w:val="255"/>
          <w:numId w:val="0"/>
        </w:numPr>
        <w:spacing w:line="360" w:lineRule="auto"/>
        <w:ind w:firstLine="560" w:firstLineChars="200"/>
        <w:rPr>
          <w:rFonts w:ascii="宋体" w:hAnsi="宋体" w:cs="宋体"/>
          <w:sz w:val="28"/>
          <w:szCs w:val="28"/>
          <w:highlight w:val="none"/>
          <w:shd w:val="clear" w:color="auto" w:fill="FFFFFF"/>
        </w:rPr>
      </w:pPr>
      <w:r>
        <w:rPr>
          <w:rFonts w:hint="eastAsia" w:ascii="宋体" w:hAnsi="宋体" w:cs="宋体"/>
          <w:sz w:val="28"/>
          <w:szCs w:val="28"/>
          <w:highlight w:val="none"/>
          <w:shd w:val="clear" w:color="auto" w:fill="FFFFFF"/>
        </w:rPr>
        <w:t>7、如因报价人的报价设备的系统时间与网络报价平台服务器时间不一致而造成的任何后果，由当事人自己负责。</w:t>
      </w:r>
    </w:p>
    <w:p>
      <w:pPr>
        <w:numPr>
          <w:ilvl w:val="255"/>
          <w:numId w:val="0"/>
        </w:numPr>
        <w:spacing w:line="360" w:lineRule="auto"/>
        <w:ind w:firstLine="560" w:firstLineChars="200"/>
        <w:rPr>
          <w:rFonts w:ascii="宋体" w:hAnsi="宋体" w:cs="宋体"/>
          <w:sz w:val="28"/>
          <w:szCs w:val="28"/>
          <w:highlight w:val="none"/>
          <w:shd w:val="clear" w:color="auto" w:fill="FFFFFF"/>
        </w:rPr>
      </w:pPr>
      <w:r>
        <w:rPr>
          <w:rFonts w:hint="eastAsia" w:ascii="宋体" w:hAnsi="宋体" w:cs="宋体"/>
          <w:sz w:val="28"/>
          <w:szCs w:val="28"/>
          <w:highlight w:val="none"/>
          <w:shd w:val="clear" w:color="auto" w:fill="FFFFFF"/>
        </w:rPr>
        <w:t>8、用户、报价人应对自身的账户安全负责。若用户或报价人的账户被盗用，则由当事人自己负责。</w:t>
      </w:r>
    </w:p>
    <w:p>
      <w:pPr>
        <w:numPr>
          <w:ilvl w:val="0"/>
          <w:numId w:val="5"/>
        </w:numPr>
        <w:spacing w:line="360" w:lineRule="auto"/>
        <w:ind w:firstLine="560" w:firstLineChars="200"/>
        <w:rPr>
          <w:rFonts w:ascii="宋体" w:hAnsi="宋体"/>
          <w:kern w:val="0"/>
          <w:sz w:val="28"/>
          <w:highlight w:val="none"/>
        </w:rPr>
      </w:pPr>
      <w:r>
        <w:rPr>
          <w:rFonts w:hint="eastAsia" w:ascii="宋体" w:hAnsi="宋体"/>
          <w:kern w:val="0"/>
          <w:sz w:val="28"/>
          <w:highlight w:val="none"/>
        </w:rPr>
        <w:t>请</w:t>
      </w:r>
      <w:r>
        <w:rPr>
          <w:rFonts w:hint="eastAsia" w:ascii="宋体" w:hAnsi="宋体" w:cs="宋体"/>
          <w:kern w:val="0"/>
          <w:sz w:val="28"/>
          <w:szCs w:val="28"/>
          <w:highlight w:val="none"/>
        </w:rPr>
        <w:t>各竞价人</w:t>
      </w:r>
      <w:r>
        <w:rPr>
          <w:rFonts w:hint="eastAsia" w:ascii="宋体" w:hAnsi="宋体"/>
          <w:kern w:val="0"/>
          <w:sz w:val="28"/>
          <w:highlight w:val="none"/>
        </w:rPr>
        <w:t>仔细阅读</w:t>
      </w:r>
      <w:r>
        <w:rPr>
          <w:rFonts w:hint="eastAsia" w:ascii="宋体" w:hAnsi="宋体" w:cs="宋体"/>
          <w:kern w:val="0"/>
          <w:sz w:val="28"/>
          <w:szCs w:val="28"/>
          <w:highlight w:val="none"/>
        </w:rPr>
        <w:t>本竞价</w:t>
      </w:r>
      <w:r>
        <w:rPr>
          <w:rFonts w:hint="eastAsia" w:ascii="宋体" w:hAnsi="宋体"/>
          <w:kern w:val="0"/>
          <w:sz w:val="28"/>
          <w:highlight w:val="none"/>
        </w:rPr>
        <w:t>文件。</w:t>
      </w:r>
    </w:p>
    <w:p>
      <w:pPr>
        <w:tabs>
          <w:tab w:val="left" w:pos="580"/>
          <w:tab w:val="left" w:pos="720"/>
          <w:tab w:val="left" w:pos="2880"/>
          <w:tab w:val="left" w:pos="3600"/>
          <w:tab w:val="left" w:pos="4320"/>
          <w:tab w:val="left" w:pos="5040"/>
          <w:tab w:val="left" w:pos="5760"/>
          <w:tab w:val="left" w:pos="8280"/>
        </w:tabs>
        <w:autoSpaceDE w:val="0"/>
        <w:autoSpaceDN w:val="0"/>
        <w:adjustRightInd w:val="0"/>
        <w:spacing w:line="360" w:lineRule="auto"/>
        <w:ind w:right="23" w:firstLine="4620" w:firstLineChars="1650"/>
        <w:jc w:val="left"/>
        <w:rPr>
          <w:rFonts w:ascii="宋体" w:hAnsi="宋体"/>
          <w:sz w:val="28"/>
          <w:highlight w:val="none"/>
        </w:rPr>
      </w:pPr>
    </w:p>
    <w:p>
      <w:pPr>
        <w:tabs>
          <w:tab w:val="left" w:pos="580"/>
          <w:tab w:val="left" w:pos="720"/>
          <w:tab w:val="left" w:pos="2880"/>
          <w:tab w:val="left" w:pos="3600"/>
          <w:tab w:val="left" w:pos="4320"/>
          <w:tab w:val="left" w:pos="5040"/>
          <w:tab w:val="left" w:pos="5760"/>
          <w:tab w:val="left" w:pos="8280"/>
        </w:tabs>
        <w:autoSpaceDE w:val="0"/>
        <w:autoSpaceDN w:val="0"/>
        <w:adjustRightInd w:val="0"/>
        <w:spacing w:line="360" w:lineRule="auto"/>
        <w:ind w:right="23" w:firstLine="4620" w:firstLineChars="1650"/>
        <w:jc w:val="right"/>
        <w:rPr>
          <w:rFonts w:ascii="宋体" w:hAnsi="宋体"/>
          <w:sz w:val="28"/>
          <w:highlight w:val="none"/>
        </w:rPr>
      </w:pPr>
      <w:r>
        <w:rPr>
          <w:rFonts w:hint="eastAsia" w:ascii="宋体" w:hAnsi="宋体"/>
          <w:sz w:val="28"/>
          <w:szCs w:val="28"/>
          <w:highlight w:val="none"/>
        </w:rPr>
        <w:t xml:space="preserve"> </w:t>
      </w:r>
      <w:r>
        <w:rPr>
          <w:rFonts w:hint="eastAsia" w:ascii="宋体" w:hAnsi="宋体"/>
          <w:sz w:val="28"/>
          <w:highlight w:val="none"/>
        </w:rPr>
        <w:t>台州市产权交易所有限公司</w:t>
      </w:r>
    </w:p>
    <w:p>
      <w:pPr>
        <w:widowControl/>
        <w:jc w:val="right"/>
        <w:rPr>
          <w:b/>
          <w:sz w:val="32"/>
          <w:szCs w:val="36"/>
          <w:highlight w:val="none"/>
        </w:rPr>
      </w:pPr>
      <w:r>
        <w:rPr>
          <w:rFonts w:hint="eastAsia" w:ascii="宋体" w:hAnsi="宋体"/>
          <w:sz w:val="28"/>
          <w:szCs w:val="28"/>
          <w:highlight w:val="none"/>
        </w:rPr>
        <w:t xml:space="preserve">                            二〇二〇年</w:t>
      </w:r>
      <w:r>
        <w:rPr>
          <w:rFonts w:hint="eastAsia" w:ascii="宋体" w:hAnsi="宋体"/>
          <w:sz w:val="28"/>
          <w:szCs w:val="28"/>
          <w:highlight w:val="none"/>
          <w:lang w:eastAsia="zh-CN"/>
        </w:rPr>
        <w:t>十一</w:t>
      </w:r>
      <w:r>
        <w:rPr>
          <w:rFonts w:hint="eastAsia" w:ascii="宋体" w:hAnsi="宋体"/>
          <w:sz w:val="28"/>
          <w:szCs w:val="28"/>
          <w:highlight w:val="none"/>
        </w:rPr>
        <w:t>月</w:t>
      </w:r>
      <w:r>
        <w:rPr>
          <w:rFonts w:hint="eastAsia" w:ascii="宋体" w:hAnsi="宋体"/>
          <w:sz w:val="28"/>
          <w:szCs w:val="28"/>
          <w:highlight w:val="none"/>
          <w:lang w:eastAsia="zh-CN"/>
        </w:rPr>
        <w:t>三</w:t>
      </w:r>
      <w:r>
        <w:rPr>
          <w:rFonts w:hint="eastAsia" w:ascii="宋体" w:hAnsi="宋体"/>
          <w:sz w:val="28"/>
          <w:szCs w:val="28"/>
          <w:highlight w:val="none"/>
        </w:rPr>
        <w:t>日</w:t>
      </w:r>
    </w:p>
    <w:p>
      <w:pPr>
        <w:pStyle w:val="2"/>
        <w:jc w:val="center"/>
        <w:rPr>
          <w:sz w:val="32"/>
          <w:szCs w:val="32"/>
          <w:highlight w:val="none"/>
        </w:rPr>
      </w:pPr>
      <w:bookmarkStart w:id="14" w:name="_Toc48252223"/>
      <w:r>
        <w:rPr>
          <w:rFonts w:hint="eastAsia"/>
          <w:sz w:val="32"/>
          <w:szCs w:val="32"/>
          <w:highlight w:val="none"/>
        </w:rPr>
        <w:t>增资确认书</w:t>
      </w:r>
      <w:bookmarkEnd w:id="14"/>
    </w:p>
    <w:p>
      <w:pPr>
        <w:rPr>
          <w:rFonts w:ascii="宋体"/>
          <w:highlight w:val="none"/>
        </w:rPr>
      </w:pPr>
    </w:p>
    <w:p>
      <w:pPr>
        <w:spacing w:line="500" w:lineRule="exact"/>
        <w:rPr>
          <w:rFonts w:ascii="宋体"/>
          <w:sz w:val="24"/>
          <w:szCs w:val="24"/>
          <w:highlight w:val="none"/>
        </w:rPr>
      </w:pPr>
      <w:r>
        <w:rPr>
          <w:rFonts w:hint="eastAsia" w:ascii="宋体" w:hAnsi="宋体"/>
          <w:sz w:val="24"/>
          <w:szCs w:val="24"/>
          <w:highlight w:val="none"/>
        </w:rPr>
        <w:t>主持人：台州市产权交易所有限公司</w:t>
      </w:r>
    </w:p>
    <w:p>
      <w:pPr>
        <w:spacing w:line="500" w:lineRule="exact"/>
        <w:rPr>
          <w:rFonts w:ascii="宋体"/>
          <w:sz w:val="24"/>
          <w:szCs w:val="24"/>
          <w:highlight w:val="none"/>
        </w:rPr>
      </w:pPr>
      <w:r>
        <w:rPr>
          <w:rFonts w:hint="eastAsia" w:ascii="宋体" w:hAnsi="宋体"/>
          <w:sz w:val="24"/>
          <w:szCs w:val="24"/>
          <w:highlight w:val="none"/>
        </w:rPr>
        <w:t>投资方：                  联系电话：</w:t>
      </w:r>
    </w:p>
    <w:p>
      <w:pPr>
        <w:spacing w:line="500" w:lineRule="exact"/>
        <w:rPr>
          <w:rFonts w:ascii="宋体"/>
          <w:sz w:val="24"/>
          <w:szCs w:val="24"/>
          <w:highlight w:val="none"/>
        </w:rPr>
      </w:pPr>
    </w:p>
    <w:p>
      <w:pPr>
        <w:spacing w:line="500" w:lineRule="exact"/>
        <w:ind w:firstLine="480" w:firstLineChars="200"/>
        <w:rPr>
          <w:rFonts w:ascii="宋体" w:hAnsi="宋体"/>
          <w:sz w:val="24"/>
          <w:szCs w:val="24"/>
          <w:highlight w:val="none"/>
        </w:rPr>
      </w:pPr>
      <w:r>
        <w:rPr>
          <w:rFonts w:hint="eastAsia" w:ascii="宋体" w:hAnsi="宋体"/>
          <w:sz w:val="24"/>
          <w:szCs w:val="24"/>
          <w:highlight w:val="none"/>
        </w:rPr>
        <w:t>投资方于2020年</w:t>
      </w:r>
      <w:r>
        <w:rPr>
          <w:rFonts w:hint="eastAsia" w:ascii="宋体" w:hAnsi="宋体"/>
          <w:sz w:val="24"/>
          <w:szCs w:val="24"/>
          <w:highlight w:val="none"/>
          <w:lang w:val="en-US" w:eastAsia="zh-CN"/>
        </w:rPr>
        <w:t>12</w:t>
      </w:r>
      <w:r>
        <w:rPr>
          <w:rFonts w:hint="eastAsia" w:ascii="宋体" w:hAnsi="宋体"/>
          <w:sz w:val="24"/>
          <w:szCs w:val="24"/>
          <w:highlight w:val="none"/>
        </w:rPr>
        <w:t>月</w:t>
      </w:r>
      <w:r>
        <w:rPr>
          <w:rFonts w:hint="eastAsia" w:ascii="宋体" w:hAnsi="宋体"/>
          <w:sz w:val="24"/>
          <w:szCs w:val="24"/>
          <w:highlight w:val="none"/>
          <w:lang w:val="en-US" w:eastAsia="zh-CN"/>
        </w:rPr>
        <w:t>29</w:t>
      </w:r>
      <w:r>
        <w:rPr>
          <w:rFonts w:hint="eastAsia" w:ascii="宋体" w:hAnsi="宋体"/>
          <w:sz w:val="24"/>
          <w:szCs w:val="24"/>
          <w:highlight w:val="none"/>
        </w:rPr>
        <w:t>日上午9:30时在台州市市府大道777号浙江民泰商业银行</w:t>
      </w:r>
      <w:r>
        <w:rPr>
          <w:rFonts w:hint="eastAsia" w:ascii="宋体" w:hAnsi="宋体"/>
          <w:sz w:val="24"/>
          <w:szCs w:val="24"/>
          <w:highlight w:val="none"/>
          <w:lang w:eastAsia="zh-CN"/>
        </w:rPr>
        <w:t>五</w:t>
      </w:r>
      <w:r>
        <w:rPr>
          <w:rFonts w:hint="eastAsia" w:ascii="宋体" w:hAnsi="宋体"/>
          <w:sz w:val="24"/>
          <w:szCs w:val="24"/>
          <w:highlight w:val="none"/>
        </w:rPr>
        <w:t>楼举行的(台交所挂[2020]</w:t>
      </w:r>
      <w:r>
        <w:rPr>
          <w:rFonts w:hint="eastAsia" w:ascii="宋体" w:hAnsi="宋体"/>
          <w:sz w:val="24"/>
          <w:szCs w:val="24"/>
          <w:highlight w:val="none"/>
          <w:lang w:val="en-US" w:eastAsia="zh-CN"/>
        </w:rPr>
        <w:t>16</w:t>
      </w:r>
      <w:r>
        <w:rPr>
          <w:rFonts w:hint="eastAsia" w:ascii="宋体" w:hAnsi="宋体"/>
          <w:sz w:val="24"/>
          <w:szCs w:val="24"/>
          <w:highlight w:val="none"/>
        </w:rPr>
        <w:t>号)浙江海正生物材料股份有限公司新增</w:t>
      </w:r>
      <w:r>
        <w:rPr>
          <w:rFonts w:hint="eastAsia" w:ascii="宋体" w:hAnsi="宋体"/>
          <w:sz w:val="24"/>
          <w:szCs w:val="24"/>
          <w:highlight w:val="none"/>
          <w:lang w:val="en-US" w:eastAsia="zh-CN"/>
        </w:rPr>
        <w:t>10,457,516</w:t>
      </w:r>
      <w:r>
        <w:rPr>
          <w:rFonts w:hint="eastAsia" w:ascii="宋体" w:hAnsi="宋体"/>
          <w:sz w:val="24"/>
          <w:szCs w:val="24"/>
          <w:highlight w:val="none"/>
          <w:lang w:eastAsia="zh-CN"/>
        </w:rPr>
        <w:t>股</w:t>
      </w:r>
      <w:r>
        <w:rPr>
          <w:rFonts w:hint="eastAsia" w:ascii="宋体" w:hAnsi="宋体"/>
          <w:sz w:val="24"/>
          <w:szCs w:val="24"/>
          <w:highlight w:val="none"/>
        </w:rPr>
        <w:t>网络竞价活动中，根据相关法律法规规定，双方签订增资确认书如下：</w:t>
      </w:r>
    </w:p>
    <w:p>
      <w:pPr>
        <w:spacing w:line="500" w:lineRule="exact"/>
        <w:ind w:firstLine="480" w:firstLineChars="200"/>
        <w:rPr>
          <w:rFonts w:ascii="宋体" w:hAnsi="宋体"/>
          <w:sz w:val="24"/>
          <w:szCs w:val="24"/>
          <w:highlight w:val="none"/>
        </w:rPr>
      </w:pPr>
    </w:p>
    <w:p>
      <w:pPr>
        <w:spacing w:line="500" w:lineRule="exact"/>
        <w:ind w:firstLine="480" w:firstLineChars="200"/>
        <w:rPr>
          <w:rFonts w:ascii="宋体"/>
          <w:sz w:val="24"/>
          <w:szCs w:val="24"/>
          <w:highlight w:val="none"/>
        </w:rPr>
      </w:pPr>
      <w:r>
        <w:rPr>
          <w:rFonts w:hint="eastAsia" w:ascii="宋体" w:hAnsi="宋体"/>
          <w:sz w:val="24"/>
          <w:szCs w:val="24"/>
          <w:highlight w:val="none"/>
        </w:rPr>
        <w:t>一、</w:t>
      </w:r>
      <w:r>
        <w:rPr>
          <w:rFonts w:hint="eastAsia" w:ascii="宋体" w:hAnsi="宋体"/>
          <w:sz w:val="24"/>
          <w:szCs w:val="24"/>
          <w:highlight w:val="none"/>
          <w:u w:val="single"/>
        </w:rPr>
        <w:t>投资方投资总额</w:t>
      </w:r>
      <w:r>
        <w:rPr>
          <w:rFonts w:ascii="宋体" w:hAnsi="宋体"/>
          <w:sz w:val="24"/>
          <w:szCs w:val="24"/>
          <w:highlight w:val="none"/>
          <w:u w:val="single"/>
        </w:rPr>
        <w:t xml:space="preserve">           </w:t>
      </w:r>
      <w:r>
        <w:rPr>
          <w:rFonts w:hint="eastAsia" w:ascii="宋体" w:hAnsi="宋体"/>
          <w:sz w:val="24"/>
          <w:szCs w:val="24"/>
          <w:highlight w:val="none"/>
          <w:u w:val="single"/>
        </w:rPr>
        <w:t>元，单价</w:t>
      </w:r>
      <w:r>
        <w:rPr>
          <w:rFonts w:ascii="宋体" w:hAnsi="宋体"/>
          <w:sz w:val="24"/>
          <w:szCs w:val="24"/>
          <w:highlight w:val="none"/>
          <w:u w:val="single"/>
        </w:rPr>
        <w:t xml:space="preserve">       元</w:t>
      </w:r>
      <w:r>
        <w:rPr>
          <w:rFonts w:hint="eastAsia" w:ascii="宋体" w:hAnsi="宋体"/>
          <w:sz w:val="24"/>
          <w:szCs w:val="24"/>
          <w:highlight w:val="none"/>
          <w:u w:val="single"/>
        </w:rPr>
        <w:t>/股，增资后占得浙江海正生物材料股份有限公司*</w:t>
      </w:r>
      <w:r>
        <w:rPr>
          <w:rFonts w:ascii="宋体" w:hAnsi="宋体"/>
          <w:sz w:val="24"/>
          <w:szCs w:val="24"/>
          <w:highlight w:val="none"/>
          <w:u w:val="single"/>
        </w:rPr>
        <w:t>%</w:t>
      </w:r>
      <w:r>
        <w:rPr>
          <w:rFonts w:hint="eastAsia" w:ascii="宋体" w:hAnsi="宋体"/>
          <w:sz w:val="24"/>
          <w:szCs w:val="24"/>
          <w:highlight w:val="none"/>
          <w:u w:val="single"/>
        </w:rPr>
        <w:t>股权</w:t>
      </w:r>
      <w:r>
        <w:rPr>
          <w:rFonts w:hint="eastAsia" w:ascii="宋体" w:hAnsi="宋体"/>
          <w:sz w:val="24"/>
          <w:szCs w:val="24"/>
          <w:highlight w:val="none"/>
        </w:rPr>
        <w:t>。</w:t>
      </w:r>
    </w:p>
    <w:p>
      <w:pPr>
        <w:spacing w:line="500" w:lineRule="exact"/>
        <w:ind w:firstLine="480" w:firstLineChars="200"/>
        <w:rPr>
          <w:rFonts w:ascii="宋体" w:hAnsi="宋体"/>
          <w:sz w:val="24"/>
          <w:szCs w:val="24"/>
          <w:highlight w:val="none"/>
        </w:rPr>
      </w:pPr>
      <w:r>
        <w:rPr>
          <w:rFonts w:hint="eastAsia" w:ascii="宋体" w:hAnsi="宋体"/>
          <w:sz w:val="24"/>
          <w:szCs w:val="24"/>
          <w:highlight w:val="none"/>
        </w:rPr>
        <w:t>二、</w:t>
      </w:r>
      <w:r>
        <w:rPr>
          <w:rFonts w:hint="eastAsia" w:ascii="宋体" w:hAnsi="宋体"/>
          <w:sz w:val="24"/>
          <w:szCs w:val="24"/>
          <w:highlight w:val="none"/>
          <w:u w:val="single"/>
        </w:rPr>
        <w:t>服务费：大写人民币</w:t>
      </w:r>
      <w:r>
        <w:rPr>
          <w:rFonts w:hint="eastAsia" w:ascii="宋体" w:hAnsi="宋体"/>
          <w:sz w:val="24"/>
          <w:szCs w:val="24"/>
          <w:highlight w:val="none"/>
          <w:u w:val="single"/>
          <w:lang w:eastAsia="zh-CN"/>
        </w:rPr>
        <w:t xml:space="preserve"> </w:t>
      </w:r>
      <w:r>
        <w:rPr>
          <w:rFonts w:hint="eastAsia" w:ascii="宋体" w:hAnsi="宋体"/>
          <w:sz w:val="24"/>
          <w:szCs w:val="24"/>
          <w:highlight w:val="none"/>
          <w:u w:val="single"/>
          <w:lang w:val="en-US" w:eastAsia="zh-CN"/>
        </w:rPr>
        <w:t xml:space="preserve">      </w:t>
      </w:r>
      <w:r>
        <w:rPr>
          <w:rFonts w:hint="eastAsia" w:ascii="宋体" w:hAnsi="宋体"/>
          <w:sz w:val="24"/>
          <w:szCs w:val="24"/>
          <w:highlight w:val="none"/>
          <w:u w:val="single"/>
        </w:rPr>
        <w:t>，小写人民币</w:t>
      </w:r>
      <w:r>
        <w:rPr>
          <w:rFonts w:hint="eastAsia" w:ascii="宋体" w:hAnsi="宋体"/>
          <w:sz w:val="24"/>
          <w:szCs w:val="24"/>
          <w:highlight w:val="none"/>
          <w:u w:val="single"/>
          <w:lang w:eastAsia="zh-CN"/>
        </w:rPr>
        <w:t xml:space="preserve"> </w:t>
      </w:r>
      <w:r>
        <w:rPr>
          <w:rFonts w:hint="eastAsia" w:ascii="宋体" w:hAnsi="宋体"/>
          <w:sz w:val="24"/>
          <w:szCs w:val="24"/>
          <w:highlight w:val="none"/>
          <w:u w:val="single"/>
          <w:lang w:val="en-US" w:eastAsia="zh-CN"/>
        </w:rPr>
        <w:t xml:space="preserve">            </w:t>
      </w:r>
      <w:r>
        <w:rPr>
          <w:rFonts w:hint="eastAsia" w:ascii="宋体" w:hAnsi="宋体"/>
          <w:sz w:val="24"/>
          <w:szCs w:val="24"/>
          <w:highlight w:val="none"/>
          <w:u w:val="single"/>
        </w:rPr>
        <w:t>元</w:t>
      </w:r>
      <w:r>
        <w:rPr>
          <w:rFonts w:hint="eastAsia" w:ascii="宋体" w:hAnsi="宋体"/>
          <w:sz w:val="24"/>
          <w:szCs w:val="24"/>
          <w:highlight w:val="none"/>
        </w:rPr>
        <w:t>。</w:t>
      </w:r>
    </w:p>
    <w:p>
      <w:pPr>
        <w:spacing w:line="360" w:lineRule="auto"/>
        <w:ind w:firstLine="480" w:firstLineChars="200"/>
        <w:rPr>
          <w:rFonts w:hint="eastAsia" w:ascii="宋体" w:hAnsi="宋体"/>
          <w:sz w:val="24"/>
          <w:szCs w:val="24"/>
          <w:highlight w:val="none"/>
          <w:lang w:val="en-US" w:eastAsia="zh-CN"/>
        </w:rPr>
      </w:pPr>
      <w:r>
        <w:rPr>
          <w:rFonts w:hint="eastAsia" w:ascii="宋体" w:hAnsi="宋体"/>
          <w:sz w:val="24"/>
          <w:szCs w:val="24"/>
          <w:highlight w:val="none"/>
        </w:rPr>
        <w:t>三、付款方式：增资成交后，投资方当天签署本《增资确认书》，</w:t>
      </w:r>
      <w:r>
        <w:rPr>
          <w:rFonts w:ascii="宋体" w:hAnsi="宋体"/>
          <w:sz w:val="24"/>
          <w:szCs w:val="24"/>
          <w:highlight w:val="none"/>
        </w:rPr>
        <w:t>并于《增资确认书》</w:t>
      </w:r>
      <w:r>
        <w:rPr>
          <w:rFonts w:hint="eastAsia" w:ascii="宋体" w:hAnsi="宋体"/>
          <w:sz w:val="24"/>
          <w:szCs w:val="24"/>
          <w:highlight w:val="none"/>
          <w:lang w:eastAsia="zh-CN"/>
        </w:rPr>
        <w:t>签署后两日内签署增资协议</w:t>
      </w:r>
      <w:r>
        <w:rPr>
          <w:rFonts w:hint="eastAsia" w:ascii="宋体" w:hAnsi="宋体"/>
          <w:sz w:val="24"/>
          <w:szCs w:val="24"/>
          <w:highlight w:val="none"/>
        </w:rPr>
        <w:t>，</w:t>
      </w:r>
      <w:r>
        <w:rPr>
          <w:rFonts w:hint="eastAsia" w:ascii="宋体" w:hAnsi="宋体"/>
          <w:sz w:val="24"/>
          <w:szCs w:val="24"/>
          <w:highlight w:val="none"/>
          <w:lang w:eastAsia="zh-CN"/>
        </w:rPr>
        <w:t>增资协议</w:t>
      </w:r>
      <w:r>
        <w:rPr>
          <w:rFonts w:hint="eastAsia" w:ascii="宋体" w:hAnsi="宋体"/>
          <w:sz w:val="24"/>
          <w:szCs w:val="24"/>
          <w:highlight w:val="none"/>
        </w:rPr>
        <w:t>签署后</w:t>
      </w:r>
      <w:r>
        <w:rPr>
          <w:rFonts w:ascii="宋体" w:hAnsi="宋体"/>
          <w:sz w:val="24"/>
          <w:szCs w:val="24"/>
          <w:highlight w:val="none"/>
        </w:rPr>
        <w:t xml:space="preserve"> </w:t>
      </w:r>
      <w:r>
        <w:rPr>
          <w:rFonts w:hint="eastAsia" w:ascii="宋体" w:hAnsi="宋体"/>
          <w:sz w:val="24"/>
          <w:szCs w:val="24"/>
          <w:highlight w:val="none"/>
          <w:lang w:val="en-US" w:eastAsia="zh-CN"/>
        </w:rPr>
        <w:t>10</w:t>
      </w:r>
      <w:r>
        <w:rPr>
          <w:rFonts w:ascii="宋体" w:hAnsi="宋体"/>
          <w:sz w:val="24"/>
          <w:szCs w:val="24"/>
          <w:highlight w:val="none"/>
        </w:rPr>
        <w:t>个工作日</w:t>
      </w:r>
      <w:r>
        <w:rPr>
          <w:rFonts w:hint="eastAsia" w:ascii="宋体" w:hAnsi="宋体"/>
          <w:sz w:val="24"/>
          <w:szCs w:val="24"/>
          <w:highlight w:val="none"/>
        </w:rPr>
        <w:t>内</w:t>
      </w:r>
      <w:r>
        <w:rPr>
          <w:rFonts w:hint="eastAsia" w:ascii="宋体" w:hAnsi="宋体"/>
          <w:sz w:val="24"/>
          <w:szCs w:val="24"/>
          <w:highlight w:val="none"/>
          <w:lang w:eastAsia="zh-CN"/>
        </w:rPr>
        <w:t>投资方</w:t>
      </w:r>
      <w:r>
        <w:rPr>
          <w:rFonts w:hint="eastAsia" w:ascii="宋体" w:hAnsi="宋体"/>
          <w:sz w:val="24"/>
          <w:szCs w:val="24"/>
          <w:highlight w:val="none"/>
        </w:rPr>
        <w:t>一次性支付全部</w:t>
      </w:r>
      <w:r>
        <w:rPr>
          <w:rFonts w:hint="eastAsia" w:ascii="宋体" w:hAnsi="宋体"/>
          <w:sz w:val="24"/>
          <w:szCs w:val="24"/>
          <w:highlight w:val="none"/>
          <w:lang w:eastAsia="zh-CN"/>
        </w:rPr>
        <w:t>剩余增</w:t>
      </w:r>
      <w:r>
        <w:rPr>
          <w:rFonts w:hint="eastAsia" w:ascii="宋体" w:hAnsi="宋体"/>
          <w:sz w:val="24"/>
          <w:szCs w:val="24"/>
          <w:highlight w:val="none"/>
        </w:rPr>
        <w:t>资款</w:t>
      </w:r>
      <w:r>
        <w:rPr>
          <w:rFonts w:hint="eastAsia" w:ascii="宋体" w:hAnsi="宋体"/>
          <w:sz w:val="24"/>
          <w:szCs w:val="24"/>
          <w:highlight w:val="none"/>
          <w:lang w:eastAsia="zh-CN"/>
        </w:rPr>
        <w:t>（投资方先期汇入台州市产权交易所有限公司的竞买保证金应转为</w:t>
      </w:r>
      <w:r>
        <w:rPr>
          <w:rFonts w:hint="eastAsia" w:ascii="宋体" w:hAnsi="宋体"/>
          <w:sz w:val="24"/>
          <w:szCs w:val="24"/>
          <w:highlight w:val="none"/>
          <w:lang w:val="en-US" w:eastAsia="zh-CN"/>
        </w:rPr>
        <w:t>等</w:t>
      </w:r>
      <w:r>
        <w:rPr>
          <w:rFonts w:hint="eastAsia" w:ascii="宋体" w:hAnsi="宋体"/>
          <w:sz w:val="24"/>
          <w:szCs w:val="24"/>
          <w:highlight w:val="none"/>
          <w:lang w:eastAsia="zh-CN"/>
        </w:rPr>
        <w:t>额增资款）</w:t>
      </w:r>
      <w:r>
        <w:rPr>
          <w:rFonts w:hint="eastAsia" w:ascii="宋体" w:hAnsi="宋体"/>
          <w:sz w:val="24"/>
          <w:szCs w:val="24"/>
          <w:highlight w:val="none"/>
        </w:rPr>
        <w:t>。</w:t>
      </w:r>
      <w:r>
        <w:rPr>
          <w:rFonts w:ascii="宋体" w:hAnsi="宋体"/>
          <w:sz w:val="24"/>
          <w:highlight w:val="none"/>
        </w:rPr>
        <w:t>并于</w:t>
      </w:r>
      <w:r>
        <w:rPr>
          <w:rFonts w:hint="eastAsia" w:ascii="宋体" w:hAnsi="宋体"/>
          <w:sz w:val="24"/>
          <w:highlight w:val="none"/>
          <w:lang w:eastAsia="zh-CN"/>
        </w:rPr>
        <w:t>增资协议</w:t>
      </w:r>
      <w:r>
        <w:rPr>
          <w:rFonts w:hint="eastAsia" w:ascii="宋体" w:hAnsi="宋体"/>
          <w:sz w:val="24"/>
          <w:highlight w:val="none"/>
        </w:rPr>
        <w:t>签署</w:t>
      </w:r>
      <w:r>
        <w:rPr>
          <w:rFonts w:ascii="宋体" w:hAnsi="宋体"/>
          <w:sz w:val="24"/>
          <w:highlight w:val="none"/>
        </w:rPr>
        <w:t>后</w:t>
      </w:r>
      <w:r>
        <w:rPr>
          <w:rFonts w:hint="eastAsia" w:ascii="宋体" w:hAnsi="宋体"/>
          <w:sz w:val="24"/>
          <w:highlight w:val="none"/>
        </w:rPr>
        <w:t>10</w:t>
      </w:r>
      <w:r>
        <w:rPr>
          <w:rFonts w:ascii="宋体" w:hAnsi="宋体"/>
          <w:sz w:val="24"/>
          <w:highlight w:val="none"/>
        </w:rPr>
        <w:t>个工作日内</w:t>
      </w:r>
      <w:r>
        <w:rPr>
          <w:rFonts w:hint="eastAsia" w:ascii="宋体" w:hAnsi="宋体"/>
          <w:sz w:val="24"/>
          <w:highlight w:val="none"/>
        </w:rPr>
        <w:t>向</w:t>
      </w:r>
      <w:r>
        <w:rPr>
          <w:rFonts w:ascii="宋体" w:hAnsi="宋体"/>
          <w:sz w:val="24"/>
          <w:highlight w:val="none"/>
        </w:rPr>
        <w:t>产交所支付</w:t>
      </w:r>
      <w:r>
        <w:rPr>
          <w:rFonts w:hint="eastAsia" w:ascii="宋体" w:hAnsi="宋体"/>
          <w:sz w:val="24"/>
          <w:highlight w:val="none"/>
          <w:lang w:val="en-US" w:eastAsia="zh-CN"/>
        </w:rPr>
        <w:t>金额为</w:t>
      </w:r>
      <w:r>
        <w:rPr>
          <w:rFonts w:hint="eastAsia" w:ascii="宋体" w:hAnsi="宋体"/>
          <w:sz w:val="24"/>
          <w:highlight w:val="none"/>
        </w:rPr>
        <w:t>成交额0.2%的服务费</w:t>
      </w:r>
      <w:r>
        <w:rPr>
          <w:rFonts w:hint="eastAsia" w:ascii="宋体" w:hAnsi="宋体"/>
          <w:sz w:val="24"/>
          <w:szCs w:val="24"/>
          <w:highlight w:val="none"/>
        </w:rPr>
        <w:t>。</w:t>
      </w:r>
      <w:r>
        <w:rPr>
          <w:rFonts w:hint="eastAsia" w:ascii="宋体" w:hAnsi="宋体"/>
          <w:sz w:val="24"/>
          <w:szCs w:val="24"/>
          <w:highlight w:val="none"/>
          <w:lang w:val="en-US" w:eastAsia="zh-CN"/>
        </w:rPr>
        <w:t xml:space="preserve"> </w:t>
      </w:r>
    </w:p>
    <w:p>
      <w:pPr>
        <w:spacing w:line="360" w:lineRule="auto"/>
        <w:ind w:firstLine="560"/>
        <w:rPr>
          <w:rFonts w:ascii="宋体" w:hAnsi="宋体"/>
          <w:sz w:val="24"/>
          <w:szCs w:val="24"/>
          <w:highlight w:val="none"/>
        </w:rPr>
      </w:pPr>
      <w:r>
        <w:rPr>
          <w:rFonts w:hint="eastAsia" w:ascii="宋体" w:hAnsi="宋体"/>
          <w:sz w:val="24"/>
          <w:szCs w:val="24"/>
          <w:highlight w:val="none"/>
          <w:lang w:eastAsia="zh-CN"/>
        </w:rPr>
        <w:t>服务费收款账户：</w:t>
      </w:r>
      <w:r>
        <w:rPr>
          <w:rFonts w:hint="eastAsia" w:ascii="宋体" w:hAnsi="宋体"/>
          <w:sz w:val="24"/>
          <w:szCs w:val="24"/>
          <w:highlight w:val="none"/>
        </w:rPr>
        <w:t>开户单位：台州市产权交易所有限公司，</w:t>
      </w:r>
      <w:r>
        <w:rPr>
          <w:rFonts w:ascii="宋体" w:hAnsi="宋体"/>
          <w:sz w:val="24"/>
          <w:szCs w:val="24"/>
          <w:highlight w:val="none"/>
        </w:rPr>
        <w:t>开户行：浙江民泰商业银行</w:t>
      </w:r>
      <w:r>
        <w:rPr>
          <w:rFonts w:hint="eastAsia" w:ascii="宋体" w:hAnsi="宋体"/>
          <w:sz w:val="24"/>
          <w:szCs w:val="24"/>
          <w:highlight w:val="none"/>
        </w:rPr>
        <w:t>股份有限公司</w:t>
      </w:r>
      <w:r>
        <w:rPr>
          <w:rFonts w:ascii="宋体" w:hAnsi="宋体"/>
          <w:sz w:val="24"/>
          <w:szCs w:val="24"/>
          <w:highlight w:val="none"/>
        </w:rPr>
        <w:t>椒江</w:t>
      </w:r>
      <w:r>
        <w:rPr>
          <w:rFonts w:hint="eastAsia" w:ascii="宋体" w:hAnsi="宋体"/>
          <w:sz w:val="24"/>
          <w:szCs w:val="24"/>
          <w:highlight w:val="none"/>
        </w:rPr>
        <w:t>市府大道</w:t>
      </w:r>
      <w:r>
        <w:rPr>
          <w:rFonts w:ascii="宋体" w:hAnsi="宋体"/>
          <w:sz w:val="24"/>
          <w:szCs w:val="24"/>
          <w:highlight w:val="none"/>
        </w:rPr>
        <w:t>支行</w:t>
      </w:r>
      <w:r>
        <w:rPr>
          <w:rFonts w:hint="eastAsia" w:ascii="宋体" w:hAnsi="宋体"/>
          <w:sz w:val="24"/>
          <w:szCs w:val="24"/>
          <w:highlight w:val="none"/>
        </w:rPr>
        <w:t>，</w:t>
      </w:r>
      <w:r>
        <w:rPr>
          <w:rFonts w:ascii="宋体" w:hAnsi="宋体"/>
          <w:sz w:val="24"/>
          <w:szCs w:val="24"/>
          <w:highlight w:val="none"/>
        </w:rPr>
        <w:t>账号：5830</w:t>
      </w:r>
      <w:r>
        <w:rPr>
          <w:rFonts w:hint="eastAsia" w:ascii="宋体" w:hAnsi="宋体"/>
          <w:sz w:val="24"/>
          <w:szCs w:val="24"/>
          <w:highlight w:val="none"/>
        </w:rPr>
        <w:t>16</w:t>
      </w:r>
      <w:r>
        <w:rPr>
          <w:rFonts w:ascii="宋体" w:hAnsi="宋体"/>
          <w:sz w:val="24"/>
          <w:szCs w:val="24"/>
          <w:highlight w:val="none"/>
        </w:rPr>
        <w:t>260800028。</w:t>
      </w:r>
    </w:p>
    <w:p>
      <w:pPr>
        <w:spacing w:line="360" w:lineRule="auto"/>
        <w:ind w:firstLine="560"/>
        <w:rPr>
          <w:rFonts w:hint="eastAsia" w:ascii="宋体" w:hAnsi="宋体"/>
          <w:sz w:val="24"/>
          <w:szCs w:val="24"/>
          <w:highlight w:val="none"/>
        </w:rPr>
      </w:pPr>
      <w:r>
        <w:rPr>
          <w:rFonts w:hint="eastAsia" w:ascii="宋体" w:hAnsi="宋体"/>
          <w:sz w:val="24"/>
          <w:szCs w:val="24"/>
          <w:highlight w:val="none"/>
          <w:lang w:val="en-US" w:eastAsia="zh-CN"/>
        </w:rPr>
        <w:t>增资款收款</w:t>
      </w:r>
      <w:r>
        <w:rPr>
          <w:rFonts w:hint="eastAsia" w:ascii="宋体" w:hAnsi="宋体"/>
          <w:sz w:val="24"/>
          <w:szCs w:val="24"/>
          <w:highlight w:val="none"/>
          <w:lang w:eastAsia="zh-CN"/>
        </w:rPr>
        <w:t>账户：</w:t>
      </w:r>
      <w:r>
        <w:rPr>
          <w:rFonts w:hint="eastAsia" w:ascii="宋体" w:hAnsi="宋体"/>
          <w:sz w:val="24"/>
          <w:szCs w:val="24"/>
          <w:highlight w:val="none"/>
        </w:rPr>
        <w:t>开户单位：浙江海正生物材料股份有限公司</w:t>
      </w:r>
      <w:r>
        <w:rPr>
          <w:rFonts w:hint="eastAsia" w:ascii="宋体" w:hAnsi="宋体"/>
          <w:sz w:val="24"/>
          <w:szCs w:val="24"/>
          <w:highlight w:val="none"/>
          <w:lang w:eastAsia="zh-CN"/>
        </w:rPr>
        <w:t>，开户行：</w:t>
      </w:r>
      <w:r>
        <w:rPr>
          <w:rFonts w:hint="eastAsia" w:ascii="宋体" w:hAnsi="宋体"/>
          <w:sz w:val="24"/>
          <w:szCs w:val="24"/>
          <w:highlight w:val="none"/>
        </w:rPr>
        <w:t>台州建行营业部</w:t>
      </w:r>
      <w:r>
        <w:rPr>
          <w:rFonts w:hint="eastAsia" w:ascii="宋体" w:hAnsi="宋体"/>
          <w:sz w:val="24"/>
          <w:szCs w:val="24"/>
          <w:highlight w:val="none"/>
          <w:lang w:eastAsia="zh-CN"/>
        </w:rPr>
        <w:t>，账号：</w:t>
      </w:r>
      <w:r>
        <w:rPr>
          <w:rFonts w:hint="eastAsia" w:ascii="宋体" w:hAnsi="宋体"/>
          <w:sz w:val="24"/>
          <w:szCs w:val="24"/>
          <w:highlight w:val="none"/>
        </w:rPr>
        <w:t>33001663700050000049</w:t>
      </w:r>
      <w:r>
        <w:rPr>
          <w:rFonts w:hint="eastAsia" w:ascii="宋体" w:hAnsi="宋体"/>
          <w:sz w:val="24"/>
          <w:szCs w:val="24"/>
          <w:highlight w:val="none"/>
          <w:lang w:eastAsia="zh-CN"/>
        </w:rPr>
        <w:t>。</w:t>
      </w:r>
    </w:p>
    <w:p>
      <w:pPr>
        <w:spacing w:line="480" w:lineRule="atLeast"/>
        <w:ind w:right="105" w:rightChars="50" w:firstLine="480" w:firstLineChars="200"/>
        <w:jc w:val="left"/>
        <w:rPr>
          <w:rFonts w:ascii="宋体" w:hAnsi="宋体"/>
          <w:bCs/>
          <w:sz w:val="24"/>
          <w:szCs w:val="24"/>
          <w:highlight w:val="none"/>
        </w:rPr>
      </w:pPr>
      <w:r>
        <w:rPr>
          <w:rFonts w:hint="eastAsia" w:ascii="宋体" w:hAnsi="宋体"/>
          <w:sz w:val="24"/>
          <w:szCs w:val="24"/>
          <w:highlight w:val="none"/>
        </w:rPr>
        <w:t>四、投资方成交后拒绝签署《增资确认书》、</w:t>
      </w:r>
      <w:r>
        <w:rPr>
          <w:rFonts w:hint="eastAsia" w:ascii="宋体" w:hAnsi="宋体"/>
          <w:sz w:val="24"/>
          <w:szCs w:val="24"/>
          <w:highlight w:val="none"/>
          <w:lang w:eastAsia="zh-CN"/>
        </w:rPr>
        <w:t>增资协议</w:t>
      </w:r>
      <w:r>
        <w:rPr>
          <w:rFonts w:hint="eastAsia" w:ascii="宋体" w:hAnsi="宋体"/>
          <w:sz w:val="24"/>
          <w:szCs w:val="24"/>
          <w:highlight w:val="none"/>
        </w:rPr>
        <w:t>，或不依本确认书足额支付投资款项的，视为其</w:t>
      </w:r>
      <w:r>
        <w:rPr>
          <w:rFonts w:hint="eastAsia" w:ascii="宋体" w:hAnsi="宋体"/>
          <w:sz w:val="24"/>
          <w:szCs w:val="24"/>
          <w:highlight w:val="none"/>
          <w:lang w:val="en-US" w:eastAsia="zh-CN"/>
        </w:rPr>
        <w:t>根本违约</w:t>
      </w:r>
      <w:r>
        <w:rPr>
          <w:rFonts w:hint="eastAsia" w:ascii="宋体" w:hAnsi="宋体"/>
          <w:sz w:val="24"/>
          <w:szCs w:val="24"/>
          <w:highlight w:val="none"/>
        </w:rPr>
        <w:t>，台交所不再返还其已付的保证金并有权追究其违约责任，并在10个工作日内将扣除服务费后的保证金汇入融资方账户；投资方逾期支付增资成交款项的，视为投资方根本违约；</w:t>
      </w:r>
      <w:r>
        <w:rPr>
          <w:rFonts w:hint="eastAsia" w:ascii="宋体" w:hAnsi="宋体"/>
          <w:bCs/>
          <w:sz w:val="24"/>
          <w:szCs w:val="24"/>
          <w:highlight w:val="none"/>
        </w:rPr>
        <w:t>融资方有权解除</w:t>
      </w:r>
      <w:r>
        <w:rPr>
          <w:rFonts w:hint="eastAsia" w:ascii="宋体" w:hAnsi="宋体"/>
          <w:bCs/>
          <w:sz w:val="24"/>
          <w:szCs w:val="24"/>
          <w:highlight w:val="none"/>
          <w:lang w:eastAsia="zh-CN"/>
        </w:rPr>
        <w:t>增资协议</w:t>
      </w:r>
      <w:r>
        <w:rPr>
          <w:rFonts w:hint="eastAsia" w:ascii="宋体" w:hAnsi="宋体"/>
          <w:bCs/>
          <w:sz w:val="24"/>
          <w:szCs w:val="24"/>
          <w:highlight w:val="none"/>
        </w:rPr>
        <w:t>，台交所有权解除《增资确认书》</w:t>
      </w:r>
      <w:r>
        <w:rPr>
          <w:rFonts w:hint="eastAsia" w:ascii="宋体" w:hAnsi="宋体"/>
          <w:sz w:val="24"/>
          <w:szCs w:val="24"/>
          <w:highlight w:val="none"/>
        </w:rPr>
        <w:t>，投资方先期汇入台州市产权交易所</w:t>
      </w:r>
      <w:r>
        <w:rPr>
          <w:rFonts w:hint="eastAsia" w:ascii="宋体" w:hAnsi="宋体"/>
          <w:sz w:val="24"/>
          <w:szCs w:val="24"/>
          <w:highlight w:val="none"/>
          <w:lang w:eastAsia="zh-CN"/>
        </w:rPr>
        <w:t>有限公司</w:t>
      </w:r>
      <w:r>
        <w:rPr>
          <w:rFonts w:hint="eastAsia" w:ascii="宋体" w:hAnsi="宋体"/>
          <w:sz w:val="24"/>
          <w:szCs w:val="24"/>
          <w:highlight w:val="none"/>
        </w:rPr>
        <w:t>指定账户的保证金不予退还。</w:t>
      </w:r>
    </w:p>
    <w:p>
      <w:pPr>
        <w:spacing w:line="500" w:lineRule="exact"/>
        <w:ind w:firstLine="480" w:firstLineChars="200"/>
        <w:rPr>
          <w:rFonts w:ascii="宋体"/>
          <w:sz w:val="24"/>
          <w:szCs w:val="24"/>
          <w:highlight w:val="none"/>
        </w:rPr>
      </w:pPr>
      <w:r>
        <w:rPr>
          <w:rFonts w:hint="eastAsia" w:ascii="宋体" w:hAnsi="宋体"/>
          <w:sz w:val="24"/>
          <w:szCs w:val="24"/>
          <w:highlight w:val="none"/>
        </w:rPr>
        <w:t>五、投资方凭本《增资确认书》</w:t>
      </w:r>
      <w:r>
        <w:rPr>
          <w:rFonts w:hint="eastAsia" w:ascii="宋体" w:hAnsi="宋体"/>
          <w:sz w:val="24"/>
          <w:szCs w:val="24"/>
          <w:highlight w:val="none"/>
          <w:lang w:eastAsia="zh-CN"/>
        </w:rPr>
        <w:t>于两日内与融资方</w:t>
      </w:r>
      <w:r>
        <w:rPr>
          <w:rFonts w:hint="eastAsia" w:ascii="宋体" w:hAnsi="宋体"/>
          <w:sz w:val="24"/>
          <w:szCs w:val="24"/>
          <w:highlight w:val="none"/>
        </w:rPr>
        <w:t>签订</w:t>
      </w:r>
      <w:r>
        <w:rPr>
          <w:rFonts w:hint="eastAsia" w:ascii="宋体" w:hAnsi="宋体"/>
          <w:sz w:val="24"/>
          <w:szCs w:val="24"/>
          <w:highlight w:val="none"/>
          <w:lang w:eastAsia="zh-CN"/>
        </w:rPr>
        <w:t>增资协议</w:t>
      </w:r>
      <w:r>
        <w:rPr>
          <w:rFonts w:hint="eastAsia" w:ascii="宋体" w:hAnsi="宋体"/>
          <w:sz w:val="24"/>
          <w:szCs w:val="24"/>
          <w:highlight w:val="none"/>
        </w:rPr>
        <w:t>，并按增资协议进行履约。</w:t>
      </w:r>
    </w:p>
    <w:p>
      <w:pPr>
        <w:spacing w:line="500" w:lineRule="exact"/>
        <w:ind w:firstLine="480"/>
        <w:rPr>
          <w:rFonts w:ascii="宋体"/>
          <w:sz w:val="24"/>
          <w:szCs w:val="24"/>
          <w:highlight w:val="none"/>
        </w:rPr>
      </w:pPr>
      <w:r>
        <w:rPr>
          <w:rFonts w:hint="eastAsia" w:ascii="宋体" w:hAnsi="宋体"/>
          <w:sz w:val="24"/>
          <w:szCs w:val="24"/>
          <w:highlight w:val="none"/>
        </w:rPr>
        <w:t>六、确定本增资扩股活动各方当事人权利义务的依据：</w:t>
      </w:r>
    </w:p>
    <w:p>
      <w:pPr>
        <w:spacing w:line="500" w:lineRule="exact"/>
        <w:ind w:firstLine="480"/>
        <w:rPr>
          <w:rFonts w:ascii="宋体"/>
          <w:sz w:val="24"/>
          <w:szCs w:val="24"/>
          <w:highlight w:val="none"/>
        </w:rPr>
      </w:pPr>
      <w:r>
        <w:rPr>
          <w:rFonts w:ascii="宋体" w:hAnsi="宋体"/>
          <w:sz w:val="24"/>
          <w:szCs w:val="24"/>
          <w:highlight w:val="none"/>
        </w:rPr>
        <w:t>1</w:t>
      </w:r>
      <w:r>
        <w:rPr>
          <w:rFonts w:hint="eastAsia" w:ascii="宋体" w:hAnsi="宋体"/>
          <w:sz w:val="24"/>
          <w:szCs w:val="24"/>
          <w:highlight w:val="none"/>
        </w:rPr>
        <w:t>、《委托增资服务协议》；</w:t>
      </w:r>
    </w:p>
    <w:p>
      <w:pPr>
        <w:spacing w:line="500" w:lineRule="exact"/>
        <w:ind w:firstLine="480"/>
        <w:rPr>
          <w:rFonts w:ascii="宋体"/>
          <w:sz w:val="24"/>
          <w:szCs w:val="24"/>
          <w:highlight w:val="none"/>
        </w:rPr>
      </w:pPr>
      <w:r>
        <w:rPr>
          <w:rFonts w:ascii="宋体" w:hAnsi="宋体"/>
          <w:sz w:val="24"/>
          <w:szCs w:val="24"/>
          <w:highlight w:val="none"/>
        </w:rPr>
        <w:t>2</w:t>
      </w:r>
      <w:r>
        <w:rPr>
          <w:rFonts w:hint="eastAsia" w:ascii="宋体" w:hAnsi="宋体"/>
          <w:sz w:val="24"/>
          <w:szCs w:val="24"/>
          <w:highlight w:val="none"/>
        </w:rPr>
        <w:t>、《增资扩股协议》及</w:t>
      </w:r>
      <w:r>
        <w:rPr>
          <w:rFonts w:ascii="宋体" w:hAnsi="宋体"/>
          <w:sz w:val="24"/>
          <w:szCs w:val="24"/>
          <w:highlight w:val="none"/>
        </w:rPr>
        <w:t>其补充协议（如有）</w:t>
      </w:r>
      <w:r>
        <w:rPr>
          <w:rFonts w:hint="eastAsia" w:ascii="宋体" w:hAnsi="宋体"/>
          <w:sz w:val="24"/>
          <w:szCs w:val="24"/>
          <w:highlight w:val="none"/>
        </w:rPr>
        <w:t>；</w:t>
      </w:r>
    </w:p>
    <w:p>
      <w:pPr>
        <w:spacing w:line="500" w:lineRule="exact"/>
        <w:ind w:firstLine="480"/>
        <w:rPr>
          <w:rFonts w:ascii="宋体"/>
          <w:sz w:val="24"/>
          <w:szCs w:val="24"/>
          <w:highlight w:val="none"/>
        </w:rPr>
      </w:pPr>
      <w:r>
        <w:rPr>
          <w:rFonts w:ascii="宋体" w:hAnsi="宋体"/>
          <w:sz w:val="24"/>
          <w:szCs w:val="24"/>
          <w:highlight w:val="none"/>
        </w:rPr>
        <w:t>3</w:t>
      </w:r>
      <w:r>
        <w:rPr>
          <w:rFonts w:hint="eastAsia" w:ascii="宋体" w:hAnsi="宋体"/>
          <w:sz w:val="24"/>
          <w:szCs w:val="24"/>
          <w:highlight w:val="none"/>
        </w:rPr>
        <w:t>、《须知及特别约定》；</w:t>
      </w:r>
    </w:p>
    <w:p>
      <w:pPr>
        <w:spacing w:line="500" w:lineRule="exact"/>
        <w:ind w:firstLine="480"/>
        <w:rPr>
          <w:rFonts w:ascii="宋体"/>
          <w:sz w:val="24"/>
          <w:szCs w:val="24"/>
          <w:highlight w:val="none"/>
        </w:rPr>
      </w:pPr>
      <w:r>
        <w:rPr>
          <w:rFonts w:ascii="宋体" w:hAnsi="宋体"/>
          <w:sz w:val="24"/>
          <w:szCs w:val="24"/>
          <w:highlight w:val="none"/>
        </w:rPr>
        <w:t>4</w:t>
      </w:r>
      <w:r>
        <w:rPr>
          <w:rFonts w:hint="eastAsia" w:ascii="宋体" w:hAnsi="宋体"/>
          <w:sz w:val="24"/>
          <w:szCs w:val="24"/>
          <w:highlight w:val="none"/>
        </w:rPr>
        <w:t>、投资方办理的增资申请书及提供的有关文件和资料；</w:t>
      </w:r>
    </w:p>
    <w:p>
      <w:pPr>
        <w:spacing w:line="500" w:lineRule="exact"/>
        <w:ind w:firstLine="480"/>
        <w:rPr>
          <w:rFonts w:ascii="宋体"/>
          <w:sz w:val="24"/>
          <w:szCs w:val="24"/>
          <w:highlight w:val="none"/>
        </w:rPr>
      </w:pPr>
      <w:r>
        <w:rPr>
          <w:rFonts w:ascii="宋体" w:hAnsi="宋体"/>
          <w:sz w:val="24"/>
          <w:szCs w:val="24"/>
          <w:highlight w:val="none"/>
        </w:rPr>
        <w:t>5</w:t>
      </w:r>
      <w:r>
        <w:rPr>
          <w:rFonts w:hint="eastAsia" w:ascii="宋体" w:hAnsi="宋体"/>
          <w:sz w:val="24"/>
          <w:szCs w:val="24"/>
          <w:highlight w:val="none"/>
        </w:rPr>
        <w:t>、其他与本次增资有关的文件及内容。</w:t>
      </w:r>
    </w:p>
    <w:p>
      <w:pPr>
        <w:spacing w:line="500" w:lineRule="exact"/>
        <w:ind w:firstLine="480" w:firstLineChars="200"/>
        <w:rPr>
          <w:rFonts w:ascii="宋体" w:hAnsi="宋体"/>
          <w:sz w:val="24"/>
          <w:szCs w:val="24"/>
          <w:highlight w:val="none"/>
        </w:rPr>
      </w:pPr>
      <w:r>
        <w:rPr>
          <w:rFonts w:hint="eastAsia" w:ascii="宋体" w:hAnsi="宋体"/>
          <w:sz w:val="24"/>
          <w:szCs w:val="24"/>
          <w:highlight w:val="none"/>
        </w:rPr>
        <w:t>七、本确认书在履行中若发生争议，双方应协商解决，协商不成的，可向当地人民法院以起诉方式解决。</w:t>
      </w:r>
    </w:p>
    <w:p>
      <w:pPr>
        <w:spacing w:line="500" w:lineRule="exact"/>
        <w:ind w:firstLine="480" w:firstLineChars="200"/>
        <w:rPr>
          <w:rFonts w:ascii="宋体"/>
          <w:sz w:val="24"/>
          <w:szCs w:val="24"/>
          <w:highlight w:val="none"/>
        </w:rPr>
      </w:pPr>
      <w:r>
        <w:rPr>
          <w:rFonts w:hint="eastAsia" w:ascii="宋体" w:hAnsi="宋体"/>
          <w:sz w:val="24"/>
          <w:szCs w:val="24"/>
          <w:highlight w:val="none"/>
        </w:rPr>
        <w:t>八、本《增资确认书》一式陆份。组织人、投资方各执二份，融资方、监管部门各执一份。</w:t>
      </w:r>
    </w:p>
    <w:p>
      <w:pPr>
        <w:spacing w:line="500" w:lineRule="exact"/>
        <w:ind w:firstLine="480"/>
        <w:rPr>
          <w:rFonts w:ascii="宋体"/>
          <w:sz w:val="24"/>
          <w:szCs w:val="24"/>
          <w:highlight w:val="none"/>
        </w:rPr>
      </w:pPr>
    </w:p>
    <w:p>
      <w:pPr>
        <w:spacing w:line="500" w:lineRule="exact"/>
        <w:rPr>
          <w:rFonts w:ascii="宋体"/>
          <w:sz w:val="24"/>
          <w:szCs w:val="24"/>
          <w:highlight w:val="none"/>
        </w:rPr>
      </w:pPr>
    </w:p>
    <w:p>
      <w:pPr>
        <w:spacing w:line="500" w:lineRule="exact"/>
        <w:rPr>
          <w:rFonts w:ascii="宋体"/>
          <w:sz w:val="24"/>
          <w:szCs w:val="24"/>
          <w:highlight w:val="none"/>
        </w:rPr>
      </w:pPr>
      <w:r>
        <w:rPr>
          <w:rFonts w:hint="eastAsia" w:ascii="宋体" w:hAnsi="宋体"/>
          <w:sz w:val="24"/>
          <w:szCs w:val="24"/>
          <w:highlight w:val="none"/>
        </w:rPr>
        <w:t>组织人（盖章）：台州市产权交易所有限公司     投资方：</w:t>
      </w:r>
    </w:p>
    <w:p>
      <w:pPr>
        <w:tabs>
          <w:tab w:val="left" w:pos="5210"/>
        </w:tabs>
        <w:spacing w:line="500" w:lineRule="exact"/>
        <w:rPr>
          <w:rFonts w:ascii="宋体"/>
          <w:sz w:val="24"/>
          <w:szCs w:val="24"/>
          <w:highlight w:val="none"/>
        </w:rPr>
      </w:pPr>
      <w:r>
        <w:rPr>
          <w:rFonts w:hint="eastAsia" w:ascii="宋体" w:hAnsi="宋体"/>
          <w:sz w:val="24"/>
          <w:szCs w:val="24"/>
          <w:highlight w:val="none"/>
        </w:rPr>
        <w:t>法定代表人：</w:t>
      </w:r>
      <w:r>
        <w:rPr>
          <w:rFonts w:ascii="宋体"/>
          <w:sz w:val="24"/>
          <w:szCs w:val="24"/>
          <w:highlight w:val="none"/>
        </w:rPr>
        <w:tab/>
      </w:r>
      <w:r>
        <w:rPr>
          <w:rFonts w:hint="eastAsia" w:ascii="宋体" w:hAnsi="宋体"/>
          <w:sz w:val="24"/>
          <w:szCs w:val="24"/>
          <w:highlight w:val="none"/>
        </w:rPr>
        <w:t>法定代表人：</w:t>
      </w:r>
    </w:p>
    <w:p>
      <w:pPr>
        <w:tabs>
          <w:tab w:val="left" w:pos="5210"/>
        </w:tabs>
        <w:spacing w:line="500" w:lineRule="exact"/>
        <w:rPr>
          <w:rFonts w:ascii="宋体"/>
          <w:sz w:val="24"/>
          <w:szCs w:val="24"/>
          <w:highlight w:val="none"/>
        </w:rPr>
      </w:pPr>
      <w:r>
        <w:rPr>
          <w:rFonts w:hint="eastAsia" w:ascii="宋体" w:hAnsi="宋体"/>
          <w:sz w:val="24"/>
          <w:szCs w:val="24"/>
          <w:highlight w:val="none"/>
        </w:rPr>
        <w:t>委托代理人：</w:t>
      </w:r>
      <w:r>
        <w:rPr>
          <w:rFonts w:ascii="宋体"/>
          <w:sz w:val="24"/>
          <w:szCs w:val="24"/>
          <w:highlight w:val="none"/>
        </w:rPr>
        <w:tab/>
      </w:r>
      <w:r>
        <w:rPr>
          <w:rFonts w:hint="eastAsia" w:ascii="宋体" w:hAnsi="宋体"/>
          <w:sz w:val="24"/>
          <w:szCs w:val="24"/>
          <w:highlight w:val="none"/>
        </w:rPr>
        <w:t>委托代理人：</w:t>
      </w:r>
    </w:p>
    <w:p>
      <w:pPr>
        <w:tabs>
          <w:tab w:val="left" w:pos="5210"/>
        </w:tabs>
        <w:spacing w:line="500" w:lineRule="exact"/>
        <w:rPr>
          <w:rFonts w:ascii="宋体"/>
          <w:sz w:val="23"/>
          <w:szCs w:val="23"/>
          <w:highlight w:val="none"/>
        </w:rPr>
      </w:pPr>
      <w:r>
        <w:rPr>
          <w:rFonts w:hint="eastAsia" w:ascii="宋体" w:hAnsi="宋体"/>
          <w:sz w:val="24"/>
          <w:szCs w:val="24"/>
          <w:highlight w:val="none"/>
        </w:rPr>
        <w:t>签订日期：  年   月   日                    签订日期：  年  月   日</w:t>
      </w:r>
    </w:p>
    <w:p>
      <w:pPr>
        <w:tabs>
          <w:tab w:val="left" w:pos="5210"/>
        </w:tabs>
        <w:spacing w:line="360" w:lineRule="auto"/>
        <w:rPr>
          <w:rFonts w:ascii="宋体"/>
          <w:sz w:val="23"/>
          <w:szCs w:val="23"/>
          <w:highlight w:val="none"/>
        </w:rPr>
      </w:pPr>
    </w:p>
    <w:p>
      <w:pPr>
        <w:widowControl/>
        <w:spacing w:line="580" w:lineRule="exact"/>
        <w:jc w:val="center"/>
        <w:rPr>
          <w:rFonts w:ascii="宋体" w:cs="宋体"/>
          <w:b/>
          <w:bCs/>
          <w:kern w:val="0"/>
          <w:sz w:val="44"/>
          <w:szCs w:val="44"/>
          <w:highlight w:val="none"/>
        </w:rPr>
      </w:pPr>
      <w:r>
        <w:rPr>
          <w:rFonts w:ascii="宋体"/>
          <w:sz w:val="23"/>
          <w:szCs w:val="23"/>
          <w:highlight w:val="none"/>
        </w:rPr>
        <w:br w:type="page"/>
      </w:r>
      <w:r>
        <w:rPr>
          <w:rFonts w:hint="eastAsia" w:ascii="宋体" w:hAnsi="宋体" w:cs="宋体"/>
          <w:b/>
          <w:bCs/>
          <w:kern w:val="0"/>
          <w:sz w:val="44"/>
          <w:szCs w:val="44"/>
          <w:highlight w:val="none"/>
        </w:rPr>
        <w:t>浙江海正生物材料股份有限公司</w:t>
      </w:r>
    </w:p>
    <w:p>
      <w:pPr>
        <w:widowControl/>
        <w:spacing w:line="580" w:lineRule="exact"/>
        <w:jc w:val="center"/>
        <w:outlineLvl w:val="0"/>
        <w:rPr>
          <w:rFonts w:ascii="黑体" w:hAnsi="宋体" w:eastAsia="黑体" w:cs="宋体"/>
          <w:b/>
          <w:bCs/>
          <w:kern w:val="0"/>
          <w:sz w:val="22"/>
          <w:highlight w:val="none"/>
        </w:rPr>
      </w:pPr>
      <w:bookmarkStart w:id="15" w:name="_Toc48252224"/>
      <w:r>
        <w:rPr>
          <w:rFonts w:hint="eastAsia" w:ascii="宋体" w:hAnsi="宋体" w:cs="宋体"/>
          <w:b/>
          <w:bCs/>
          <w:kern w:val="0"/>
          <w:sz w:val="44"/>
          <w:szCs w:val="44"/>
          <w:highlight w:val="none"/>
        </w:rPr>
        <w:t>增资扩股协议</w:t>
      </w:r>
      <w:bookmarkEnd w:id="15"/>
    </w:p>
    <w:p>
      <w:pPr>
        <w:widowControl/>
        <w:spacing w:line="580" w:lineRule="exact"/>
        <w:jc w:val="center"/>
        <w:rPr>
          <w:rFonts w:ascii="黑体" w:hAnsi="宋体" w:eastAsia="黑体" w:cs="宋体"/>
          <w:b/>
          <w:bCs/>
          <w:kern w:val="0"/>
          <w:sz w:val="22"/>
          <w:highlight w:val="none"/>
        </w:rPr>
      </w:pPr>
    </w:p>
    <w:p>
      <w:pPr>
        <w:widowControl/>
        <w:spacing w:line="580" w:lineRule="exact"/>
        <w:jc w:val="center"/>
        <w:rPr>
          <w:rFonts w:ascii="黑体" w:eastAsia="黑体" w:cs="宋体"/>
          <w:kern w:val="0"/>
          <w:sz w:val="16"/>
          <w:szCs w:val="18"/>
          <w:highlight w:val="none"/>
        </w:rPr>
      </w:pPr>
    </w:p>
    <w:p>
      <w:pPr>
        <w:widowControl/>
        <w:spacing w:line="500" w:lineRule="exact"/>
        <w:rPr>
          <w:rFonts w:ascii="宋体" w:cs="宋体"/>
          <w:kern w:val="0"/>
          <w:sz w:val="24"/>
          <w:szCs w:val="24"/>
          <w:highlight w:val="none"/>
        </w:rPr>
      </w:pPr>
      <w:r>
        <w:rPr>
          <w:rFonts w:hint="eastAsia" w:ascii="宋体" w:hAnsi="宋体" w:cs="宋体"/>
          <w:kern w:val="0"/>
          <w:sz w:val="24"/>
          <w:szCs w:val="24"/>
          <w:highlight w:val="none"/>
        </w:rPr>
        <w:t>甲方：浙江海正生物材料股份有限公司</w:t>
      </w:r>
    </w:p>
    <w:p>
      <w:pPr>
        <w:widowControl/>
        <w:spacing w:line="500" w:lineRule="exact"/>
        <w:jc w:val="left"/>
        <w:rPr>
          <w:rFonts w:ascii="宋体" w:hAnsi="宋体" w:cs="宋体"/>
          <w:kern w:val="0"/>
          <w:sz w:val="24"/>
          <w:szCs w:val="24"/>
          <w:highlight w:val="none"/>
        </w:rPr>
      </w:pPr>
      <w:r>
        <w:rPr>
          <w:rFonts w:hint="eastAsia" w:ascii="宋体" w:hAnsi="宋体" w:cs="宋体"/>
          <w:kern w:val="0"/>
          <w:sz w:val="24"/>
          <w:szCs w:val="24"/>
          <w:highlight w:val="none"/>
        </w:rPr>
        <w:t>主体资格证号：</w:t>
      </w:r>
      <w:r>
        <w:rPr>
          <w:rFonts w:ascii="宋体" w:hAnsi="宋体" w:cs="宋体"/>
          <w:kern w:val="0"/>
          <w:sz w:val="24"/>
          <w:szCs w:val="24"/>
          <w:highlight w:val="none"/>
        </w:rPr>
        <w:t>913300007664077600</w:t>
      </w:r>
    </w:p>
    <w:p>
      <w:pPr>
        <w:widowControl/>
        <w:spacing w:line="500" w:lineRule="exact"/>
        <w:jc w:val="left"/>
        <w:rPr>
          <w:rFonts w:ascii="宋体" w:hAnsi="宋体" w:cs="宋体"/>
          <w:kern w:val="0"/>
          <w:sz w:val="24"/>
          <w:szCs w:val="24"/>
          <w:highlight w:val="none"/>
        </w:rPr>
      </w:pPr>
      <w:r>
        <w:rPr>
          <w:rFonts w:hint="eastAsia" w:ascii="宋体" w:hAnsi="宋体" w:cs="宋体"/>
          <w:kern w:val="0"/>
          <w:sz w:val="24"/>
          <w:szCs w:val="24"/>
          <w:highlight w:val="none"/>
        </w:rPr>
        <w:t>注册地址</w:t>
      </w:r>
      <w:r>
        <w:rPr>
          <w:rFonts w:ascii="宋体" w:hAnsi="宋体" w:cs="宋体"/>
          <w:kern w:val="0"/>
          <w:sz w:val="24"/>
          <w:szCs w:val="24"/>
          <w:highlight w:val="none"/>
        </w:rPr>
        <w:t>/</w:t>
      </w:r>
      <w:r>
        <w:rPr>
          <w:rFonts w:hint="eastAsia" w:ascii="宋体" w:hAnsi="宋体" w:cs="宋体"/>
          <w:kern w:val="0"/>
          <w:sz w:val="24"/>
          <w:szCs w:val="24"/>
          <w:highlight w:val="none"/>
        </w:rPr>
        <w:t>住所：浙江省台州市椒江区工人路293号301-07室</w:t>
      </w:r>
    </w:p>
    <w:p>
      <w:pPr>
        <w:widowControl/>
        <w:spacing w:line="500" w:lineRule="exact"/>
        <w:jc w:val="left"/>
        <w:rPr>
          <w:rFonts w:ascii="宋体" w:cs="宋体"/>
          <w:kern w:val="0"/>
          <w:sz w:val="24"/>
          <w:szCs w:val="24"/>
          <w:highlight w:val="none"/>
        </w:rPr>
      </w:pPr>
      <w:r>
        <w:rPr>
          <w:rFonts w:hint="eastAsia" w:ascii="宋体" w:hAnsi="宋体" w:cs="宋体"/>
          <w:kern w:val="0"/>
          <w:sz w:val="24"/>
          <w:szCs w:val="24"/>
          <w:highlight w:val="none"/>
        </w:rPr>
        <w:t>经济性质：其他股份有限公司(非上市)</w:t>
      </w:r>
    </w:p>
    <w:p>
      <w:pPr>
        <w:widowControl/>
        <w:spacing w:line="500" w:lineRule="exact"/>
        <w:jc w:val="left"/>
        <w:rPr>
          <w:rFonts w:ascii="宋体" w:cs="宋体"/>
          <w:kern w:val="0"/>
          <w:sz w:val="24"/>
          <w:szCs w:val="24"/>
          <w:highlight w:val="none"/>
        </w:rPr>
      </w:pPr>
      <w:r>
        <w:rPr>
          <w:rFonts w:hint="eastAsia" w:ascii="宋体" w:hAnsi="宋体" w:cs="宋体"/>
          <w:kern w:val="0"/>
          <w:sz w:val="24"/>
          <w:szCs w:val="24"/>
          <w:highlight w:val="none"/>
        </w:rPr>
        <w:t>法定代表人：蒋国平</w:t>
      </w:r>
    </w:p>
    <w:p>
      <w:pPr>
        <w:widowControl/>
        <w:spacing w:line="500" w:lineRule="exact"/>
        <w:jc w:val="left"/>
        <w:rPr>
          <w:rFonts w:ascii="宋体" w:cs="宋体"/>
          <w:kern w:val="0"/>
          <w:sz w:val="24"/>
          <w:szCs w:val="24"/>
          <w:highlight w:val="none"/>
        </w:rPr>
      </w:pPr>
    </w:p>
    <w:p>
      <w:pPr>
        <w:spacing w:line="500" w:lineRule="exact"/>
        <w:rPr>
          <w:rFonts w:ascii="宋体"/>
          <w:sz w:val="24"/>
          <w:szCs w:val="24"/>
          <w:highlight w:val="none"/>
        </w:rPr>
      </w:pPr>
    </w:p>
    <w:p>
      <w:pPr>
        <w:widowControl/>
        <w:spacing w:line="500" w:lineRule="exact"/>
        <w:rPr>
          <w:rFonts w:ascii="宋体" w:cs="宋体"/>
          <w:kern w:val="0"/>
          <w:sz w:val="24"/>
          <w:szCs w:val="24"/>
          <w:highlight w:val="none"/>
        </w:rPr>
      </w:pPr>
      <w:r>
        <w:rPr>
          <w:rFonts w:hint="eastAsia" w:ascii="宋体" w:hAnsi="宋体" w:cs="宋体"/>
          <w:kern w:val="0"/>
          <w:sz w:val="24"/>
          <w:szCs w:val="24"/>
          <w:highlight w:val="none"/>
        </w:rPr>
        <w:t>乙方：</w:t>
      </w:r>
    </w:p>
    <w:p>
      <w:pPr>
        <w:widowControl/>
        <w:spacing w:line="500" w:lineRule="exact"/>
        <w:rPr>
          <w:rFonts w:ascii="宋体" w:cs="宋体"/>
          <w:kern w:val="0"/>
          <w:sz w:val="24"/>
          <w:szCs w:val="24"/>
          <w:highlight w:val="none"/>
        </w:rPr>
      </w:pPr>
      <w:r>
        <w:rPr>
          <w:rFonts w:hint="eastAsia" w:ascii="宋体" w:hAnsi="宋体" w:cs="宋体"/>
          <w:kern w:val="0"/>
          <w:sz w:val="24"/>
          <w:szCs w:val="24"/>
          <w:highlight w:val="none"/>
        </w:rPr>
        <w:t>主体资格证号：</w:t>
      </w:r>
    </w:p>
    <w:p>
      <w:pPr>
        <w:widowControl/>
        <w:spacing w:line="500" w:lineRule="exact"/>
        <w:rPr>
          <w:rFonts w:ascii="宋体" w:cs="宋体"/>
          <w:kern w:val="0"/>
          <w:sz w:val="24"/>
          <w:szCs w:val="24"/>
          <w:highlight w:val="none"/>
        </w:rPr>
      </w:pPr>
      <w:r>
        <w:rPr>
          <w:rFonts w:hint="eastAsia" w:ascii="宋体" w:hAnsi="宋体" w:cs="宋体"/>
          <w:kern w:val="0"/>
          <w:sz w:val="24"/>
          <w:szCs w:val="24"/>
          <w:highlight w:val="none"/>
        </w:rPr>
        <w:t>注册地址</w:t>
      </w:r>
      <w:r>
        <w:rPr>
          <w:rFonts w:ascii="宋体" w:hAnsi="宋体" w:cs="宋体"/>
          <w:kern w:val="0"/>
          <w:sz w:val="24"/>
          <w:szCs w:val="24"/>
          <w:highlight w:val="none"/>
        </w:rPr>
        <w:t>/</w:t>
      </w:r>
      <w:r>
        <w:rPr>
          <w:rFonts w:hint="eastAsia" w:ascii="宋体" w:hAnsi="宋体" w:cs="宋体"/>
          <w:kern w:val="0"/>
          <w:sz w:val="24"/>
          <w:szCs w:val="24"/>
          <w:highlight w:val="none"/>
        </w:rPr>
        <w:t>住所：</w:t>
      </w:r>
    </w:p>
    <w:p>
      <w:pPr>
        <w:widowControl/>
        <w:spacing w:line="500" w:lineRule="exact"/>
        <w:rPr>
          <w:rFonts w:ascii="宋体" w:cs="宋体"/>
          <w:kern w:val="0"/>
          <w:sz w:val="24"/>
          <w:szCs w:val="24"/>
          <w:highlight w:val="none"/>
        </w:rPr>
      </w:pPr>
      <w:r>
        <w:rPr>
          <w:rFonts w:hint="eastAsia" w:ascii="宋体" w:hAnsi="宋体" w:cs="宋体"/>
          <w:kern w:val="0"/>
          <w:sz w:val="24"/>
          <w:szCs w:val="24"/>
          <w:highlight w:val="none"/>
        </w:rPr>
        <w:t>经济性质：</w:t>
      </w:r>
    </w:p>
    <w:p>
      <w:pPr>
        <w:widowControl/>
        <w:spacing w:line="500" w:lineRule="exact"/>
        <w:rPr>
          <w:rFonts w:ascii="宋体" w:cs="宋体"/>
          <w:kern w:val="0"/>
          <w:sz w:val="24"/>
          <w:szCs w:val="24"/>
          <w:highlight w:val="none"/>
        </w:rPr>
      </w:pPr>
      <w:r>
        <w:rPr>
          <w:rFonts w:hint="eastAsia" w:ascii="宋体" w:hAnsi="宋体" w:cs="宋体"/>
          <w:kern w:val="0"/>
          <w:sz w:val="24"/>
          <w:szCs w:val="24"/>
          <w:highlight w:val="none"/>
        </w:rPr>
        <w:t>法定代表人：</w:t>
      </w:r>
    </w:p>
    <w:p>
      <w:pPr>
        <w:widowControl/>
        <w:spacing w:line="500" w:lineRule="exact"/>
        <w:rPr>
          <w:rFonts w:ascii="宋体" w:cs="宋体"/>
          <w:kern w:val="0"/>
          <w:sz w:val="24"/>
          <w:szCs w:val="24"/>
          <w:highlight w:val="none"/>
        </w:rPr>
      </w:pPr>
    </w:p>
    <w:p>
      <w:pPr>
        <w:widowControl/>
        <w:spacing w:line="500" w:lineRule="exact"/>
        <w:rPr>
          <w:rFonts w:ascii="宋体" w:cs="宋体"/>
          <w:kern w:val="0"/>
          <w:sz w:val="24"/>
          <w:szCs w:val="24"/>
          <w:highlight w:val="none"/>
        </w:rPr>
      </w:pPr>
    </w:p>
    <w:p>
      <w:pPr>
        <w:widowControl/>
        <w:spacing w:line="500" w:lineRule="exact"/>
        <w:jc w:val="left"/>
        <w:rPr>
          <w:rFonts w:ascii="宋体" w:cs="宋体"/>
          <w:kern w:val="0"/>
          <w:sz w:val="24"/>
          <w:szCs w:val="24"/>
          <w:highlight w:val="none"/>
        </w:rPr>
      </w:pPr>
    </w:p>
    <w:p>
      <w:pPr>
        <w:widowControl/>
        <w:spacing w:line="500" w:lineRule="exact"/>
        <w:jc w:val="left"/>
        <w:rPr>
          <w:rFonts w:ascii="宋体" w:cs="宋体"/>
          <w:kern w:val="0"/>
          <w:sz w:val="24"/>
          <w:szCs w:val="24"/>
          <w:highlight w:val="none"/>
        </w:rPr>
      </w:pPr>
    </w:p>
    <w:p>
      <w:pPr>
        <w:widowControl/>
        <w:spacing w:line="500" w:lineRule="exact"/>
        <w:jc w:val="left"/>
        <w:rPr>
          <w:rFonts w:ascii="宋体" w:cs="宋体"/>
          <w:b/>
          <w:kern w:val="0"/>
          <w:sz w:val="24"/>
          <w:szCs w:val="24"/>
          <w:highlight w:val="none"/>
        </w:rPr>
      </w:pPr>
      <w:r>
        <w:rPr>
          <w:rFonts w:ascii="宋体" w:cs="宋体"/>
          <w:b/>
          <w:kern w:val="0"/>
          <w:sz w:val="24"/>
          <w:szCs w:val="24"/>
          <w:highlight w:val="none"/>
        </w:rPr>
        <w:br w:type="page"/>
      </w:r>
      <w:r>
        <w:rPr>
          <w:rFonts w:hint="eastAsia" w:ascii="宋体" w:hAnsi="宋体" w:cs="宋体"/>
          <w:b/>
          <w:kern w:val="0"/>
          <w:sz w:val="24"/>
          <w:szCs w:val="24"/>
          <w:highlight w:val="none"/>
        </w:rPr>
        <w:t>鉴于：</w:t>
      </w:r>
    </w:p>
    <w:p>
      <w:pPr>
        <w:spacing w:line="500" w:lineRule="exact"/>
        <w:ind w:firstLine="480" w:firstLineChars="200"/>
        <w:rPr>
          <w:rFonts w:ascii="宋体" w:cs="宋体"/>
          <w:kern w:val="0"/>
          <w:sz w:val="24"/>
          <w:szCs w:val="24"/>
          <w:highlight w:val="none"/>
        </w:rPr>
      </w:pPr>
      <w:r>
        <w:rPr>
          <w:rFonts w:hint="eastAsia" w:ascii="宋体" w:hAnsi="宋体" w:cs="宋体"/>
          <w:kern w:val="0"/>
          <w:sz w:val="24"/>
          <w:szCs w:val="24"/>
          <w:highlight w:val="none"/>
        </w:rPr>
        <w:t>（一）甲方是依法设立、合法存续的股份有限公司；</w:t>
      </w:r>
    </w:p>
    <w:p>
      <w:pPr>
        <w:spacing w:line="500" w:lineRule="exact"/>
        <w:ind w:firstLine="480" w:firstLineChars="200"/>
        <w:rPr>
          <w:rFonts w:ascii="宋体" w:cs="宋体"/>
          <w:kern w:val="0"/>
          <w:sz w:val="24"/>
          <w:szCs w:val="24"/>
          <w:highlight w:val="none"/>
        </w:rPr>
      </w:pPr>
      <w:r>
        <w:rPr>
          <w:rFonts w:hint="eastAsia" w:ascii="宋体" w:hAnsi="宋体" w:cs="宋体"/>
          <w:kern w:val="0"/>
          <w:sz w:val="24"/>
          <w:szCs w:val="24"/>
          <w:highlight w:val="none"/>
        </w:rPr>
        <w:t>（二）乙方是</w:t>
      </w:r>
      <w:r>
        <w:rPr>
          <w:rFonts w:hint="eastAsia" w:ascii="宋体" w:hAnsi="宋体" w:cs="宋体"/>
          <w:kern w:val="0"/>
          <w:sz w:val="24"/>
          <w:szCs w:val="24"/>
          <w:highlight w:val="none"/>
          <w:u w:val="single"/>
        </w:rPr>
        <w:t xml:space="preserve"> </w:t>
      </w:r>
      <w:r>
        <w:rPr>
          <w:rFonts w:ascii="宋体" w:hAnsi="宋体" w:cs="宋体"/>
          <w:kern w:val="0"/>
          <w:sz w:val="24"/>
          <w:szCs w:val="24"/>
          <w:highlight w:val="none"/>
          <w:u w:val="single"/>
        </w:rPr>
        <w:t xml:space="preserve">                            </w:t>
      </w:r>
      <w:r>
        <w:rPr>
          <w:rFonts w:hint="eastAsia" w:ascii="宋体" w:hAnsi="宋体" w:cs="宋体"/>
          <w:kern w:val="0"/>
          <w:sz w:val="24"/>
          <w:szCs w:val="24"/>
          <w:highlight w:val="none"/>
        </w:rPr>
        <w:t>；</w:t>
      </w:r>
    </w:p>
    <w:p>
      <w:pPr>
        <w:spacing w:line="500" w:lineRule="exact"/>
        <w:ind w:firstLine="480" w:firstLineChars="200"/>
        <w:rPr>
          <w:rFonts w:ascii="宋体" w:cs="宋体"/>
          <w:kern w:val="0"/>
          <w:sz w:val="24"/>
          <w:szCs w:val="24"/>
          <w:highlight w:val="none"/>
        </w:rPr>
      </w:pPr>
      <w:r>
        <w:rPr>
          <w:rFonts w:hint="eastAsia" w:ascii="宋体" w:hAnsi="宋体" w:cs="宋体"/>
          <w:kern w:val="0"/>
          <w:sz w:val="24"/>
          <w:szCs w:val="24"/>
          <w:highlight w:val="none"/>
        </w:rPr>
        <w:t>（（三）甲方通过台州市产权交易所有限公司，以公开征集投资方（即新增加股东）的方式认购增资额</w:t>
      </w:r>
      <w:r>
        <w:rPr>
          <w:rFonts w:hint="eastAsia" w:ascii="宋体" w:hAnsi="宋体" w:cs="宋体"/>
          <w:kern w:val="0"/>
          <w:sz w:val="24"/>
          <w:szCs w:val="24"/>
          <w:highlight w:val="none"/>
          <w:u w:val="single"/>
          <w:lang w:eastAsia="zh-CN"/>
        </w:rPr>
        <w:t xml:space="preserve"> </w:t>
      </w:r>
      <w:r>
        <w:rPr>
          <w:rFonts w:hint="eastAsia" w:ascii="宋体" w:hAnsi="宋体" w:cs="宋体"/>
          <w:kern w:val="0"/>
          <w:sz w:val="24"/>
          <w:szCs w:val="24"/>
          <w:highlight w:val="none"/>
          <w:u w:val="single"/>
          <w:lang w:val="en-US" w:eastAsia="zh-CN"/>
        </w:rPr>
        <w:t xml:space="preserve">       </w:t>
      </w:r>
      <w:r>
        <w:rPr>
          <w:rFonts w:hint="eastAsia" w:ascii="宋体" w:hAnsi="宋体" w:cs="宋体"/>
          <w:kern w:val="0"/>
          <w:sz w:val="24"/>
          <w:szCs w:val="24"/>
          <w:highlight w:val="none"/>
        </w:rPr>
        <w:t>元（或不低于</w:t>
      </w:r>
      <w:r>
        <w:rPr>
          <w:rFonts w:hint="eastAsia" w:ascii="宋体" w:hAnsi="宋体" w:cs="宋体"/>
          <w:kern w:val="0"/>
          <w:sz w:val="24"/>
          <w:szCs w:val="24"/>
          <w:highlight w:val="none"/>
          <w:u w:val="single"/>
          <w:lang w:eastAsia="zh-CN"/>
        </w:rPr>
        <w:t xml:space="preserve"> </w:t>
      </w:r>
      <w:r>
        <w:rPr>
          <w:rFonts w:hint="eastAsia" w:ascii="宋体" w:hAnsi="宋体" w:cs="宋体"/>
          <w:kern w:val="0"/>
          <w:sz w:val="24"/>
          <w:szCs w:val="24"/>
          <w:highlight w:val="none"/>
          <w:u w:val="single"/>
          <w:lang w:val="en-US" w:eastAsia="zh-CN"/>
        </w:rPr>
        <w:t xml:space="preserve">      </w:t>
      </w:r>
      <w:r>
        <w:rPr>
          <w:rFonts w:hint="eastAsia" w:ascii="宋体" w:hAnsi="宋体" w:cs="宋体"/>
          <w:kern w:val="0"/>
          <w:sz w:val="24"/>
          <w:szCs w:val="24"/>
          <w:highlight w:val="none"/>
        </w:rPr>
        <w:t>亿元人民币），投资方以台州市产权交易所有限公司公布的报名条件和增资规则对上述标的进行增资；</w:t>
      </w:r>
    </w:p>
    <w:p>
      <w:pPr>
        <w:wordWrap/>
        <w:spacing w:line="500" w:lineRule="exact"/>
        <w:ind w:firstLine="480" w:firstLineChars="200"/>
        <w:rPr>
          <w:rFonts w:ascii="宋体" w:cs="宋体"/>
          <w:kern w:val="0"/>
          <w:sz w:val="24"/>
          <w:szCs w:val="24"/>
          <w:highlight w:val="none"/>
        </w:rPr>
      </w:pPr>
      <w:r>
        <w:rPr>
          <w:rFonts w:hint="eastAsia" w:ascii="宋体" w:hAnsi="宋体" w:cs="宋体"/>
          <w:kern w:val="0"/>
          <w:sz w:val="24"/>
          <w:szCs w:val="24"/>
          <w:highlight w:val="none"/>
        </w:rPr>
        <w:t>（四）乙方自愿参与甲方本次增资，且已通过台州市产权交易所有限公司的增资程序</w:t>
      </w:r>
      <w:r>
        <w:rPr>
          <w:rFonts w:hint="eastAsia" w:ascii="宋体" w:hAnsi="宋体" w:cs="宋体"/>
          <w:kern w:val="0"/>
          <w:sz w:val="24"/>
          <w:szCs w:val="24"/>
          <w:highlight w:val="none"/>
          <w:lang w:eastAsia="zh-CN"/>
        </w:rPr>
        <w:t>投资人民币</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rPr>
        <w:t>元，</w:t>
      </w:r>
      <w:r>
        <w:rPr>
          <w:rFonts w:hint="eastAsia" w:ascii="宋体" w:hAnsi="宋体" w:cs="宋体"/>
          <w:kern w:val="0"/>
          <w:sz w:val="24"/>
          <w:szCs w:val="24"/>
          <w:highlight w:val="none"/>
          <w:lang w:val="en-US" w:eastAsia="zh-CN"/>
        </w:rPr>
        <w:t>单价</w:t>
      </w:r>
      <w:r>
        <w:rPr>
          <w:rFonts w:hint="eastAsia" w:ascii="宋体" w:hAnsi="宋体" w:cs="宋体"/>
          <w:kern w:val="0"/>
          <w:sz w:val="24"/>
          <w:szCs w:val="24"/>
          <w:highlight w:val="none"/>
          <w:u w:val="single"/>
          <w:lang w:val="en-US" w:eastAsia="zh-CN"/>
        </w:rPr>
        <w:t xml:space="preserve">            元/股，增资后</w:t>
      </w:r>
      <w:r>
        <w:rPr>
          <w:rFonts w:hint="eastAsia" w:ascii="宋体" w:hAnsi="宋体"/>
          <w:sz w:val="24"/>
          <w:szCs w:val="24"/>
          <w:highlight w:val="none"/>
        </w:rPr>
        <w:t>占</w:t>
      </w:r>
      <w:r>
        <w:rPr>
          <w:rFonts w:hint="eastAsia" w:ascii="宋体" w:hAnsi="宋体"/>
          <w:sz w:val="24"/>
          <w:szCs w:val="24"/>
          <w:highlight w:val="none"/>
          <w:lang w:val="en-US" w:eastAsia="zh-CN"/>
        </w:rPr>
        <w:t>得</w:t>
      </w:r>
      <w:r>
        <w:rPr>
          <w:rFonts w:hint="eastAsia" w:ascii="宋体" w:hAnsi="宋体" w:cs="宋体"/>
          <w:kern w:val="0"/>
          <w:sz w:val="24"/>
          <w:szCs w:val="24"/>
          <w:highlight w:val="none"/>
        </w:rPr>
        <w:t>浙江海正生物材料股份</w:t>
      </w:r>
      <w:r>
        <w:rPr>
          <w:rFonts w:hint="eastAsia" w:ascii="宋体" w:hAnsi="宋体"/>
          <w:sz w:val="24"/>
          <w:szCs w:val="24"/>
          <w:highlight w:val="none"/>
        </w:rPr>
        <w:t>有限公司</w:t>
      </w:r>
      <w:r>
        <w:rPr>
          <w:rFonts w:hint="eastAsia" w:ascii="宋体" w:hAnsi="宋体"/>
          <w:sz w:val="24"/>
          <w:szCs w:val="24"/>
          <w:highlight w:val="none"/>
          <w:lang w:eastAsia="zh-CN"/>
        </w:rPr>
        <w:t>投资后</w:t>
      </w:r>
      <w:r>
        <w:rPr>
          <w:rFonts w:hint="eastAsia" w:ascii="宋体" w:hAnsi="宋体"/>
          <w:sz w:val="24"/>
          <w:szCs w:val="24"/>
          <w:highlight w:val="none"/>
          <w:u w:val="single"/>
        </w:rPr>
        <w:t xml:space="preserve">        %</w:t>
      </w:r>
      <w:r>
        <w:rPr>
          <w:rFonts w:hint="eastAsia" w:ascii="宋体" w:hAnsi="宋体"/>
          <w:sz w:val="24"/>
          <w:szCs w:val="24"/>
          <w:highlight w:val="none"/>
          <w:u w:val="single"/>
          <w:lang w:val="en-US" w:eastAsia="zh-CN"/>
        </w:rPr>
        <w:t>股权</w:t>
      </w:r>
      <w:r>
        <w:rPr>
          <w:rFonts w:hint="eastAsia" w:ascii="宋体" w:hAnsi="宋体" w:cs="宋体"/>
          <w:kern w:val="0"/>
          <w:sz w:val="24"/>
          <w:szCs w:val="24"/>
          <w:highlight w:val="none"/>
        </w:rPr>
        <w:t>；</w:t>
      </w:r>
    </w:p>
    <w:p>
      <w:pPr>
        <w:spacing w:line="500" w:lineRule="exact"/>
        <w:ind w:firstLine="480" w:firstLineChars="200"/>
        <w:rPr>
          <w:rFonts w:ascii="宋体" w:cs="宋体"/>
          <w:kern w:val="0"/>
          <w:sz w:val="24"/>
          <w:szCs w:val="24"/>
          <w:highlight w:val="none"/>
        </w:rPr>
      </w:pPr>
      <w:r>
        <w:rPr>
          <w:rFonts w:hint="eastAsia" w:ascii="宋体" w:hAnsi="宋体" w:cs="宋体"/>
          <w:kern w:val="0"/>
          <w:sz w:val="24"/>
          <w:szCs w:val="24"/>
          <w:highlight w:val="none"/>
        </w:rPr>
        <w:t>基于友好协商、平等合作的基础，根据《中华人民共和国公司法》、《中华人民共和国合同法》及其他有关法律、法规，就甲方本次增资扩股事宜，达成如下协议，以资共同遵守。</w:t>
      </w:r>
    </w:p>
    <w:p>
      <w:pPr>
        <w:spacing w:line="500" w:lineRule="exact"/>
        <w:ind w:firstLine="482" w:firstLineChars="200"/>
        <w:rPr>
          <w:rFonts w:ascii="宋体" w:cs="宋体"/>
          <w:kern w:val="0"/>
          <w:sz w:val="24"/>
          <w:szCs w:val="24"/>
          <w:highlight w:val="none"/>
        </w:rPr>
      </w:pPr>
      <w:r>
        <w:rPr>
          <w:rFonts w:hint="eastAsia" w:ascii="宋体" w:hAnsi="宋体" w:cs="宋体"/>
          <w:b/>
          <w:kern w:val="0"/>
          <w:sz w:val="24"/>
          <w:szCs w:val="24"/>
          <w:highlight w:val="none"/>
        </w:rPr>
        <w:t>第一条</w:t>
      </w:r>
      <w:r>
        <w:rPr>
          <w:rFonts w:hint="eastAsia" w:ascii="宋体" w:hAnsi="宋体" w:cs="宋体"/>
          <w:kern w:val="0"/>
          <w:sz w:val="24"/>
          <w:szCs w:val="24"/>
          <w:highlight w:val="none"/>
        </w:rPr>
        <w:t>公司的名称、法定代表人、注册地址</w:t>
      </w:r>
    </w:p>
    <w:p>
      <w:pPr>
        <w:spacing w:line="500" w:lineRule="exact"/>
        <w:ind w:firstLine="480" w:firstLineChars="200"/>
        <w:rPr>
          <w:rFonts w:ascii="宋体" w:cs="宋体"/>
          <w:kern w:val="0"/>
          <w:sz w:val="24"/>
          <w:szCs w:val="24"/>
          <w:highlight w:val="none"/>
        </w:rPr>
      </w:pPr>
      <w:r>
        <w:rPr>
          <w:rFonts w:hint="eastAsia" w:ascii="宋体" w:hAnsi="宋体" w:cs="宋体"/>
          <w:kern w:val="0"/>
          <w:sz w:val="24"/>
          <w:szCs w:val="24"/>
          <w:highlight w:val="none"/>
        </w:rPr>
        <w:t>公司中文名称：浙江海正生物材料股份有限公司</w:t>
      </w:r>
    </w:p>
    <w:p>
      <w:pPr>
        <w:spacing w:line="500" w:lineRule="exact"/>
        <w:ind w:firstLine="480" w:firstLineChars="200"/>
        <w:rPr>
          <w:rFonts w:ascii="宋体" w:cs="宋体"/>
          <w:kern w:val="0"/>
          <w:sz w:val="24"/>
          <w:szCs w:val="24"/>
          <w:highlight w:val="none"/>
        </w:rPr>
      </w:pPr>
      <w:r>
        <w:rPr>
          <w:rFonts w:hint="eastAsia" w:ascii="宋体" w:hAnsi="宋体" w:cs="宋体"/>
          <w:kern w:val="0"/>
          <w:sz w:val="24"/>
          <w:szCs w:val="24"/>
          <w:highlight w:val="none"/>
        </w:rPr>
        <w:t>法定代表人：</w:t>
      </w:r>
      <w:r>
        <w:rPr>
          <w:rFonts w:ascii="宋体" w:hAnsi="宋体" w:cs="宋体"/>
          <w:kern w:val="0"/>
          <w:sz w:val="24"/>
          <w:szCs w:val="24"/>
          <w:highlight w:val="none"/>
        </w:rPr>
        <w:t>蒋国平</w:t>
      </w:r>
    </w:p>
    <w:p>
      <w:pPr>
        <w:widowControl/>
        <w:spacing w:line="500" w:lineRule="exact"/>
        <w:ind w:firstLine="480" w:firstLineChars="200"/>
        <w:jc w:val="left"/>
        <w:rPr>
          <w:rFonts w:ascii="宋体" w:hAnsi="宋体" w:cs="宋体"/>
          <w:kern w:val="0"/>
          <w:sz w:val="24"/>
          <w:szCs w:val="24"/>
          <w:highlight w:val="none"/>
        </w:rPr>
      </w:pPr>
      <w:r>
        <w:rPr>
          <w:rFonts w:hint="eastAsia" w:ascii="宋体" w:hAnsi="宋体" w:cs="宋体"/>
          <w:kern w:val="0"/>
          <w:sz w:val="24"/>
          <w:szCs w:val="24"/>
          <w:highlight w:val="none"/>
        </w:rPr>
        <w:t>注册地址：浙江省台州市椒江区工人路293号301-07室</w:t>
      </w:r>
    </w:p>
    <w:p>
      <w:pPr>
        <w:widowControl/>
        <w:spacing w:line="500" w:lineRule="exact"/>
        <w:ind w:firstLine="482" w:firstLineChars="200"/>
        <w:jc w:val="left"/>
        <w:rPr>
          <w:rFonts w:ascii="宋体" w:cs="宋体"/>
          <w:kern w:val="0"/>
          <w:sz w:val="24"/>
          <w:szCs w:val="24"/>
          <w:highlight w:val="none"/>
        </w:rPr>
      </w:pPr>
      <w:r>
        <w:rPr>
          <w:rFonts w:hint="eastAsia" w:ascii="宋体" w:hAnsi="宋体" w:cs="宋体"/>
          <w:b/>
          <w:kern w:val="0"/>
          <w:sz w:val="24"/>
          <w:szCs w:val="24"/>
          <w:highlight w:val="none"/>
        </w:rPr>
        <w:t>第二条</w:t>
      </w:r>
      <w:r>
        <w:rPr>
          <w:rFonts w:hint="eastAsia" w:ascii="宋体" w:hAnsi="宋体" w:cs="宋体"/>
          <w:kern w:val="0"/>
          <w:sz w:val="24"/>
          <w:szCs w:val="24"/>
          <w:highlight w:val="none"/>
        </w:rPr>
        <w:t>公司增资前的注册资本</w:t>
      </w:r>
    </w:p>
    <w:p>
      <w:pPr>
        <w:spacing w:line="500" w:lineRule="exact"/>
        <w:ind w:firstLine="480" w:firstLineChars="200"/>
        <w:rPr>
          <w:rFonts w:ascii="宋体" w:cs="宋体"/>
          <w:kern w:val="0"/>
          <w:sz w:val="24"/>
          <w:szCs w:val="24"/>
          <w:highlight w:val="none"/>
        </w:rPr>
      </w:pPr>
      <w:r>
        <w:rPr>
          <w:rFonts w:hint="eastAsia" w:ascii="宋体" w:hAnsi="宋体" w:cs="宋体"/>
          <w:kern w:val="0"/>
          <w:sz w:val="24"/>
          <w:szCs w:val="24"/>
          <w:highlight w:val="none"/>
        </w:rPr>
        <w:t>注册资本为：（人民币）91,480,000</w:t>
      </w:r>
      <w:r>
        <w:rPr>
          <w:rFonts w:hint="eastAsia" w:ascii="宋体" w:hAnsi="宋体" w:cs="宋体"/>
          <w:kern w:val="0"/>
          <w:sz w:val="24"/>
          <w:szCs w:val="24"/>
          <w:highlight w:val="none"/>
          <w:lang w:val="en-US" w:eastAsia="zh-CN"/>
        </w:rPr>
        <w:t>.00</w:t>
      </w:r>
      <w:r>
        <w:rPr>
          <w:rFonts w:hint="eastAsia" w:ascii="宋体" w:hAnsi="宋体" w:cs="宋体"/>
          <w:kern w:val="0"/>
          <w:sz w:val="24"/>
          <w:szCs w:val="24"/>
          <w:highlight w:val="none"/>
        </w:rPr>
        <w:t>元</w:t>
      </w:r>
    </w:p>
    <w:p>
      <w:pPr>
        <w:spacing w:line="500" w:lineRule="exact"/>
        <w:ind w:firstLine="482" w:firstLineChars="200"/>
        <w:rPr>
          <w:rFonts w:ascii="宋体" w:cs="宋体"/>
          <w:kern w:val="0"/>
          <w:sz w:val="24"/>
          <w:szCs w:val="24"/>
          <w:highlight w:val="none"/>
        </w:rPr>
      </w:pPr>
      <w:r>
        <w:rPr>
          <w:rFonts w:hint="eastAsia" w:ascii="宋体" w:hAnsi="宋体" w:cs="宋体"/>
          <w:b/>
          <w:kern w:val="0"/>
          <w:sz w:val="24"/>
          <w:szCs w:val="24"/>
          <w:highlight w:val="none"/>
        </w:rPr>
        <w:t>第三条</w:t>
      </w:r>
      <w:r>
        <w:rPr>
          <w:rFonts w:hint="eastAsia" w:ascii="宋体" w:hAnsi="宋体" w:cs="宋体"/>
          <w:kern w:val="0"/>
          <w:sz w:val="24"/>
          <w:szCs w:val="24"/>
          <w:highlight w:val="none"/>
        </w:rPr>
        <w:t>公司增资前的股东结构</w:t>
      </w:r>
    </w:p>
    <w:tbl>
      <w:tblPr>
        <w:tblStyle w:val="18"/>
        <w:tblW w:w="83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4"/>
        <w:gridCol w:w="4204"/>
        <w:gridCol w:w="2004"/>
        <w:gridCol w:w="13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804" w:type="dxa"/>
            <w:vAlign w:val="center"/>
          </w:tcPr>
          <w:p>
            <w:pPr>
              <w:spacing w:line="500" w:lineRule="exact"/>
              <w:rPr>
                <w:rFonts w:ascii="宋体"/>
                <w:szCs w:val="21"/>
                <w:highlight w:val="none"/>
              </w:rPr>
            </w:pPr>
            <w:r>
              <w:rPr>
                <w:rFonts w:hint="eastAsia" w:ascii="宋体" w:hAnsi="宋体"/>
                <w:szCs w:val="21"/>
                <w:highlight w:val="none"/>
              </w:rPr>
              <w:t>序号</w:t>
            </w:r>
          </w:p>
        </w:tc>
        <w:tc>
          <w:tcPr>
            <w:tcW w:w="4204" w:type="dxa"/>
            <w:vAlign w:val="center"/>
          </w:tcPr>
          <w:p>
            <w:pPr>
              <w:spacing w:line="500" w:lineRule="exact"/>
              <w:jc w:val="center"/>
              <w:rPr>
                <w:rFonts w:ascii="宋体"/>
                <w:szCs w:val="21"/>
                <w:highlight w:val="none"/>
              </w:rPr>
            </w:pPr>
            <w:r>
              <w:rPr>
                <w:rFonts w:hint="eastAsia" w:ascii="宋体" w:hAnsi="宋体"/>
                <w:szCs w:val="21"/>
                <w:highlight w:val="none"/>
              </w:rPr>
              <w:t>股东名称</w:t>
            </w:r>
          </w:p>
        </w:tc>
        <w:tc>
          <w:tcPr>
            <w:tcW w:w="2004" w:type="dxa"/>
            <w:vAlign w:val="center"/>
          </w:tcPr>
          <w:p>
            <w:pPr>
              <w:spacing w:line="500" w:lineRule="exact"/>
              <w:jc w:val="center"/>
              <w:rPr>
                <w:rFonts w:ascii="宋体"/>
                <w:szCs w:val="21"/>
                <w:highlight w:val="none"/>
              </w:rPr>
            </w:pPr>
            <w:r>
              <w:rPr>
                <w:rFonts w:hint="eastAsia" w:ascii="宋体" w:hAnsi="宋体"/>
                <w:szCs w:val="21"/>
                <w:highlight w:val="none"/>
              </w:rPr>
              <w:t>认缴出资（元）</w:t>
            </w:r>
          </w:p>
        </w:tc>
        <w:tc>
          <w:tcPr>
            <w:tcW w:w="1355" w:type="dxa"/>
            <w:vAlign w:val="center"/>
          </w:tcPr>
          <w:p>
            <w:pPr>
              <w:spacing w:line="500" w:lineRule="exact"/>
              <w:jc w:val="center"/>
              <w:rPr>
                <w:rFonts w:ascii="宋体"/>
                <w:szCs w:val="21"/>
                <w:highlight w:val="none"/>
              </w:rPr>
            </w:pPr>
            <w:r>
              <w:rPr>
                <w:rFonts w:hint="eastAsia" w:ascii="宋体" w:hAnsi="宋体"/>
                <w:szCs w:val="21"/>
                <w:highlight w:val="none"/>
              </w:rPr>
              <w:t>持股比例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804" w:type="dxa"/>
            <w:vAlign w:val="center"/>
          </w:tcPr>
          <w:p>
            <w:pPr>
              <w:spacing w:line="500" w:lineRule="exact"/>
              <w:jc w:val="center"/>
              <w:rPr>
                <w:rFonts w:ascii="宋体"/>
                <w:szCs w:val="21"/>
                <w:highlight w:val="none"/>
              </w:rPr>
            </w:pPr>
            <w:r>
              <w:rPr>
                <w:rFonts w:ascii="宋体" w:hAnsi="宋体"/>
                <w:szCs w:val="21"/>
                <w:highlight w:val="none"/>
              </w:rPr>
              <w:t>1</w:t>
            </w:r>
          </w:p>
        </w:tc>
        <w:tc>
          <w:tcPr>
            <w:tcW w:w="4204" w:type="dxa"/>
            <w:vAlign w:val="center"/>
          </w:tcPr>
          <w:p>
            <w:pPr>
              <w:widowControl/>
              <w:spacing w:line="500" w:lineRule="exact"/>
              <w:jc w:val="center"/>
              <w:rPr>
                <w:rFonts w:ascii="宋体" w:cs="宋体"/>
                <w:kern w:val="0"/>
                <w:szCs w:val="21"/>
                <w:highlight w:val="none"/>
              </w:rPr>
            </w:pPr>
            <w:r>
              <w:rPr>
                <w:rFonts w:hint="eastAsia" w:ascii="宋体" w:hAnsi="宋体" w:cs="宋体"/>
                <w:szCs w:val="21"/>
                <w:highlight w:val="none"/>
              </w:rPr>
              <w:t>浙江海正集团有限公司</w:t>
            </w:r>
          </w:p>
        </w:tc>
        <w:tc>
          <w:tcPr>
            <w:tcW w:w="2004" w:type="dxa"/>
            <w:vAlign w:val="center"/>
          </w:tcPr>
          <w:p>
            <w:pPr>
              <w:spacing w:line="500" w:lineRule="exact"/>
              <w:jc w:val="center"/>
              <w:rPr>
                <w:rFonts w:ascii="宋体"/>
                <w:szCs w:val="21"/>
                <w:highlight w:val="none"/>
              </w:rPr>
            </w:pPr>
            <w:r>
              <w:rPr>
                <w:rFonts w:hint="eastAsia" w:ascii="宋体" w:hAnsi="宋体"/>
                <w:color w:val="000000"/>
                <w:szCs w:val="21"/>
                <w:highlight w:val="none"/>
              </w:rPr>
              <w:t xml:space="preserve">60,090,000.00 </w:t>
            </w:r>
          </w:p>
        </w:tc>
        <w:tc>
          <w:tcPr>
            <w:tcW w:w="1355" w:type="dxa"/>
            <w:vAlign w:val="center"/>
          </w:tcPr>
          <w:p>
            <w:pPr>
              <w:spacing w:line="500" w:lineRule="exact"/>
              <w:jc w:val="center"/>
              <w:rPr>
                <w:rFonts w:ascii="宋体"/>
                <w:szCs w:val="21"/>
                <w:highlight w:val="none"/>
              </w:rPr>
            </w:pPr>
            <w:r>
              <w:rPr>
                <w:rFonts w:hint="eastAsia" w:ascii="宋体" w:hAnsi="宋体" w:cs="宋体"/>
                <w:szCs w:val="21"/>
                <w:highlight w:val="none"/>
              </w:rPr>
              <w:t>65.6</w:t>
            </w:r>
            <w:r>
              <w:rPr>
                <w:rFonts w:hint="eastAsia" w:ascii="宋体" w:hAnsi="宋体" w:cs="宋体"/>
                <w:szCs w:val="21"/>
                <w:highlight w:val="none"/>
                <w:lang w:val="en-US" w:eastAsia="zh-CN"/>
              </w:rPr>
              <w:t>8</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804" w:type="dxa"/>
            <w:vAlign w:val="center"/>
          </w:tcPr>
          <w:p>
            <w:pPr>
              <w:spacing w:line="500" w:lineRule="exact"/>
              <w:jc w:val="center"/>
              <w:rPr>
                <w:rFonts w:ascii="宋体" w:hAnsi="宋体"/>
                <w:szCs w:val="21"/>
                <w:highlight w:val="none"/>
              </w:rPr>
            </w:pPr>
            <w:r>
              <w:rPr>
                <w:rFonts w:ascii="宋体" w:hAnsi="宋体"/>
                <w:szCs w:val="21"/>
                <w:highlight w:val="none"/>
              </w:rPr>
              <w:t>2</w:t>
            </w:r>
          </w:p>
        </w:tc>
        <w:tc>
          <w:tcPr>
            <w:tcW w:w="4204" w:type="dxa"/>
            <w:vAlign w:val="center"/>
          </w:tcPr>
          <w:p>
            <w:pPr>
              <w:widowControl/>
              <w:spacing w:line="500" w:lineRule="exact"/>
              <w:jc w:val="center"/>
              <w:rPr>
                <w:rFonts w:ascii="宋体" w:cs="宋体"/>
                <w:kern w:val="0"/>
                <w:szCs w:val="21"/>
                <w:highlight w:val="none"/>
              </w:rPr>
            </w:pPr>
            <w:r>
              <w:rPr>
                <w:rFonts w:hint="eastAsia" w:ascii="宋体" w:hAnsi="宋体" w:cs="宋体"/>
                <w:szCs w:val="21"/>
                <w:highlight w:val="none"/>
              </w:rPr>
              <w:t>台州市国有资产投资集团有限公司</w:t>
            </w:r>
          </w:p>
        </w:tc>
        <w:tc>
          <w:tcPr>
            <w:tcW w:w="2004" w:type="dxa"/>
            <w:vAlign w:val="center"/>
          </w:tcPr>
          <w:p>
            <w:pPr>
              <w:spacing w:line="500" w:lineRule="exact"/>
              <w:jc w:val="center"/>
              <w:rPr>
                <w:rFonts w:ascii="宋体"/>
                <w:szCs w:val="21"/>
                <w:highlight w:val="none"/>
              </w:rPr>
            </w:pPr>
            <w:r>
              <w:rPr>
                <w:rFonts w:hint="eastAsia" w:ascii="宋体" w:hAnsi="宋体"/>
                <w:color w:val="000000"/>
                <w:szCs w:val="21"/>
                <w:highlight w:val="none"/>
              </w:rPr>
              <w:t xml:space="preserve">2,000,000.00 </w:t>
            </w:r>
          </w:p>
        </w:tc>
        <w:tc>
          <w:tcPr>
            <w:tcW w:w="1355" w:type="dxa"/>
            <w:vAlign w:val="center"/>
          </w:tcPr>
          <w:p>
            <w:pPr>
              <w:pStyle w:val="33"/>
              <w:spacing w:line="500" w:lineRule="exact"/>
              <w:jc w:val="center"/>
              <w:rPr>
                <w:rFonts w:hAnsi="宋体"/>
                <w:color w:val="auto"/>
                <w:sz w:val="21"/>
                <w:szCs w:val="21"/>
                <w:highlight w:val="none"/>
              </w:rPr>
            </w:pPr>
            <w:r>
              <w:rPr>
                <w:rFonts w:hAnsi="宋体"/>
                <w:sz w:val="21"/>
                <w:szCs w:val="21"/>
                <w:highlight w:val="none"/>
              </w:rPr>
              <w:t>2.19%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804" w:type="dxa"/>
            <w:vAlign w:val="center"/>
          </w:tcPr>
          <w:p>
            <w:pPr>
              <w:spacing w:line="500" w:lineRule="exact"/>
              <w:jc w:val="center"/>
              <w:rPr>
                <w:rFonts w:ascii="宋体"/>
                <w:szCs w:val="21"/>
                <w:highlight w:val="none"/>
              </w:rPr>
            </w:pPr>
            <w:r>
              <w:rPr>
                <w:rFonts w:ascii="宋体" w:hAnsi="宋体"/>
                <w:szCs w:val="21"/>
                <w:highlight w:val="none"/>
              </w:rPr>
              <w:t>3</w:t>
            </w:r>
          </w:p>
        </w:tc>
        <w:tc>
          <w:tcPr>
            <w:tcW w:w="4204" w:type="dxa"/>
            <w:vAlign w:val="center"/>
          </w:tcPr>
          <w:p>
            <w:pPr>
              <w:widowControl/>
              <w:spacing w:line="500" w:lineRule="exact"/>
              <w:jc w:val="center"/>
              <w:rPr>
                <w:rFonts w:ascii="宋体" w:cs="宋体"/>
                <w:kern w:val="0"/>
                <w:szCs w:val="21"/>
                <w:highlight w:val="none"/>
              </w:rPr>
            </w:pPr>
            <w:r>
              <w:rPr>
                <w:rFonts w:hint="eastAsia" w:ascii="宋体" w:hAnsi="宋体" w:cs="宋体"/>
                <w:szCs w:val="21"/>
                <w:highlight w:val="none"/>
              </w:rPr>
              <w:t>台州市椒江区基础设施投资公司</w:t>
            </w:r>
          </w:p>
        </w:tc>
        <w:tc>
          <w:tcPr>
            <w:tcW w:w="2004" w:type="dxa"/>
            <w:vAlign w:val="center"/>
          </w:tcPr>
          <w:p>
            <w:pPr>
              <w:spacing w:line="500" w:lineRule="exact"/>
              <w:jc w:val="center"/>
              <w:rPr>
                <w:rFonts w:ascii="宋体"/>
                <w:szCs w:val="21"/>
                <w:highlight w:val="none"/>
              </w:rPr>
            </w:pPr>
            <w:r>
              <w:rPr>
                <w:rFonts w:hint="eastAsia" w:ascii="宋体" w:hAnsi="宋体"/>
                <w:color w:val="000000"/>
                <w:szCs w:val="21"/>
                <w:highlight w:val="none"/>
              </w:rPr>
              <w:t xml:space="preserve">2,000,000.00 </w:t>
            </w:r>
          </w:p>
        </w:tc>
        <w:tc>
          <w:tcPr>
            <w:tcW w:w="1355" w:type="dxa"/>
            <w:vAlign w:val="center"/>
          </w:tcPr>
          <w:p>
            <w:pPr>
              <w:pStyle w:val="33"/>
              <w:spacing w:line="500" w:lineRule="exact"/>
              <w:jc w:val="center"/>
              <w:rPr>
                <w:rFonts w:hAnsi="宋体"/>
                <w:color w:val="auto"/>
                <w:sz w:val="21"/>
                <w:szCs w:val="21"/>
                <w:highlight w:val="none"/>
              </w:rPr>
            </w:pPr>
            <w:r>
              <w:rPr>
                <w:rFonts w:hAnsi="宋体"/>
                <w:sz w:val="21"/>
                <w:szCs w:val="21"/>
                <w:highlight w:val="none"/>
              </w:rPr>
              <w:t>2.19%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804" w:type="dxa"/>
            <w:vAlign w:val="center"/>
          </w:tcPr>
          <w:p>
            <w:pPr>
              <w:spacing w:line="500" w:lineRule="exact"/>
              <w:jc w:val="center"/>
              <w:rPr>
                <w:rFonts w:ascii="宋体"/>
                <w:szCs w:val="21"/>
                <w:highlight w:val="none"/>
              </w:rPr>
            </w:pPr>
            <w:r>
              <w:rPr>
                <w:rFonts w:ascii="宋体" w:hAnsi="宋体"/>
                <w:szCs w:val="21"/>
                <w:highlight w:val="none"/>
              </w:rPr>
              <w:t>4</w:t>
            </w:r>
          </w:p>
        </w:tc>
        <w:tc>
          <w:tcPr>
            <w:tcW w:w="4204" w:type="dxa"/>
            <w:vAlign w:val="center"/>
          </w:tcPr>
          <w:p>
            <w:pPr>
              <w:widowControl/>
              <w:spacing w:line="500" w:lineRule="exact"/>
              <w:jc w:val="center"/>
              <w:rPr>
                <w:rFonts w:ascii="宋体" w:cs="宋体"/>
                <w:kern w:val="0"/>
                <w:szCs w:val="21"/>
                <w:highlight w:val="none"/>
              </w:rPr>
            </w:pPr>
            <w:r>
              <w:rPr>
                <w:rFonts w:hint="eastAsia" w:ascii="宋体" w:hAnsi="宋体" w:cs="宋体"/>
                <w:szCs w:val="21"/>
                <w:highlight w:val="none"/>
              </w:rPr>
              <w:t>苏州市玮琪生物科技有限公司</w:t>
            </w:r>
          </w:p>
        </w:tc>
        <w:tc>
          <w:tcPr>
            <w:tcW w:w="2004" w:type="dxa"/>
            <w:vAlign w:val="center"/>
          </w:tcPr>
          <w:p>
            <w:pPr>
              <w:spacing w:line="500" w:lineRule="exact"/>
              <w:jc w:val="center"/>
              <w:rPr>
                <w:rFonts w:ascii="宋体"/>
                <w:szCs w:val="21"/>
                <w:highlight w:val="none"/>
              </w:rPr>
            </w:pPr>
            <w:r>
              <w:rPr>
                <w:rFonts w:hint="eastAsia" w:ascii="宋体" w:hAnsi="宋体"/>
                <w:color w:val="000000"/>
                <w:szCs w:val="21"/>
                <w:highlight w:val="none"/>
              </w:rPr>
              <w:t xml:space="preserve">6,620,000.00 </w:t>
            </w:r>
          </w:p>
        </w:tc>
        <w:tc>
          <w:tcPr>
            <w:tcW w:w="1355" w:type="dxa"/>
            <w:vAlign w:val="center"/>
          </w:tcPr>
          <w:p>
            <w:pPr>
              <w:spacing w:line="500" w:lineRule="exact"/>
              <w:jc w:val="center"/>
              <w:rPr>
                <w:rFonts w:ascii="宋体"/>
                <w:szCs w:val="21"/>
                <w:highlight w:val="none"/>
              </w:rPr>
            </w:pPr>
            <w:r>
              <w:rPr>
                <w:rFonts w:hint="eastAsia" w:ascii="宋体" w:hAnsi="宋体" w:cs="宋体"/>
                <w:szCs w:val="21"/>
                <w:highlight w:val="none"/>
              </w:rPr>
              <w:t>7.24%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804" w:type="dxa"/>
            <w:vAlign w:val="center"/>
          </w:tcPr>
          <w:p>
            <w:pPr>
              <w:spacing w:line="500" w:lineRule="exact"/>
              <w:jc w:val="center"/>
              <w:rPr>
                <w:rFonts w:ascii="宋体" w:hAnsi="宋体"/>
                <w:szCs w:val="21"/>
                <w:highlight w:val="none"/>
              </w:rPr>
            </w:pPr>
            <w:r>
              <w:rPr>
                <w:rFonts w:ascii="宋体" w:hAnsi="宋体"/>
                <w:szCs w:val="21"/>
                <w:highlight w:val="none"/>
              </w:rPr>
              <w:t>5</w:t>
            </w:r>
          </w:p>
        </w:tc>
        <w:tc>
          <w:tcPr>
            <w:tcW w:w="4204" w:type="dxa"/>
            <w:vAlign w:val="center"/>
          </w:tcPr>
          <w:p>
            <w:pPr>
              <w:widowControl/>
              <w:spacing w:line="500" w:lineRule="exact"/>
              <w:jc w:val="center"/>
              <w:rPr>
                <w:rFonts w:ascii="宋体" w:cs="宋体"/>
                <w:kern w:val="0"/>
                <w:szCs w:val="21"/>
                <w:highlight w:val="none"/>
              </w:rPr>
            </w:pPr>
            <w:r>
              <w:rPr>
                <w:rFonts w:hint="eastAsia" w:ascii="宋体" w:hAnsi="宋体" w:cs="宋体"/>
                <w:szCs w:val="21"/>
                <w:highlight w:val="none"/>
              </w:rPr>
              <w:t>中国科学院长春应用化学科技总公司</w:t>
            </w:r>
          </w:p>
        </w:tc>
        <w:tc>
          <w:tcPr>
            <w:tcW w:w="2004" w:type="dxa"/>
            <w:vAlign w:val="center"/>
          </w:tcPr>
          <w:p>
            <w:pPr>
              <w:spacing w:line="500" w:lineRule="exact"/>
              <w:jc w:val="center"/>
              <w:rPr>
                <w:rFonts w:ascii="宋体"/>
                <w:szCs w:val="21"/>
                <w:highlight w:val="none"/>
              </w:rPr>
            </w:pPr>
            <w:r>
              <w:rPr>
                <w:rFonts w:hint="eastAsia" w:ascii="宋体" w:hAnsi="宋体"/>
                <w:color w:val="000000"/>
                <w:szCs w:val="21"/>
                <w:highlight w:val="none"/>
              </w:rPr>
              <w:t xml:space="preserve">9,200,000.00 </w:t>
            </w:r>
          </w:p>
        </w:tc>
        <w:tc>
          <w:tcPr>
            <w:tcW w:w="1355" w:type="dxa"/>
            <w:vAlign w:val="center"/>
          </w:tcPr>
          <w:p>
            <w:pPr>
              <w:pStyle w:val="33"/>
              <w:spacing w:line="500" w:lineRule="exact"/>
              <w:jc w:val="center"/>
              <w:rPr>
                <w:rFonts w:hAnsi="宋体"/>
                <w:color w:val="auto"/>
                <w:sz w:val="21"/>
                <w:szCs w:val="21"/>
                <w:highlight w:val="none"/>
              </w:rPr>
            </w:pPr>
            <w:r>
              <w:rPr>
                <w:rFonts w:hAnsi="宋体"/>
                <w:sz w:val="21"/>
                <w:szCs w:val="21"/>
                <w:highlight w:val="none"/>
              </w:rPr>
              <w:t>10.06%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804" w:type="dxa"/>
            <w:vAlign w:val="center"/>
          </w:tcPr>
          <w:p>
            <w:pPr>
              <w:spacing w:line="500" w:lineRule="exact"/>
              <w:jc w:val="center"/>
              <w:rPr>
                <w:rFonts w:ascii="宋体"/>
                <w:szCs w:val="21"/>
                <w:highlight w:val="none"/>
              </w:rPr>
            </w:pPr>
            <w:r>
              <w:rPr>
                <w:rFonts w:ascii="宋体" w:hAnsi="宋体"/>
                <w:szCs w:val="21"/>
                <w:highlight w:val="none"/>
              </w:rPr>
              <w:t>6</w:t>
            </w:r>
          </w:p>
        </w:tc>
        <w:tc>
          <w:tcPr>
            <w:tcW w:w="4204" w:type="dxa"/>
            <w:vAlign w:val="center"/>
          </w:tcPr>
          <w:p>
            <w:pPr>
              <w:widowControl/>
              <w:spacing w:line="500" w:lineRule="exact"/>
              <w:jc w:val="center"/>
              <w:rPr>
                <w:rFonts w:ascii="宋体" w:cs="宋体"/>
                <w:kern w:val="0"/>
                <w:szCs w:val="21"/>
                <w:highlight w:val="none"/>
              </w:rPr>
            </w:pPr>
            <w:r>
              <w:rPr>
                <w:rFonts w:hint="eastAsia" w:ascii="宋体" w:hAnsi="宋体" w:cs="宋体"/>
                <w:szCs w:val="21"/>
                <w:highlight w:val="none"/>
              </w:rPr>
              <w:t>边新超</w:t>
            </w:r>
          </w:p>
        </w:tc>
        <w:tc>
          <w:tcPr>
            <w:tcW w:w="2004" w:type="dxa"/>
            <w:vAlign w:val="center"/>
          </w:tcPr>
          <w:p>
            <w:pPr>
              <w:spacing w:line="500" w:lineRule="exact"/>
              <w:jc w:val="center"/>
              <w:rPr>
                <w:rFonts w:ascii="宋体"/>
                <w:szCs w:val="21"/>
                <w:highlight w:val="none"/>
              </w:rPr>
            </w:pPr>
            <w:r>
              <w:rPr>
                <w:rFonts w:hint="eastAsia" w:ascii="宋体" w:hAnsi="宋体"/>
                <w:color w:val="000000"/>
                <w:szCs w:val="21"/>
                <w:highlight w:val="none"/>
              </w:rPr>
              <w:t xml:space="preserve">3,000,000.00 </w:t>
            </w:r>
          </w:p>
        </w:tc>
        <w:tc>
          <w:tcPr>
            <w:tcW w:w="1355" w:type="dxa"/>
            <w:vAlign w:val="center"/>
          </w:tcPr>
          <w:p>
            <w:pPr>
              <w:pStyle w:val="33"/>
              <w:spacing w:line="500" w:lineRule="exact"/>
              <w:jc w:val="center"/>
              <w:rPr>
                <w:rFonts w:hAnsi="宋体"/>
                <w:color w:val="auto"/>
                <w:sz w:val="21"/>
                <w:szCs w:val="21"/>
                <w:highlight w:val="none"/>
              </w:rPr>
            </w:pPr>
            <w:r>
              <w:rPr>
                <w:rFonts w:hAnsi="宋体"/>
                <w:sz w:val="21"/>
                <w:szCs w:val="21"/>
                <w:highlight w:val="none"/>
              </w:rPr>
              <w:t>3.28%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804" w:type="dxa"/>
            <w:vAlign w:val="center"/>
          </w:tcPr>
          <w:p>
            <w:pPr>
              <w:spacing w:line="500" w:lineRule="exact"/>
              <w:jc w:val="center"/>
              <w:rPr>
                <w:rFonts w:ascii="宋体"/>
                <w:szCs w:val="21"/>
                <w:highlight w:val="none"/>
              </w:rPr>
            </w:pPr>
            <w:r>
              <w:rPr>
                <w:rFonts w:ascii="宋体" w:hAnsi="宋体"/>
                <w:szCs w:val="21"/>
                <w:highlight w:val="none"/>
              </w:rPr>
              <w:t>7</w:t>
            </w:r>
          </w:p>
        </w:tc>
        <w:tc>
          <w:tcPr>
            <w:tcW w:w="4204" w:type="dxa"/>
            <w:vAlign w:val="center"/>
          </w:tcPr>
          <w:p>
            <w:pPr>
              <w:widowControl/>
              <w:spacing w:line="500" w:lineRule="exact"/>
              <w:jc w:val="center"/>
              <w:rPr>
                <w:rFonts w:ascii="宋体" w:cs="宋体"/>
                <w:kern w:val="0"/>
                <w:szCs w:val="21"/>
                <w:highlight w:val="none"/>
              </w:rPr>
            </w:pPr>
            <w:r>
              <w:rPr>
                <w:rFonts w:hint="eastAsia" w:ascii="宋体" w:hAnsi="宋体" w:cs="宋体"/>
                <w:szCs w:val="21"/>
                <w:highlight w:val="none"/>
              </w:rPr>
              <w:t>陈志明</w:t>
            </w:r>
          </w:p>
        </w:tc>
        <w:tc>
          <w:tcPr>
            <w:tcW w:w="2004" w:type="dxa"/>
            <w:vAlign w:val="center"/>
          </w:tcPr>
          <w:p>
            <w:pPr>
              <w:spacing w:line="500" w:lineRule="exact"/>
              <w:jc w:val="center"/>
              <w:rPr>
                <w:rFonts w:ascii="宋体"/>
                <w:szCs w:val="21"/>
                <w:highlight w:val="none"/>
              </w:rPr>
            </w:pPr>
            <w:r>
              <w:rPr>
                <w:rFonts w:hint="eastAsia" w:ascii="宋体" w:hAnsi="宋体"/>
                <w:color w:val="000000"/>
                <w:szCs w:val="21"/>
                <w:highlight w:val="none"/>
              </w:rPr>
              <w:t xml:space="preserve">5,760,000.00 </w:t>
            </w:r>
          </w:p>
        </w:tc>
        <w:tc>
          <w:tcPr>
            <w:tcW w:w="1355" w:type="dxa"/>
            <w:vAlign w:val="center"/>
          </w:tcPr>
          <w:p>
            <w:pPr>
              <w:spacing w:line="500" w:lineRule="exact"/>
              <w:jc w:val="center"/>
              <w:rPr>
                <w:rFonts w:ascii="宋体"/>
                <w:szCs w:val="21"/>
                <w:highlight w:val="none"/>
              </w:rPr>
            </w:pPr>
            <w:r>
              <w:rPr>
                <w:rFonts w:hint="eastAsia" w:ascii="宋体" w:hAnsi="宋体" w:cs="宋体"/>
                <w:szCs w:val="21"/>
                <w:highlight w:val="none"/>
              </w:rPr>
              <w:t>6.</w:t>
            </w:r>
            <w:r>
              <w:rPr>
                <w:rFonts w:hint="eastAsia" w:ascii="宋体" w:hAnsi="宋体" w:cs="宋体"/>
                <w:szCs w:val="21"/>
                <w:highlight w:val="none"/>
                <w:lang w:val="en-US" w:eastAsia="zh-CN"/>
              </w:rPr>
              <w:t>29</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804" w:type="dxa"/>
            <w:vAlign w:val="center"/>
          </w:tcPr>
          <w:p>
            <w:pPr>
              <w:spacing w:line="500" w:lineRule="exact"/>
              <w:jc w:val="center"/>
              <w:rPr>
                <w:rFonts w:ascii="宋体" w:hAnsi="宋体"/>
                <w:szCs w:val="21"/>
                <w:highlight w:val="none"/>
              </w:rPr>
            </w:pPr>
            <w:r>
              <w:rPr>
                <w:rFonts w:hint="eastAsia" w:ascii="宋体" w:hAnsi="宋体"/>
                <w:szCs w:val="21"/>
                <w:highlight w:val="none"/>
              </w:rPr>
              <w:t>8</w:t>
            </w:r>
          </w:p>
        </w:tc>
        <w:tc>
          <w:tcPr>
            <w:tcW w:w="4204" w:type="dxa"/>
            <w:vAlign w:val="center"/>
          </w:tcPr>
          <w:p>
            <w:pPr>
              <w:widowControl/>
              <w:spacing w:line="500" w:lineRule="exact"/>
              <w:jc w:val="center"/>
              <w:rPr>
                <w:rFonts w:ascii="宋体" w:cs="宋体"/>
                <w:kern w:val="0"/>
                <w:szCs w:val="21"/>
                <w:highlight w:val="none"/>
              </w:rPr>
            </w:pPr>
            <w:r>
              <w:rPr>
                <w:rFonts w:hint="eastAsia" w:ascii="宋体" w:hAnsi="宋体" w:cs="宋体"/>
                <w:szCs w:val="21"/>
                <w:highlight w:val="none"/>
              </w:rPr>
              <w:t>陈学思</w:t>
            </w:r>
          </w:p>
        </w:tc>
        <w:tc>
          <w:tcPr>
            <w:tcW w:w="2004" w:type="dxa"/>
            <w:vAlign w:val="center"/>
          </w:tcPr>
          <w:p>
            <w:pPr>
              <w:spacing w:line="500" w:lineRule="exact"/>
              <w:jc w:val="center"/>
              <w:rPr>
                <w:rFonts w:ascii="宋体"/>
                <w:szCs w:val="21"/>
                <w:highlight w:val="none"/>
              </w:rPr>
            </w:pPr>
            <w:r>
              <w:rPr>
                <w:rFonts w:hint="eastAsia" w:ascii="宋体" w:hAnsi="宋体"/>
                <w:color w:val="000000"/>
                <w:szCs w:val="21"/>
                <w:highlight w:val="none"/>
              </w:rPr>
              <w:t xml:space="preserve">800,000.00 </w:t>
            </w:r>
          </w:p>
        </w:tc>
        <w:tc>
          <w:tcPr>
            <w:tcW w:w="1355" w:type="dxa"/>
            <w:vAlign w:val="center"/>
          </w:tcPr>
          <w:p>
            <w:pPr>
              <w:pStyle w:val="33"/>
              <w:spacing w:line="500" w:lineRule="exact"/>
              <w:jc w:val="center"/>
              <w:rPr>
                <w:rFonts w:hAnsi="宋体"/>
                <w:color w:val="auto"/>
                <w:sz w:val="21"/>
                <w:szCs w:val="21"/>
                <w:highlight w:val="none"/>
              </w:rPr>
            </w:pPr>
            <w:r>
              <w:rPr>
                <w:rFonts w:hint="eastAsia" w:hAnsi="宋体"/>
                <w:sz w:val="21"/>
                <w:szCs w:val="21"/>
                <w:highlight w:val="none"/>
              </w:rPr>
              <w:t>0.87</w:t>
            </w:r>
            <w:r>
              <w:rPr>
                <w:rFonts w:hAnsi="宋体"/>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804" w:type="dxa"/>
            <w:vAlign w:val="center"/>
          </w:tcPr>
          <w:p>
            <w:pPr>
              <w:spacing w:line="500" w:lineRule="exact"/>
              <w:jc w:val="center"/>
              <w:rPr>
                <w:rFonts w:ascii="宋体"/>
                <w:szCs w:val="21"/>
                <w:highlight w:val="none"/>
              </w:rPr>
            </w:pPr>
            <w:r>
              <w:rPr>
                <w:rFonts w:ascii="宋体" w:hAnsi="宋体"/>
                <w:szCs w:val="21"/>
                <w:highlight w:val="none"/>
              </w:rPr>
              <w:t>9</w:t>
            </w:r>
          </w:p>
        </w:tc>
        <w:tc>
          <w:tcPr>
            <w:tcW w:w="4204" w:type="dxa"/>
            <w:vAlign w:val="center"/>
          </w:tcPr>
          <w:p>
            <w:pPr>
              <w:widowControl/>
              <w:spacing w:line="500" w:lineRule="exact"/>
              <w:jc w:val="center"/>
              <w:rPr>
                <w:rFonts w:ascii="宋体" w:cs="宋体"/>
                <w:kern w:val="0"/>
                <w:szCs w:val="21"/>
                <w:highlight w:val="none"/>
              </w:rPr>
            </w:pPr>
            <w:r>
              <w:rPr>
                <w:rFonts w:hint="eastAsia" w:ascii="宋体" w:hAnsi="宋体" w:cs="宋体"/>
                <w:szCs w:val="21"/>
                <w:highlight w:val="none"/>
              </w:rPr>
              <w:t>台州创熠企业管理服务中心（有限合伙）</w:t>
            </w:r>
          </w:p>
        </w:tc>
        <w:tc>
          <w:tcPr>
            <w:tcW w:w="2004" w:type="dxa"/>
            <w:vAlign w:val="center"/>
          </w:tcPr>
          <w:p>
            <w:pPr>
              <w:spacing w:line="500" w:lineRule="exact"/>
              <w:jc w:val="center"/>
              <w:rPr>
                <w:rFonts w:ascii="宋体"/>
                <w:szCs w:val="21"/>
                <w:highlight w:val="none"/>
              </w:rPr>
            </w:pPr>
            <w:r>
              <w:rPr>
                <w:rFonts w:hint="eastAsia" w:ascii="宋体" w:hAnsi="宋体"/>
                <w:color w:val="000000"/>
                <w:szCs w:val="21"/>
                <w:highlight w:val="none"/>
              </w:rPr>
              <w:t>2,010,000.00</w:t>
            </w:r>
          </w:p>
        </w:tc>
        <w:tc>
          <w:tcPr>
            <w:tcW w:w="1355" w:type="dxa"/>
            <w:vAlign w:val="center"/>
          </w:tcPr>
          <w:p>
            <w:pPr>
              <w:pStyle w:val="33"/>
              <w:spacing w:line="500" w:lineRule="exact"/>
              <w:jc w:val="center"/>
              <w:rPr>
                <w:rFonts w:hAnsi="宋体"/>
                <w:color w:val="auto"/>
                <w:sz w:val="21"/>
                <w:szCs w:val="21"/>
                <w:highlight w:val="none"/>
              </w:rPr>
            </w:pPr>
            <w:r>
              <w:rPr>
                <w:rFonts w:hint="eastAsia" w:hAnsi="宋体"/>
                <w:sz w:val="21"/>
                <w:szCs w:val="21"/>
                <w:highlight w:val="none"/>
              </w:rPr>
              <w:t>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5008" w:type="dxa"/>
            <w:gridSpan w:val="2"/>
            <w:vAlign w:val="center"/>
          </w:tcPr>
          <w:p>
            <w:pPr>
              <w:spacing w:line="500" w:lineRule="exact"/>
              <w:ind w:firstLine="480"/>
              <w:jc w:val="center"/>
              <w:rPr>
                <w:rFonts w:ascii="宋体"/>
                <w:szCs w:val="21"/>
                <w:highlight w:val="none"/>
              </w:rPr>
            </w:pPr>
            <w:r>
              <w:rPr>
                <w:rFonts w:hint="eastAsia" w:ascii="宋体" w:hAnsi="宋体"/>
                <w:szCs w:val="21"/>
                <w:highlight w:val="none"/>
              </w:rPr>
              <w:t>合计</w:t>
            </w:r>
          </w:p>
        </w:tc>
        <w:tc>
          <w:tcPr>
            <w:tcW w:w="2004" w:type="dxa"/>
            <w:vAlign w:val="center"/>
          </w:tcPr>
          <w:p>
            <w:pPr>
              <w:spacing w:line="500" w:lineRule="exact"/>
              <w:jc w:val="center"/>
              <w:rPr>
                <w:rFonts w:ascii="宋体"/>
                <w:szCs w:val="21"/>
                <w:highlight w:val="none"/>
              </w:rPr>
            </w:pPr>
            <w:r>
              <w:rPr>
                <w:rFonts w:hint="eastAsia" w:ascii="宋体" w:hAnsi="宋体"/>
                <w:color w:val="000000"/>
                <w:szCs w:val="21"/>
                <w:highlight w:val="none"/>
              </w:rPr>
              <w:t>9</w:t>
            </w:r>
            <w:r>
              <w:rPr>
                <w:rFonts w:ascii="宋体" w:hAnsi="宋体"/>
                <w:color w:val="000000"/>
                <w:szCs w:val="21"/>
                <w:highlight w:val="none"/>
              </w:rPr>
              <w:t>1,480,000.00</w:t>
            </w:r>
          </w:p>
        </w:tc>
        <w:tc>
          <w:tcPr>
            <w:tcW w:w="1355" w:type="dxa"/>
          </w:tcPr>
          <w:p>
            <w:pPr>
              <w:spacing w:line="500" w:lineRule="exact"/>
              <w:jc w:val="center"/>
              <w:rPr>
                <w:rFonts w:ascii="宋体"/>
                <w:szCs w:val="21"/>
                <w:highlight w:val="none"/>
              </w:rPr>
            </w:pPr>
            <w:r>
              <w:rPr>
                <w:rFonts w:hint="eastAsia" w:ascii="宋体"/>
                <w:szCs w:val="21"/>
                <w:highlight w:val="none"/>
              </w:rPr>
              <w:t>1</w:t>
            </w:r>
            <w:r>
              <w:rPr>
                <w:rFonts w:ascii="宋体"/>
                <w:szCs w:val="21"/>
                <w:highlight w:val="none"/>
              </w:rPr>
              <w:t>00</w:t>
            </w:r>
            <w:r>
              <w:rPr>
                <w:rFonts w:hint="eastAsia" w:ascii="宋体"/>
                <w:szCs w:val="21"/>
                <w:highlight w:val="none"/>
              </w:rPr>
              <w:t>.00%</w:t>
            </w:r>
          </w:p>
        </w:tc>
      </w:tr>
    </w:tbl>
    <w:p>
      <w:pPr>
        <w:spacing w:line="500" w:lineRule="exact"/>
        <w:ind w:firstLine="482" w:firstLineChars="200"/>
        <w:rPr>
          <w:rFonts w:ascii="宋体" w:cs="宋体"/>
          <w:kern w:val="0"/>
          <w:sz w:val="24"/>
          <w:szCs w:val="24"/>
          <w:highlight w:val="none"/>
        </w:rPr>
      </w:pPr>
      <w:r>
        <w:rPr>
          <w:rFonts w:hint="eastAsia" w:ascii="宋体" w:hAnsi="宋体" w:cs="宋体"/>
          <w:b/>
          <w:kern w:val="0"/>
          <w:sz w:val="24"/>
          <w:szCs w:val="24"/>
          <w:highlight w:val="none"/>
        </w:rPr>
        <w:t>第四条</w:t>
      </w:r>
      <w:r>
        <w:rPr>
          <w:rFonts w:hint="eastAsia" w:ascii="宋体" w:hAnsi="宋体" w:cs="宋体"/>
          <w:kern w:val="0"/>
          <w:sz w:val="24"/>
          <w:szCs w:val="24"/>
          <w:highlight w:val="none"/>
        </w:rPr>
        <w:t>增资方案</w:t>
      </w:r>
    </w:p>
    <w:p>
      <w:pPr>
        <w:spacing w:line="500" w:lineRule="exact"/>
        <w:ind w:firstLine="480" w:firstLineChars="200"/>
        <w:rPr>
          <w:rFonts w:ascii="宋体" w:cs="宋体"/>
          <w:kern w:val="0"/>
          <w:sz w:val="24"/>
          <w:szCs w:val="24"/>
          <w:highlight w:val="none"/>
        </w:rPr>
      </w:pPr>
      <w:r>
        <w:rPr>
          <w:rFonts w:hint="eastAsia" w:ascii="宋体" w:hAnsi="宋体" w:cs="宋体"/>
          <w:kern w:val="0"/>
          <w:sz w:val="24"/>
          <w:szCs w:val="24"/>
          <w:highlight w:val="none"/>
        </w:rPr>
        <w:t>乙方以现金方式投资</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rPr>
        <w:t>元</w:t>
      </w:r>
      <w:r>
        <w:rPr>
          <w:rFonts w:hint="eastAsia" w:ascii="宋体" w:hAnsi="宋体" w:cs="宋体"/>
          <w:kern w:val="0"/>
          <w:sz w:val="24"/>
          <w:szCs w:val="24"/>
          <w:highlight w:val="none"/>
          <w:lang w:eastAsia="zh-CN"/>
        </w:rPr>
        <w:t>（下称“投资款”或“增资款”）</w:t>
      </w:r>
      <w:r>
        <w:rPr>
          <w:rFonts w:hint="eastAsia" w:ascii="宋体" w:hAnsi="宋体" w:cs="宋体"/>
          <w:kern w:val="0"/>
          <w:sz w:val="24"/>
          <w:szCs w:val="24"/>
          <w:highlight w:val="none"/>
        </w:rPr>
        <w:t>，其中人民币***元作为注册资本，其余计入资本公积金。</w:t>
      </w:r>
    </w:p>
    <w:p>
      <w:pPr>
        <w:spacing w:line="500" w:lineRule="exact"/>
        <w:ind w:firstLine="482" w:firstLineChars="200"/>
        <w:rPr>
          <w:rFonts w:ascii="宋体" w:hAnsi="宋体" w:cs="宋体"/>
          <w:kern w:val="0"/>
          <w:sz w:val="24"/>
          <w:szCs w:val="24"/>
          <w:highlight w:val="none"/>
        </w:rPr>
      </w:pPr>
      <w:r>
        <w:rPr>
          <w:rFonts w:hint="eastAsia" w:ascii="宋体" w:hAnsi="宋体" w:cs="宋体"/>
          <w:b/>
          <w:kern w:val="0"/>
          <w:sz w:val="24"/>
          <w:szCs w:val="24"/>
          <w:highlight w:val="none"/>
        </w:rPr>
        <w:t>第五条</w:t>
      </w:r>
      <w:r>
        <w:rPr>
          <w:rFonts w:hint="eastAsia" w:ascii="宋体" w:hAnsi="宋体" w:cs="宋体"/>
          <w:kern w:val="0"/>
          <w:sz w:val="24"/>
          <w:szCs w:val="24"/>
          <w:highlight w:val="none"/>
          <w:lang w:eastAsia="zh-CN"/>
        </w:rPr>
        <w:t>甲方本次</w:t>
      </w:r>
      <w:r>
        <w:rPr>
          <w:rFonts w:hint="eastAsia" w:ascii="宋体" w:hAnsi="宋体" w:cs="宋体"/>
          <w:kern w:val="0"/>
          <w:sz w:val="24"/>
          <w:szCs w:val="24"/>
          <w:highlight w:val="none"/>
        </w:rPr>
        <w:t>增资后的注册资本及股东结构</w:t>
      </w:r>
    </w:p>
    <w:p>
      <w:pPr>
        <w:spacing w:line="500" w:lineRule="exact"/>
        <w:ind w:firstLine="480"/>
        <w:jc w:val="right"/>
        <w:rPr>
          <w:rFonts w:hint="eastAsia" w:ascii="宋体" w:hAnsi="宋体"/>
          <w:sz w:val="24"/>
          <w:szCs w:val="24"/>
          <w:highlight w:val="none"/>
        </w:rPr>
      </w:pPr>
      <w:r>
        <w:rPr>
          <w:rFonts w:hint="eastAsia" w:ascii="宋体" w:hAnsi="宋体"/>
          <w:sz w:val="24"/>
          <w:szCs w:val="24"/>
          <w:highlight w:val="none"/>
        </w:rPr>
        <w:t>单位：元</w:t>
      </w:r>
    </w:p>
    <w:tbl>
      <w:tblPr>
        <w:tblStyle w:val="18"/>
        <w:tblW w:w="5038" w:type="pct"/>
        <w:tblInd w:w="-13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430"/>
        <w:gridCol w:w="3255"/>
        <w:gridCol w:w="1521"/>
        <w:gridCol w:w="1045"/>
        <w:gridCol w:w="1751"/>
        <w:gridCol w:w="127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17" w:hRule="atLeast"/>
        </w:trPr>
        <w:tc>
          <w:tcPr>
            <w:tcW w:w="231" w:type="pct"/>
            <w:vMerge w:val="restart"/>
            <w:tcBorders>
              <w:tl2br w:val="nil"/>
              <w:tr2bl w:val="nil"/>
            </w:tcBorders>
            <w:shd w:val="clear" w:color="000000" w:fill="D9D9D9"/>
            <w:vAlign w:val="center"/>
          </w:tcPr>
          <w:p>
            <w:pPr>
              <w:widowControl/>
              <w:jc w:val="center"/>
              <w:rPr>
                <w:rFonts w:ascii="Times New Roman" w:hAnsi="Times New Roman"/>
                <w:b/>
                <w:bCs/>
                <w:color w:val="auto"/>
                <w:kern w:val="0"/>
                <w:szCs w:val="21"/>
                <w:highlight w:val="none"/>
              </w:rPr>
            </w:pPr>
            <w:r>
              <w:rPr>
                <w:rFonts w:hint="eastAsia" w:ascii="宋体" w:hAnsi="宋体"/>
                <w:b/>
                <w:bCs/>
                <w:color w:val="auto"/>
                <w:kern w:val="0"/>
                <w:szCs w:val="21"/>
                <w:highlight w:val="none"/>
              </w:rPr>
              <w:t>序号</w:t>
            </w:r>
          </w:p>
        </w:tc>
        <w:tc>
          <w:tcPr>
            <w:tcW w:w="1754" w:type="pct"/>
            <w:vMerge w:val="restart"/>
            <w:tcBorders>
              <w:tl2br w:val="nil"/>
              <w:tr2bl w:val="nil"/>
            </w:tcBorders>
            <w:shd w:val="clear" w:color="000000" w:fill="D9D9D9"/>
            <w:vAlign w:val="center"/>
          </w:tcPr>
          <w:p>
            <w:pPr>
              <w:widowControl/>
              <w:jc w:val="center"/>
              <w:rPr>
                <w:rFonts w:ascii="Times New Roman" w:hAnsi="Times New Roman"/>
                <w:b/>
                <w:bCs/>
                <w:color w:val="auto"/>
                <w:kern w:val="0"/>
                <w:szCs w:val="21"/>
                <w:highlight w:val="none"/>
              </w:rPr>
            </w:pPr>
            <w:r>
              <w:rPr>
                <w:rFonts w:hint="eastAsia" w:ascii="宋体" w:hAnsi="宋体"/>
                <w:b/>
                <w:bCs/>
                <w:color w:val="auto"/>
                <w:kern w:val="0"/>
                <w:szCs w:val="21"/>
                <w:highlight w:val="none"/>
              </w:rPr>
              <w:t>股东名称或姓名</w:t>
            </w:r>
          </w:p>
        </w:tc>
        <w:tc>
          <w:tcPr>
            <w:tcW w:w="1383" w:type="pct"/>
            <w:gridSpan w:val="2"/>
            <w:tcBorders>
              <w:tl2br w:val="nil"/>
              <w:tr2bl w:val="nil"/>
            </w:tcBorders>
            <w:shd w:val="clear" w:color="000000" w:fill="D9D9D9"/>
            <w:vAlign w:val="center"/>
          </w:tcPr>
          <w:p>
            <w:pPr>
              <w:widowControl/>
              <w:jc w:val="center"/>
              <w:rPr>
                <w:rFonts w:ascii="Times New Roman" w:hAnsi="Times New Roman"/>
                <w:b/>
                <w:bCs/>
                <w:color w:val="auto"/>
                <w:kern w:val="0"/>
                <w:szCs w:val="21"/>
                <w:highlight w:val="none"/>
              </w:rPr>
            </w:pPr>
            <w:r>
              <w:rPr>
                <w:rFonts w:hint="eastAsia" w:ascii="宋体" w:hAnsi="宋体"/>
                <w:b/>
                <w:bCs/>
                <w:color w:val="auto"/>
                <w:kern w:val="0"/>
                <w:szCs w:val="21"/>
                <w:highlight w:val="none"/>
              </w:rPr>
              <w:t>增资前</w:t>
            </w:r>
          </w:p>
        </w:tc>
        <w:tc>
          <w:tcPr>
            <w:tcW w:w="1629" w:type="pct"/>
            <w:gridSpan w:val="2"/>
            <w:tcBorders>
              <w:tl2br w:val="nil"/>
              <w:tr2bl w:val="nil"/>
            </w:tcBorders>
            <w:shd w:val="clear" w:color="000000" w:fill="D9D9D9"/>
            <w:vAlign w:val="center"/>
          </w:tcPr>
          <w:p>
            <w:pPr>
              <w:widowControl/>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增资后</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17" w:hRule="atLeast"/>
        </w:trPr>
        <w:tc>
          <w:tcPr>
            <w:tcW w:w="231" w:type="pct"/>
            <w:vMerge w:val="continue"/>
            <w:tcBorders>
              <w:tl2br w:val="nil"/>
              <w:tr2bl w:val="nil"/>
            </w:tcBorders>
            <w:vAlign w:val="center"/>
          </w:tcPr>
          <w:p>
            <w:pPr>
              <w:widowControl/>
              <w:jc w:val="left"/>
              <w:rPr>
                <w:rFonts w:ascii="Times New Roman" w:hAnsi="Times New Roman"/>
                <w:b/>
                <w:bCs/>
                <w:color w:val="auto"/>
                <w:kern w:val="0"/>
                <w:szCs w:val="21"/>
                <w:highlight w:val="none"/>
              </w:rPr>
            </w:pPr>
          </w:p>
        </w:tc>
        <w:tc>
          <w:tcPr>
            <w:tcW w:w="1754" w:type="pct"/>
            <w:vMerge w:val="continue"/>
            <w:tcBorders>
              <w:tl2br w:val="nil"/>
              <w:tr2bl w:val="nil"/>
            </w:tcBorders>
            <w:vAlign w:val="center"/>
          </w:tcPr>
          <w:p>
            <w:pPr>
              <w:widowControl/>
              <w:jc w:val="left"/>
              <w:rPr>
                <w:rFonts w:ascii="Times New Roman" w:hAnsi="Times New Roman"/>
                <w:b/>
                <w:bCs/>
                <w:color w:val="auto"/>
                <w:kern w:val="0"/>
                <w:szCs w:val="21"/>
                <w:highlight w:val="none"/>
              </w:rPr>
            </w:pPr>
          </w:p>
        </w:tc>
        <w:tc>
          <w:tcPr>
            <w:tcW w:w="820" w:type="pct"/>
            <w:tcBorders>
              <w:tl2br w:val="nil"/>
              <w:tr2bl w:val="nil"/>
            </w:tcBorders>
            <w:shd w:val="clear" w:color="000000" w:fill="D9D9D9"/>
            <w:vAlign w:val="center"/>
          </w:tcPr>
          <w:p>
            <w:pPr>
              <w:widowControl/>
              <w:jc w:val="center"/>
              <w:rPr>
                <w:rFonts w:hint="eastAsia" w:ascii="Times New Roman" w:hAnsi="Times New Roman" w:eastAsia="宋体"/>
                <w:b/>
                <w:bCs/>
                <w:color w:val="auto"/>
                <w:kern w:val="0"/>
                <w:szCs w:val="21"/>
                <w:highlight w:val="none"/>
                <w:lang w:eastAsia="zh-CN"/>
              </w:rPr>
            </w:pPr>
            <w:r>
              <w:rPr>
                <w:rFonts w:hint="eastAsia" w:ascii="宋体" w:hAnsi="宋体"/>
                <w:b/>
                <w:bCs/>
                <w:color w:val="auto"/>
                <w:kern w:val="0"/>
                <w:szCs w:val="21"/>
                <w:highlight w:val="none"/>
                <w:lang w:eastAsia="zh-CN"/>
              </w:rPr>
              <w:t>股数（股）</w:t>
            </w:r>
          </w:p>
        </w:tc>
        <w:tc>
          <w:tcPr>
            <w:tcW w:w="563" w:type="pct"/>
            <w:tcBorders>
              <w:tl2br w:val="nil"/>
              <w:tr2bl w:val="nil"/>
            </w:tcBorders>
            <w:shd w:val="clear" w:color="000000" w:fill="D9D9D9"/>
            <w:vAlign w:val="center"/>
          </w:tcPr>
          <w:p>
            <w:pPr>
              <w:widowControl/>
              <w:jc w:val="center"/>
              <w:rPr>
                <w:rFonts w:ascii="Times New Roman" w:hAnsi="Times New Roman"/>
                <w:b/>
                <w:bCs/>
                <w:color w:val="auto"/>
                <w:kern w:val="0"/>
                <w:szCs w:val="21"/>
                <w:highlight w:val="none"/>
              </w:rPr>
            </w:pPr>
            <w:r>
              <w:rPr>
                <w:rFonts w:hint="eastAsia" w:ascii="宋体" w:hAnsi="宋体"/>
                <w:b/>
                <w:bCs/>
                <w:color w:val="auto"/>
                <w:kern w:val="0"/>
                <w:szCs w:val="21"/>
                <w:highlight w:val="none"/>
              </w:rPr>
              <w:t>持股比例</w:t>
            </w:r>
          </w:p>
        </w:tc>
        <w:tc>
          <w:tcPr>
            <w:tcW w:w="943" w:type="pct"/>
            <w:tcBorders>
              <w:tl2br w:val="nil"/>
              <w:tr2bl w:val="nil"/>
            </w:tcBorders>
            <w:shd w:val="clear" w:color="000000" w:fill="D9D9D9"/>
            <w:vAlign w:val="center"/>
          </w:tcPr>
          <w:p>
            <w:pPr>
              <w:widowControl/>
              <w:jc w:val="center"/>
              <w:rPr>
                <w:rFonts w:hint="eastAsia" w:ascii="宋体" w:hAnsi="宋体" w:eastAsia="宋体" w:cs="宋体"/>
                <w:b/>
                <w:bCs/>
                <w:color w:val="auto"/>
                <w:kern w:val="0"/>
                <w:szCs w:val="21"/>
                <w:highlight w:val="none"/>
                <w:lang w:eastAsia="zh-CN"/>
              </w:rPr>
            </w:pPr>
            <w:r>
              <w:rPr>
                <w:rFonts w:hint="eastAsia" w:ascii="宋体" w:hAnsi="宋体" w:cs="宋体"/>
                <w:b/>
                <w:bCs/>
                <w:color w:val="auto"/>
                <w:kern w:val="0"/>
                <w:szCs w:val="21"/>
                <w:highlight w:val="none"/>
                <w:lang w:eastAsia="zh-CN"/>
              </w:rPr>
              <w:t>股数（股）</w:t>
            </w:r>
          </w:p>
        </w:tc>
        <w:tc>
          <w:tcPr>
            <w:tcW w:w="686" w:type="pct"/>
            <w:tcBorders>
              <w:tl2br w:val="nil"/>
              <w:tr2bl w:val="nil"/>
            </w:tcBorders>
            <w:shd w:val="clear" w:color="000000" w:fill="D9D9D9"/>
            <w:vAlign w:val="center"/>
          </w:tcPr>
          <w:p>
            <w:pPr>
              <w:widowControl/>
              <w:jc w:val="center"/>
              <w:rPr>
                <w:rFonts w:ascii="Times New Roman" w:hAnsi="Times New Roman"/>
                <w:b/>
                <w:bCs/>
                <w:color w:val="auto"/>
                <w:kern w:val="0"/>
                <w:szCs w:val="21"/>
                <w:highlight w:val="none"/>
              </w:rPr>
            </w:pPr>
            <w:r>
              <w:rPr>
                <w:rFonts w:hint="eastAsia" w:ascii="宋体" w:hAnsi="宋体"/>
                <w:b/>
                <w:bCs/>
                <w:color w:val="auto"/>
                <w:kern w:val="0"/>
                <w:szCs w:val="21"/>
                <w:highlight w:val="none"/>
              </w:rPr>
              <w:t>持股比例</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430" w:type="dxa"/>
            <w:tcBorders>
              <w:tl2br w:val="nil"/>
              <w:tr2bl w:val="nil"/>
            </w:tcBorders>
            <w:shd w:val="clear" w:color="auto" w:fill="auto"/>
            <w:vAlign w:val="center"/>
          </w:tcPr>
          <w:p>
            <w:pPr>
              <w:widowControl/>
              <w:jc w:val="center"/>
              <w:rPr>
                <w:rFonts w:ascii="Times New Roman" w:hAnsi="Times New Roman"/>
                <w:color w:val="auto"/>
                <w:kern w:val="0"/>
                <w:szCs w:val="21"/>
                <w:highlight w:val="none"/>
              </w:rPr>
            </w:pPr>
            <w:r>
              <w:rPr>
                <w:rFonts w:ascii="Times New Roman" w:hAnsi="Times New Roman"/>
                <w:kern w:val="0"/>
                <w:szCs w:val="21"/>
                <w:highlight w:val="none"/>
              </w:rPr>
              <w:t>1</w:t>
            </w:r>
          </w:p>
        </w:tc>
        <w:tc>
          <w:tcPr>
            <w:tcW w:w="3255" w:type="dxa"/>
            <w:tcBorders>
              <w:tl2br w:val="nil"/>
              <w:tr2bl w:val="nil"/>
            </w:tcBorders>
            <w:shd w:val="clear" w:color="auto" w:fill="auto"/>
            <w:vAlign w:val="center"/>
          </w:tcPr>
          <w:p>
            <w:pPr>
              <w:widowControl/>
              <w:jc w:val="center"/>
              <w:textAlignment w:val="center"/>
              <w:rPr>
                <w:rFonts w:ascii="宋体" w:hAnsi="宋体" w:cs="宋体"/>
                <w:color w:val="auto"/>
                <w:kern w:val="0"/>
                <w:szCs w:val="21"/>
                <w:highlight w:val="none"/>
              </w:rPr>
            </w:pPr>
            <w:r>
              <w:rPr>
                <w:rFonts w:ascii="仿宋_GB2312" w:hAnsi="宋体" w:eastAsia="仿宋_GB2312" w:cs="仿宋_GB2312"/>
                <w:color w:val="000000"/>
                <w:kern w:val="0"/>
                <w:szCs w:val="21"/>
                <w:highlight w:val="none"/>
                <w:lang w:bidi="ar"/>
              </w:rPr>
              <w:t>浙江海正集团有限公司</w:t>
            </w:r>
          </w:p>
        </w:tc>
        <w:tc>
          <w:tcPr>
            <w:tcW w:w="1521" w:type="dxa"/>
            <w:tcBorders>
              <w:tl2br w:val="nil"/>
              <w:tr2bl w:val="nil"/>
            </w:tcBorders>
            <w:vAlign w:val="center"/>
          </w:tcPr>
          <w:p>
            <w:pPr>
              <w:widowControl/>
              <w:jc w:val="right"/>
              <w:rPr>
                <w:rFonts w:ascii="宋体" w:hAnsi="宋体"/>
                <w:color w:val="auto"/>
                <w:kern w:val="0"/>
                <w:szCs w:val="21"/>
                <w:highlight w:val="none"/>
              </w:rPr>
            </w:pPr>
            <w:r>
              <w:rPr>
                <w:rFonts w:hint="eastAsia" w:ascii="宋体" w:hAnsi="宋体"/>
                <w:color w:val="000000"/>
                <w:szCs w:val="21"/>
                <w:highlight w:val="none"/>
              </w:rPr>
              <w:t xml:space="preserve">60,090,000.00 </w:t>
            </w:r>
          </w:p>
        </w:tc>
        <w:tc>
          <w:tcPr>
            <w:tcW w:w="1045" w:type="dxa"/>
            <w:tcBorders>
              <w:tl2br w:val="nil"/>
              <w:tr2bl w:val="nil"/>
            </w:tcBorders>
            <w:vAlign w:val="center"/>
          </w:tcPr>
          <w:p>
            <w:pPr>
              <w:widowControl/>
              <w:jc w:val="right"/>
              <w:rPr>
                <w:rFonts w:ascii="Times New Roman" w:hAnsi="Times New Roman"/>
                <w:color w:val="auto"/>
                <w:kern w:val="0"/>
                <w:szCs w:val="21"/>
                <w:highlight w:val="none"/>
              </w:rPr>
            </w:pPr>
            <w:r>
              <w:rPr>
                <w:rFonts w:hint="eastAsia" w:asciiTheme="minorEastAsia" w:hAnsiTheme="minorEastAsia" w:eastAsiaTheme="minorEastAsia"/>
                <w:color w:val="000000"/>
                <w:szCs w:val="21"/>
                <w:highlight w:val="none"/>
              </w:rPr>
              <w:t>65.68</w:t>
            </w:r>
            <w:r>
              <w:rPr>
                <w:rFonts w:asciiTheme="minorEastAsia" w:hAnsiTheme="minorEastAsia" w:eastAsiaTheme="minorEastAsia"/>
                <w:color w:val="000000"/>
                <w:szCs w:val="21"/>
                <w:highlight w:val="none"/>
              </w:rPr>
              <w:t>%</w:t>
            </w:r>
          </w:p>
        </w:tc>
        <w:tc>
          <w:tcPr>
            <w:tcW w:w="1751" w:type="dxa"/>
            <w:tcBorders>
              <w:tl2br w:val="nil"/>
              <w:tr2bl w:val="nil"/>
            </w:tcBorders>
            <w:vAlign w:val="center"/>
          </w:tcPr>
          <w:p>
            <w:pPr>
              <w:jc w:val="right"/>
              <w:rPr>
                <w:rFonts w:hint="eastAsia" w:ascii="宋体" w:hAnsi="宋体"/>
                <w:color w:val="auto"/>
                <w:kern w:val="2"/>
                <w:szCs w:val="21"/>
                <w:highlight w:val="none"/>
              </w:rPr>
            </w:pPr>
            <w:r>
              <w:rPr>
                <w:rFonts w:hint="eastAsia" w:ascii="仿宋_GB2312" w:eastAsia="仿宋_GB2312"/>
                <w:szCs w:val="21"/>
                <w:highlight w:val="none"/>
              </w:rPr>
              <w:t xml:space="preserve">60,090,000.00 </w:t>
            </w:r>
          </w:p>
        </w:tc>
        <w:tc>
          <w:tcPr>
            <w:tcW w:w="1273" w:type="dxa"/>
            <w:tcBorders>
              <w:tl2br w:val="nil"/>
              <w:tr2bl w:val="nil"/>
            </w:tcBorders>
            <w:vAlign w:val="center"/>
          </w:tcPr>
          <w:p>
            <w:pPr>
              <w:widowControl/>
              <w:jc w:val="right"/>
              <w:textAlignment w:val="center"/>
              <w:rPr>
                <w:rFonts w:hint="eastAsia" w:ascii="宋体" w:hAnsi="宋体" w:eastAsia="宋体"/>
                <w:color w:val="auto"/>
                <w:kern w:val="2"/>
                <w:szCs w:val="21"/>
                <w:highlight w:val="none"/>
              </w:rPr>
            </w:pPr>
            <w:r>
              <w:rPr>
                <w:rFonts w:hint="eastAsia" w:ascii="宋体" w:hAnsi="宋体" w:cs="宋体"/>
                <w:color w:val="000000"/>
                <w:kern w:val="0"/>
                <w:sz w:val="22"/>
                <w:highlight w:val="none"/>
                <w:lang w:bidi="ar"/>
              </w:rPr>
              <w:t>47.893%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430" w:type="dxa"/>
            <w:tcBorders>
              <w:tl2br w:val="nil"/>
              <w:tr2bl w:val="nil"/>
            </w:tcBorders>
            <w:shd w:val="clear" w:color="auto" w:fill="auto"/>
            <w:vAlign w:val="center"/>
          </w:tcPr>
          <w:p>
            <w:pPr>
              <w:widowControl/>
              <w:jc w:val="center"/>
              <w:rPr>
                <w:rFonts w:ascii="Times New Roman" w:hAnsi="Times New Roman"/>
                <w:color w:val="auto"/>
                <w:kern w:val="0"/>
                <w:szCs w:val="21"/>
                <w:highlight w:val="none"/>
              </w:rPr>
            </w:pPr>
            <w:r>
              <w:rPr>
                <w:rFonts w:ascii="Times New Roman" w:hAnsi="Times New Roman"/>
                <w:kern w:val="0"/>
                <w:szCs w:val="21"/>
                <w:highlight w:val="none"/>
              </w:rPr>
              <w:t>2</w:t>
            </w:r>
          </w:p>
        </w:tc>
        <w:tc>
          <w:tcPr>
            <w:tcW w:w="3255" w:type="dxa"/>
            <w:tcBorders>
              <w:tl2br w:val="nil"/>
              <w:tr2bl w:val="nil"/>
            </w:tcBorders>
            <w:shd w:val="clear" w:color="auto" w:fill="auto"/>
            <w:vAlign w:val="center"/>
          </w:tcPr>
          <w:p>
            <w:pPr>
              <w:widowControl/>
              <w:jc w:val="center"/>
              <w:textAlignment w:val="center"/>
              <w:rPr>
                <w:rFonts w:ascii="宋体" w:hAnsi="宋体" w:cs="宋体"/>
                <w:color w:val="auto"/>
                <w:szCs w:val="21"/>
                <w:highlight w:val="none"/>
              </w:rPr>
            </w:pPr>
            <w:r>
              <w:rPr>
                <w:rFonts w:ascii="仿宋_GB2312" w:hAnsi="宋体" w:eastAsia="仿宋_GB2312" w:cs="仿宋_GB2312"/>
                <w:color w:val="000000"/>
                <w:kern w:val="0"/>
                <w:szCs w:val="21"/>
                <w:highlight w:val="none"/>
                <w:lang w:bidi="ar"/>
              </w:rPr>
              <w:t>台州市国有资产投资集团有限公司</w:t>
            </w:r>
          </w:p>
        </w:tc>
        <w:tc>
          <w:tcPr>
            <w:tcW w:w="1521" w:type="dxa"/>
            <w:tcBorders>
              <w:tl2br w:val="nil"/>
              <w:tr2bl w:val="nil"/>
            </w:tcBorders>
            <w:vAlign w:val="center"/>
          </w:tcPr>
          <w:p>
            <w:pPr>
              <w:widowControl/>
              <w:jc w:val="right"/>
              <w:rPr>
                <w:rFonts w:ascii="宋体" w:hAnsi="宋体"/>
                <w:color w:val="auto"/>
                <w:kern w:val="0"/>
                <w:szCs w:val="21"/>
                <w:highlight w:val="none"/>
              </w:rPr>
            </w:pPr>
            <w:r>
              <w:rPr>
                <w:rFonts w:hint="eastAsia" w:ascii="宋体" w:hAnsi="宋体"/>
                <w:color w:val="000000"/>
                <w:szCs w:val="21"/>
                <w:highlight w:val="none"/>
              </w:rPr>
              <w:t xml:space="preserve">2,000,000.00 </w:t>
            </w:r>
          </w:p>
        </w:tc>
        <w:tc>
          <w:tcPr>
            <w:tcW w:w="1045" w:type="dxa"/>
            <w:tcBorders>
              <w:tl2br w:val="nil"/>
              <w:tr2bl w:val="nil"/>
            </w:tcBorders>
            <w:vAlign w:val="center"/>
          </w:tcPr>
          <w:p>
            <w:pPr>
              <w:widowControl/>
              <w:jc w:val="right"/>
              <w:rPr>
                <w:rFonts w:ascii="Times New Roman" w:hAnsi="Times New Roman"/>
                <w:color w:val="auto"/>
                <w:kern w:val="0"/>
                <w:szCs w:val="21"/>
                <w:highlight w:val="none"/>
              </w:rPr>
            </w:pPr>
            <w:r>
              <w:rPr>
                <w:rFonts w:asciiTheme="minorEastAsia" w:hAnsiTheme="minorEastAsia" w:eastAsiaTheme="minorEastAsia"/>
                <w:color w:val="000000"/>
                <w:szCs w:val="21"/>
                <w:highlight w:val="none"/>
              </w:rPr>
              <w:t>2.19%</w:t>
            </w:r>
          </w:p>
        </w:tc>
        <w:tc>
          <w:tcPr>
            <w:tcW w:w="1751" w:type="dxa"/>
            <w:tcBorders>
              <w:tl2br w:val="nil"/>
              <w:tr2bl w:val="nil"/>
            </w:tcBorders>
            <w:vAlign w:val="center"/>
          </w:tcPr>
          <w:p>
            <w:pPr>
              <w:jc w:val="right"/>
              <w:rPr>
                <w:rFonts w:hint="eastAsia" w:ascii="宋体" w:hAnsi="宋体"/>
                <w:color w:val="auto"/>
                <w:kern w:val="2"/>
                <w:szCs w:val="21"/>
                <w:highlight w:val="none"/>
              </w:rPr>
            </w:pPr>
            <w:r>
              <w:rPr>
                <w:rFonts w:hint="eastAsia" w:ascii="仿宋_GB2312" w:eastAsia="仿宋_GB2312"/>
                <w:szCs w:val="21"/>
                <w:highlight w:val="none"/>
              </w:rPr>
              <w:t xml:space="preserve">2,000,000.00 </w:t>
            </w:r>
          </w:p>
        </w:tc>
        <w:tc>
          <w:tcPr>
            <w:tcW w:w="1273" w:type="dxa"/>
            <w:tcBorders>
              <w:tl2br w:val="nil"/>
              <w:tr2bl w:val="nil"/>
            </w:tcBorders>
            <w:vAlign w:val="center"/>
          </w:tcPr>
          <w:p>
            <w:pPr>
              <w:widowControl/>
              <w:jc w:val="right"/>
              <w:textAlignment w:val="center"/>
              <w:rPr>
                <w:rFonts w:hint="eastAsia" w:ascii="宋体" w:hAnsi="宋体" w:eastAsia="宋体"/>
                <w:color w:val="auto"/>
                <w:kern w:val="2"/>
                <w:szCs w:val="21"/>
                <w:highlight w:val="none"/>
              </w:rPr>
            </w:pPr>
            <w:r>
              <w:rPr>
                <w:rFonts w:hint="eastAsia" w:ascii="宋体" w:hAnsi="宋体" w:cs="宋体"/>
                <w:color w:val="000000"/>
                <w:kern w:val="0"/>
                <w:sz w:val="22"/>
                <w:highlight w:val="none"/>
                <w:lang w:bidi="ar"/>
              </w:rPr>
              <w:t>1.594%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430" w:type="dxa"/>
            <w:tcBorders>
              <w:tl2br w:val="nil"/>
              <w:tr2bl w:val="nil"/>
            </w:tcBorders>
            <w:shd w:val="clear" w:color="auto" w:fill="auto"/>
            <w:vAlign w:val="center"/>
          </w:tcPr>
          <w:p>
            <w:pPr>
              <w:widowControl/>
              <w:jc w:val="center"/>
              <w:rPr>
                <w:rFonts w:ascii="Times New Roman" w:hAnsi="Times New Roman"/>
                <w:color w:val="auto"/>
                <w:kern w:val="0"/>
                <w:szCs w:val="21"/>
                <w:highlight w:val="none"/>
              </w:rPr>
            </w:pPr>
            <w:r>
              <w:rPr>
                <w:rFonts w:ascii="Times New Roman" w:hAnsi="Times New Roman"/>
                <w:kern w:val="0"/>
                <w:szCs w:val="21"/>
                <w:highlight w:val="none"/>
              </w:rPr>
              <w:t>3</w:t>
            </w:r>
          </w:p>
        </w:tc>
        <w:tc>
          <w:tcPr>
            <w:tcW w:w="3255" w:type="dxa"/>
            <w:tcBorders>
              <w:tl2br w:val="nil"/>
              <w:tr2bl w:val="nil"/>
            </w:tcBorders>
            <w:shd w:val="clear" w:color="auto" w:fill="auto"/>
            <w:vAlign w:val="center"/>
          </w:tcPr>
          <w:p>
            <w:pPr>
              <w:widowControl/>
              <w:jc w:val="center"/>
              <w:textAlignment w:val="center"/>
              <w:rPr>
                <w:rFonts w:ascii="宋体" w:hAnsi="宋体" w:cs="宋体"/>
                <w:color w:val="auto"/>
                <w:szCs w:val="21"/>
                <w:highlight w:val="none"/>
              </w:rPr>
            </w:pPr>
            <w:r>
              <w:rPr>
                <w:rFonts w:ascii="仿宋_GB2312" w:hAnsi="宋体" w:eastAsia="仿宋_GB2312" w:cs="仿宋_GB2312"/>
                <w:color w:val="000000"/>
                <w:kern w:val="0"/>
                <w:szCs w:val="21"/>
                <w:highlight w:val="none"/>
                <w:lang w:bidi="ar"/>
              </w:rPr>
              <w:t>台州市椒江区基础设施投资公司</w:t>
            </w:r>
          </w:p>
        </w:tc>
        <w:tc>
          <w:tcPr>
            <w:tcW w:w="1521" w:type="dxa"/>
            <w:tcBorders>
              <w:tl2br w:val="nil"/>
              <w:tr2bl w:val="nil"/>
            </w:tcBorders>
            <w:shd w:val="clear" w:color="auto" w:fill="auto"/>
            <w:vAlign w:val="center"/>
          </w:tcPr>
          <w:p>
            <w:pPr>
              <w:widowControl/>
              <w:jc w:val="right"/>
              <w:rPr>
                <w:rFonts w:ascii="宋体" w:hAnsi="宋体"/>
                <w:color w:val="auto"/>
                <w:kern w:val="0"/>
                <w:szCs w:val="21"/>
                <w:highlight w:val="none"/>
              </w:rPr>
            </w:pPr>
            <w:r>
              <w:rPr>
                <w:rFonts w:hint="eastAsia" w:ascii="宋体" w:hAnsi="宋体"/>
                <w:color w:val="000000"/>
                <w:szCs w:val="21"/>
                <w:highlight w:val="none"/>
              </w:rPr>
              <w:t xml:space="preserve">2,000,000.00 </w:t>
            </w:r>
          </w:p>
        </w:tc>
        <w:tc>
          <w:tcPr>
            <w:tcW w:w="1045" w:type="dxa"/>
            <w:tcBorders>
              <w:tl2br w:val="nil"/>
              <w:tr2bl w:val="nil"/>
            </w:tcBorders>
            <w:shd w:val="clear" w:color="auto" w:fill="auto"/>
            <w:vAlign w:val="center"/>
          </w:tcPr>
          <w:p>
            <w:pPr>
              <w:widowControl/>
              <w:jc w:val="right"/>
              <w:rPr>
                <w:rFonts w:ascii="Times New Roman" w:hAnsi="Times New Roman"/>
                <w:color w:val="auto"/>
                <w:kern w:val="0"/>
                <w:szCs w:val="21"/>
                <w:highlight w:val="none"/>
              </w:rPr>
            </w:pPr>
            <w:r>
              <w:rPr>
                <w:rFonts w:asciiTheme="minorEastAsia" w:hAnsiTheme="minorEastAsia" w:eastAsiaTheme="minorEastAsia"/>
                <w:color w:val="000000"/>
                <w:szCs w:val="21"/>
                <w:highlight w:val="none"/>
              </w:rPr>
              <w:t>2.19%</w:t>
            </w:r>
          </w:p>
        </w:tc>
        <w:tc>
          <w:tcPr>
            <w:tcW w:w="1751" w:type="dxa"/>
            <w:tcBorders>
              <w:tl2br w:val="nil"/>
              <w:tr2bl w:val="nil"/>
            </w:tcBorders>
            <w:vAlign w:val="center"/>
          </w:tcPr>
          <w:p>
            <w:pPr>
              <w:jc w:val="right"/>
              <w:rPr>
                <w:rFonts w:hint="eastAsia" w:ascii="宋体" w:hAnsi="宋体"/>
                <w:color w:val="auto"/>
                <w:kern w:val="2"/>
                <w:szCs w:val="21"/>
                <w:highlight w:val="none"/>
              </w:rPr>
            </w:pPr>
            <w:r>
              <w:rPr>
                <w:rFonts w:hint="eastAsia" w:ascii="仿宋_GB2312" w:eastAsia="仿宋_GB2312"/>
                <w:szCs w:val="21"/>
                <w:highlight w:val="none"/>
              </w:rPr>
              <w:t xml:space="preserve">2,000,000.00 </w:t>
            </w:r>
          </w:p>
        </w:tc>
        <w:tc>
          <w:tcPr>
            <w:tcW w:w="1273" w:type="dxa"/>
            <w:tcBorders>
              <w:tl2br w:val="nil"/>
              <w:tr2bl w:val="nil"/>
            </w:tcBorders>
            <w:vAlign w:val="center"/>
          </w:tcPr>
          <w:p>
            <w:pPr>
              <w:widowControl/>
              <w:jc w:val="right"/>
              <w:textAlignment w:val="center"/>
              <w:rPr>
                <w:rFonts w:hint="eastAsia" w:ascii="宋体" w:hAnsi="宋体" w:eastAsia="宋体"/>
                <w:color w:val="auto"/>
                <w:kern w:val="2"/>
                <w:szCs w:val="21"/>
                <w:highlight w:val="none"/>
              </w:rPr>
            </w:pPr>
            <w:r>
              <w:rPr>
                <w:rFonts w:hint="eastAsia" w:ascii="宋体" w:hAnsi="宋体" w:cs="宋体"/>
                <w:color w:val="000000"/>
                <w:kern w:val="0"/>
                <w:sz w:val="22"/>
                <w:highlight w:val="none"/>
                <w:lang w:bidi="ar"/>
              </w:rPr>
              <w:t>1.594%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430" w:type="dxa"/>
            <w:tcBorders>
              <w:tl2br w:val="nil"/>
              <w:tr2bl w:val="nil"/>
            </w:tcBorders>
            <w:shd w:val="clear" w:color="auto" w:fill="auto"/>
            <w:vAlign w:val="center"/>
          </w:tcPr>
          <w:p>
            <w:pPr>
              <w:widowControl/>
              <w:jc w:val="center"/>
              <w:rPr>
                <w:rFonts w:ascii="Times New Roman" w:hAnsi="Times New Roman"/>
                <w:color w:val="auto"/>
                <w:kern w:val="0"/>
                <w:szCs w:val="21"/>
                <w:highlight w:val="none"/>
              </w:rPr>
            </w:pPr>
            <w:r>
              <w:rPr>
                <w:rFonts w:hint="eastAsia" w:ascii="Times New Roman" w:hAnsi="Times New Roman"/>
                <w:kern w:val="0"/>
                <w:szCs w:val="21"/>
                <w:highlight w:val="none"/>
              </w:rPr>
              <w:t>4</w:t>
            </w:r>
          </w:p>
        </w:tc>
        <w:tc>
          <w:tcPr>
            <w:tcW w:w="3255" w:type="dxa"/>
            <w:tcBorders>
              <w:tl2br w:val="nil"/>
              <w:tr2bl w:val="nil"/>
            </w:tcBorders>
            <w:shd w:val="clear" w:color="auto" w:fill="auto"/>
            <w:vAlign w:val="center"/>
          </w:tcPr>
          <w:p>
            <w:pPr>
              <w:widowControl/>
              <w:jc w:val="center"/>
              <w:textAlignment w:val="center"/>
              <w:rPr>
                <w:rFonts w:ascii="宋体" w:hAnsi="宋体" w:cs="宋体"/>
                <w:color w:val="auto"/>
                <w:szCs w:val="21"/>
                <w:highlight w:val="none"/>
              </w:rPr>
            </w:pPr>
            <w:r>
              <w:rPr>
                <w:rFonts w:ascii="仿宋_GB2312" w:hAnsi="宋体" w:eastAsia="仿宋_GB2312" w:cs="仿宋_GB2312"/>
                <w:color w:val="000000"/>
                <w:kern w:val="0"/>
                <w:szCs w:val="21"/>
                <w:highlight w:val="none"/>
                <w:lang w:bidi="ar"/>
              </w:rPr>
              <w:t>苏州市玮琪生物科技有限公司</w:t>
            </w:r>
          </w:p>
        </w:tc>
        <w:tc>
          <w:tcPr>
            <w:tcW w:w="1521" w:type="dxa"/>
            <w:tcBorders>
              <w:tl2br w:val="nil"/>
              <w:tr2bl w:val="nil"/>
            </w:tcBorders>
            <w:shd w:val="clear" w:color="auto" w:fill="auto"/>
            <w:vAlign w:val="center"/>
          </w:tcPr>
          <w:p>
            <w:pPr>
              <w:widowControl/>
              <w:jc w:val="right"/>
              <w:rPr>
                <w:rFonts w:ascii="宋体" w:hAnsi="宋体"/>
                <w:color w:val="auto"/>
                <w:kern w:val="0"/>
                <w:szCs w:val="21"/>
                <w:highlight w:val="none"/>
              </w:rPr>
            </w:pPr>
            <w:r>
              <w:rPr>
                <w:rFonts w:hint="eastAsia" w:ascii="宋体" w:hAnsi="宋体"/>
                <w:color w:val="000000"/>
                <w:szCs w:val="21"/>
                <w:highlight w:val="none"/>
              </w:rPr>
              <w:t xml:space="preserve">6,620,000.00 </w:t>
            </w:r>
          </w:p>
        </w:tc>
        <w:tc>
          <w:tcPr>
            <w:tcW w:w="1045" w:type="dxa"/>
            <w:tcBorders>
              <w:tl2br w:val="nil"/>
              <w:tr2bl w:val="nil"/>
            </w:tcBorders>
            <w:shd w:val="clear" w:color="auto" w:fill="auto"/>
            <w:vAlign w:val="center"/>
          </w:tcPr>
          <w:p>
            <w:pPr>
              <w:widowControl/>
              <w:jc w:val="right"/>
              <w:rPr>
                <w:rFonts w:ascii="Times New Roman" w:hAnsi="Times New Roman"/>
                <w:color w:val="auto"/>
                <w:kern w:val="0"/>
                <w:szCs w:val="21"/>
                <w:highlight w:val="none"/>
              </w:rPr>
            </w:pPr>
            <w:r>
              <w:rPr>
                <w:rFonts w:asciiTheme="minorEastAsia" w:hAnsiTheme="minorEastAsia" w:eastAsiaTheme="minorEastAsia"/>
                <w:color w:val="000000"/>
                <w:szCs w:val="21"/>
                <w:highlight w:val="none"/>
              </w:rPr>
              <w:t>7.24%</w:t>
            </w:r>
          </w:p>
        </w:tc>
        <w:tc>
          <w:tcPr>
            <w:tcW w:w="1751" w:type="dxa"/>
            <w:tcBorders>
              <w:tl2br w:val="nil"/>
              <w:tr2bl w:val="nil"/>
            </w:tcBorders>
            <w:vAlign w:val="center"/>
          </w:tcPr>
          <w:p>
            <w:pPr>
              <w:jc w:val="right"/>
              <w:rPr>
                <w:rFonts w:hint="eastAsia" w:ascii="宋体" w:hAnsi="宋体"/>
                <w:color w:val="auto"/>
                <w:kern w:val="2"/>
                <w:szCs w:val="21"/>
                <w:highlight w:val="none"/>
              </w:rPr>
            </w:pPr>
            <w:r>
              <w:rPr>
                <w:rFonts w:hint="eastAsia" w:ascii="仿宋_GB2312" w:eastAsia="仿宋_GB2312"/>
                <w:szCs w:val="21"/>
                <w:highlight w:val="none"/>
              </w:rPr>
              <w:t xml:space="preserve">6,620,000.00 </w:t>
            </w:r>
          </w:p>
        </w:tc>
        <w:tc>
          <w:tcPr>
            <w:tcW w:w="1273" w:type="dxa"/>
            <w:tcBorders>
              <w:tl2br w:val="nil"/>
              <w:tr2bl w:val="nil"/>
            </w:tcBorders>
            <w:vAlign w:val="center"/>
          </w:tcPr>
          <w:p>
            <w:pPr>
              <w:widowControl/>
              <w:jc w:val="right"/>
              <w:textAlignment w:val="center"/>
              <w:rPr>
                <w:rFonts w:hint="eastAsia" w:ascii="宋体" w:hAnsi="宋体" w:eastAsia="宋体"/>
                <w:color w:val="auto"/>
                <w:kern w:val="2"/>
                <w:szCs w:val="21"/>
                <w:highlight w:val="none"/>
              </w:rPr>
            </w:pPr>
            <w:r>
              <w:rPr>
                <w:rFonts w:hint="eastAsia" w:ascii="宋体" w:hAnsi="宋体" w:cs="宋体"/>
                <w:color w:val="000000"/>
                <w:kern w:val="0"/>
                <w:sz w:val="22"/>
                <w:highlight w:val="none"/>
                <w:lang w:bidi="ar"/>
              </w:rPr>
              <w:t>5.276%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430" w:type="dxa"/>
            <w:tcBorders>
              <w:tl2br w:val="nil"/>
              <w:tr2bl w:val="nil"/>
            </w:tcBorders>
            <w:shd w:val="clear" w:color="auto" w:fill="auto"/>
            <w:vAlign w:val="center"/>
          </w:tcPr>
          <w:p>
            <w:pPr>
              <w:widowControl/>
              <w:jc w:val="center"/>
              <w:rPr>
                <w:rFonts w:ascii="Times New Roman" w:hAnsi="Times New Roman"/>
                <w:color w:val="auto"/>
                <w:kern w:val="0"/>
                <w:szCs w:val="21"/>
                <w:highlight w:val="none"/>
              </w:rPr>
            </w:pPr>
            <w:r>
              <w:rPr>
                <w:rFonts w:hint="eastAsia" w:ascii="Times New Roman" w:hAnsi="Times New Roman"/>
                <w:kern w:val="0"/>
                <w:szCs w:val="21"/>
                <w:highlight w:val="none"/>
              </w:rPr>
              <w:t>5</w:t>
            </w:r>
          </w:p>
        </w:tc>
        <w:tc>
          <w:tcPr>
            <w:tcW w:w="3255" w:type="dxa"/>
            <w:tcBorders>
              <w:tl2br w:val="nil"/>
              <w:tr2bl w:val="nil"/>
            </w:tcBorders>
            <w:shd w:val="clear" w:color="auto" w:fill="auto"/>
            <w:vAlign w:val="center"/>
          </w:tcPr>
          <w:p>
            <w:pPr>
              <w:widowControl/>
              <w:jc w:val="center"/>
              <w:textAlignment w:val="center"/>
              <w:rPr>
                <w:rFonts w:ascii="宋体" w:hAnsi="宋体" w:cs="宋体"/>
                <w:color w:val="auto"/>
                <w:szCs w:val="21"/>
                <w:highlight w:val="none"/>
              </w:rPr>
            </w:pPr>
            <w:r>
              <w:rPr>
                <w:rFonts w:ascii="仿宋_GB2312" w:hAnsi="宋体" w:eastAsia="仿宋_GB2312" w:cs="仿宋_GB2312"/>
                <w:color w:val="000000"/>
                <w:kern w:val="0"/>
                <w:szCs w:val="21"/>
                <w:highlight w:val="none"/>
                <w:lang w:bidi="ar"/>
              </w:rPr>
              <w:t>中国科学院长春应用化学科技总公司</w:t>
            </w:r>
          </w:p>
        </w:tc>
        <w:tc>
          <w:tcPr>
            <w:tcW w:w="1521" w:type="dxa"/>
            <w:tcBorders>
              <w:tl2br w:val="nil"/>
              <w:tr2bl w:val="nil"/>
            </w:tcBorders>
            <w:shd w:val="clear" w:color="auto" w:fill="auto"/>
            <w:vAlign w:val="center"/>
          </w:tcPr>
          <w:p>
            <w:pPr>
              <w:widowControl/>
              <w:jc w:val="right"/>
              <w:rPr>
                <w:rFonts w:ascii="宋体" w:hAnsi="宋体"/>
                <w:color w:val="auto"/>
                <w:kern w:val="0"/>
                <w:szCs w:val="21"/>
                <w:highlight w:val="none"/>
              </w:rPr>
            </w:pPr>
            <w:r>
              <w:rPr>
                <w:rFonts w:hint="eastAsia" w:ascii="宋体" w:hAnsi="宋体"/>
                <w:color w:val="000000"/>
                <w:szCs w:val="21"/>
                <w:highlight w:val="none"/>
              </w:rPr>
              <w:t xml:space="preserve">9,200,000.00 </w:t>
            </w:r>
          </w:p>
        </w:tc>
        <w:tc>
          <w:tcPr>
            <w:tcW w:w="1045" w:type="dxa"/>
            <w:tcBorders>
              <w:tl2br w:val="nil"/>
              <w:tr2bl w:val="nil"/>
            </w:tcBorders>
            <w:shd w:val="clear" w:color="auto" w:fill="auto"/>
            <w:vAlign w:val="center"/>
          </w:tcPr>
          <w:p>
            <w:pPr>
              <w:widowControl/>
              <w:jc w:val="right"/>
              <w:rPr>
                <w:rFonts w:ascii="Times New Roman" w:hAnsi="Times New Roman"/>
                <w:color w:val="auto"/>
                <w:kern w:val="0"/>
                <w:szCs w:val="21"/>
                <w:highlight w:val="none"/>
              </w:rPr>
            </w:pPr>
            <w:r>
              <w:rPr>
                <w:rFonts w:asciiTheme="minorEastAsia" w:hAnsiTheme="minorEastAsia" w:eastAsiaTheme="minorEastAsia"/>
                <w:color w:val="000000"/>
                <w:szCs w:val="21"/>
                <w:highlight w:val="none"/>
              </w:rPr>
              <w:t>10.06%</w:t>
            </w:r>
          </w:p>
        </w:tc>
        <w:tc>
          <w:tcPr>
            <w:tcW w:w="1751" w:type="dxa"/>
            <w:tcBorders>
              <w:tl2br w:val="nil"/>
              <w:tr2bl w:val="nil"/>
            </w:tcBorders>
            <w:vAlign w:val="center"/>
          </w:tcPr>
          <w:p>
            <w:pPr>
              <w:jc w:val="right"/>
              <w:rPr>
                <w:rFonts w:hint="eastAsia" w:ascii="宋体" w:hAnsi="宋体"/>
                <w:color w:val="auto"/>
                <w:kern w:val="2"/>
                <w:szCs w:val="21"/>
                <w:highlight w:val="none"/>
              </w:rPr>
            </w:pPr>
            <w:r>
              <w:rPr>
                <w:rFonts w:hint="eastAsia" w:ascii="仿宋_GB2312" w:eastAsia="仿宋_GB2312"/>
                <w:szCs w:val="21"/>
                <w:highlight w:val="none"/>
              </w:rPr>
              <w:t xml:space="preserve">9,200,000.00 </w:t>
            </w:r>
          </w:p>
        </w:tc>
        <w:tc>
          <w:tcPr>
            <w:tcW w:w="1273" w:type="dxa"/>
            <w:tcBorders>
              <w:tl2br w:val="nil"/>
              <w:tr2bl w:val="nil"/>
            </w:tcBorders>
            <w:vAlign w:val="center"/>
          </w:tcPr>
          <w:p>
            <w:pPr>
              <w:widowControl/>
              <w:jc w:val="right"/>
              <w:textAlignment w:val="center"/>
              <w:rPr>
                <w:rFonts w:hint="eastAsia" w:ascii="宋体" w:hAnsi="宋体" w:eastAsia="宋体"/>
                <w:color w:val="auto"/>
                <w:kern w:val="2"/>
                <w:szCs w:val="21"/>
                <w:highlight w:val="none"/>
              </w:rPr>
            </w:pPr>
            <w:r>
              <w:rPr>
                <w:rFonts w:hint="eastAsia" w:ascii="宋体" w:hAnsi="宋体" w:cs="宋体"/>
                <w:color w:val="000000"/>
                <w:kern w:val="0"/>
                <w:sz w:val="22"/>
                <w:highlight w:val="none"/>
                <w:lang w:bidi="ar"/>
              </w:rPr>
              <w:t>7.333%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430" w:type="dxa"/>
            <w:tcBorders>
              <w:tl2br w:val="nil"/>
              <w:tr2bl w:val="nil"/>
            </w:tcBorders>
            <w:shd w:val="clear" w:color="auto" w:fill="auto"/>
            <w:vAlign w:val="center"/>
          </w:tcPr>
          <w:p>
            <w:pPr>
              <w:widowControl/>
              <w:jc w:val="center"/>
              <w:rPr>
                <w:rFonts w:ascii="Times New Roman" w:hAnsi="Times New Roman"/>
                <w:color w:val="auto"/>
                <w:kern w:val="0"/>
                <w:szCs w:val="21"/>
                <w:highlight w:val="none"/>
              </w:rPr>
            </w:pPr>
            <w:r>
              <w:rPr>
                <w:rFonts w:hint="eastAsia" w:ascii="Times New Roman" w:hAnsi="Times New Roman"/>
                <w:kern w:val="0"/>
                <w:szCs w:val="21"/>
                <w:highlight w:val="none"/>
              </w:rPr>
              <w:t>6</w:t>
            </w:r>
          </w:p>
        </w:tc>
        <w:tc>
          <w:tcPr>
            <w:tcW w:w="3255" w:type="dxa"/>
            <w:tcBorders>
              <w:tl2br w:val="nil"/>
              <w:tr2bl w:val="nil"/>
            </w:tcBorders>
            <w:shd w:val="clear" w:color="auto" w:fill="auto"/>
            <w:vAlign w:val="center"/>
          </w:tcPr>
          <w:p>
            <w:pPr>
              <w:widowControl/>
              <w:jc w:val="center"/>
              <w:textAlignment w:val="center"/>
              <w:rPr>
                <w:rFonts w:ascii="宋体" w:hAnsi="宋体" w:cs="宋体"/>
                <w:color w:val="auto"/>
                <w:szCs w:val="21"/>
                <w:highlight w:val="none"/>
                <w:lang w:eastAsia="en-US"/>
              </w:rPr>
            </w:pPr>
            <w:r>
              <w:rPr>
                <w:rFonts w:ascii="仿宋_GB2312" w:hAnsi="宋体" w:eastAsia="仿宋_GB2312" w:cs="仿宋_GB2312"/>
                <w:color w:val="000000"/>
                <w:kern w:val="0"/>
                <w:szCs w:val="21"/>
                <w:highlight w:val="none"/>
                <w:lang w:bidi="ar"/>
              </w:rPr>
              <w:t>边新超</w:t>
            </w:r>
          </w:p>
        </w:tc>
        <w:tc>
          <w:tcPr>
            <w:tcW w:w="1521" w:type="dxa"/>
            <w:tcBorders>
              <w:tl2br w:val="nil"/>
              <w:tr2bl w:val="nil"/>
            </w:tcBorders>
            <w:shd w:val="clear" w:color="auto" w:fill="auto"/>
            <w:vAlign w:val="center"/>
          </w:tcPr>
          <w:p>
            <w:pPr>
              <w:widowControl/>
              <w:jc w:val="right"/>
              <w:rPr>
                <w:rFonts w:ascii="宋体" w:hAnsi="宋体"/>
                <w:color w:val="auto"/>
                <w:kern w:val="0"/>
                <w:szCs w:val="21"/>
                <w:highlight w:val="none"/>
              </w:rPr>
            </w:pPr>
            <w:r>
              <w:rPr>
                <w:rFonts w:hint="eastAsia" w:ascii="宋体" w:hAnsi="宋体"/>
                <w:color w:val="000000"/>
                <w:szCs w:val="21"/>
                <w:highlight w:val="none"/>
              </w:rPr>
              <w:t xml:space="preserve">3,000,000.00 </w:t>
            </w:r>
          </w:p>
        </w:tc>
        <w:tc>
          <w:tcPr>
            <w:tcW w:w="1045" w:type="dxa"/>
            <w:tcBorders>
              <w:tl2br w:val="nil"/>
              <w:tr2bl w:val="nil"/>
            </w:tcBorders>
            <w:shd w:val="clear" w:color="auto" w:fill="auto"/>
            <w:vAlign w:val="center"/>
          </w:tcPr>
          <w:p>
            <w:pPr>
              <w:widowControl/>
              <w:jc w:val="right"/>
              <w:rPr>
                <w:rFonts w:ascii="Times New Roman" w:hAnsi="Times New Roman"/>
                <w:color w:val="auto"/>
                <w:kern w:val="0"/>
                <w:szCs w:val="21"/>
                <w:highlight w:val="none"/>
              </w:rPr>
            </w:pPr>
            <w:r>
              <w:rPr>
                <w:rFonts w:asciiTheme="minorEastAsia" w:hAnsiTheme="minorEastAsia" w:eastAsiaTheme="minorEastAsia"/>
                <w:color w:val="000000"/>
                <w:szCs w:val="21"/>
                <w:highlight w:val="none"/>
              </w:rPr>
              <w:t>3.28%</w:t>
            </w:r>
          </w:p>
        </w:tc>
        <w:tc>
          <w:tcPr>
            <w:tcW w:w="1751" w:type="dxa"/>
            <w:tcBorders>
              <w:tl2br w:val="nil"/>
              <w:tr2bl w:val="nil"/>
            </w:tcBorders>
            <w:vAlign w:val="center"/>
          </w:tcPr>
          <w:p>
            <w:pPr>
              <w:jc w:val="right"/>
              <w:rPr>
                <w:rFonts w:hint="eastAsia" w:ascii="宋体" w:hAnsi="宋体"/>
                <w:color w:val="auto"/>
                <w:kern w:val="2"/>
                <w:szCs w:val="21"/>
                <w:highlight w:val="none"/>
                <w:lang w:eastAsia="en-US"/>
              </w:rPr>
            </w:pPr>
            <w:r>
              <w:rPr>
                <w:rFonts w:hint="eastAsia" w:ascii="仿宋_GB2312" w:eastAsia="仿宋_GB2312"/>
                <w:szCs w:val="21"/>
                <w:highlight w:val="none"/>
              </w:rPr>
              <w:t xml:space="preserve">3,000,000.00 </w:t>
            </w:r>
          </w:p>
        </w:tc>
        <w:tc>
          <w:tcPr>
            <w:tcW w:w="1273" w:type="dxa"/>
            <w:tcBorders>
              <w:tl2br w:val="nil"/>
              <w:tr2bl w:val="nil"/>
            </w:tcBorders>
            <w:vAlign w:val="center"/>
          </w:tcPr>
          <w:p>
            <w:pPr>
              <w:widowControl/>
              <w:jc w:val="right"/>
              <w:textAlignment w:val="center"/>
              <w:rPr>
                <w:rFonts w:hint="eastAsia" w:ascii="宋体" w:hAnsi="宋体" w:eastAsia="宋体"/>
                <w:color w:val="auto"/>
                <w:kern w:val="2"/>
                <w:szCs w:val="21"/>
                <w:highlight w:val="none"/>
                <w:lang w:eastAsia="en-US"/>
              </w:rPr>
            </w:pPr>
            <w:r>
              <w:rPr>
                <w:rFonts w:hint="eastAsia" w:ascii="宋体" w:hAnsi="宋体" w:cs="宋体"/>
                <w:color w:val="000000"/>
                <w:kern w:val="0"/>
                <w:sz w:val="22"/>
                <w:highlight w:val="none"/>
                <w:lang w:bidi="ar"/>
              </w:rPr>
              <w:t>2.391%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430" w:type="dxa"/>
            <w:tcBorders>
              <w:tl2br w:val="nil"/>
              <w:tr2bl w:val="nil"/>
            </w:tcBorders>
            <w:shd w:val="clear" w:color="auto" w:fill="auto"/>
            <w:vAlign w:val="center"/>
          </w:tcPr>
          <w:p>
            <w:pPr>
              <w:widowControl/>
              <w:jc w:val="center"/>
              <w:rPr>
                <w:rFonts w:ascii="Times New Roman" w:hAnsi="Times New Roman"/>
                <w:color w:val="auto"/>
                <w:kern w:val="0"/>
                <w:szCs w:val="21"/>
                <w:highlight w:val="none"/>
              </w:rPr>
            </w:pPr>
            <w:r>
              <w:rPr>
                <w:rFonts w:hint="eastAsia" w:ascii="Times New Roman" w:hAnsi="Times New Roman"/>
                <w:kern w:val="0"/>
                <w:szCs w:val="21"/>
                <w:highlight w:val="none"/>
              </w:rPr>
              <w:t>7</w:t>
            </w:r>
          </w:p>
        </w:tc>
        <w:tc>
          <w:tcPr>
            <w:tcW w:w="3255" w:type="dxa"/>
            <w:tcBorders>
              <w:tl2br w:val="nil"/>
              <w:tr2bl w:val="nil"/>
            </w:tcBorders>
            <w:shd w:val="clear" w:color="auto" w:fill="auto"/>
            <w:vAlign w:val="center"/>
          </w:tcPr>
          <w:p>
            <w:pPr>
              <w:widowControl/>
              <w:jc w:val="center"/>
              <w:textAlignment w:val="center"/>
              <w:rPr>
                <w:rFonts w:ascii="宋体" w:hAnsi="宋体" w:cs="宋体"/>
                <w:color w:val="auto"/>
                <w:szCs w:val="21"/>
                <w:highlight w:val="none"/>
                <w:lang w:eastAsia="en-US"/>
              </w:rPr>
            </w:pPr>
            <w:r>
              <w:rPr>
                <w:rFonts w:ascii="仿宋_GB2312" w:hAnsi="宋体" w:eastAsia="仿宋_GB2312" w:cs="仿宋_GB2312"/>
                <w:color w:val="000000"/>
                <w:kern w:val="0"/>
                <w:szCs w:val="21"/>
                <w:highlight w:val="none"/>
                <w:lang w:bidi="ar"/>
              </w:rPr>
              <w:t>陈志明</w:t>
            </w:r>
          </w:p>
        </w:tc>
        <w:tc>
          <w:tcPr>
            <w:tcW w:w="1521" w:type="dxa"/>
            <w:tcBorders>
              <w:tl2br w:val="nil"/>
              <w:tr2bl w:val="nil"/>
            </w:tcBorders>
            <w:shd w:val="clear" w:color="auto" w:fill="auto"/>
            <w:vAlign w:val="center"/>
          </w:tcPr>
          <w:p>
            <w:pPr>
              <w:widowControl/>
              <w:jc w:val="right"/>
              <w:rPr>
                <w:rFonts w:ascii="宋体" w:hAnsi="宋体"/>
                <w:color w:val="auto"/>
                <w:kern w:val="0"/>
                <w:szCs w:val="21"/>
                <w:highlight w:val="none"/>
              </w:rPr>
            </w:pPr>
            <w:r>
              <w:rPr>
                <w:rFonts w:hint="eastAsia" w:ascii="宋体" w:hAnsi="宋体"/>
                <w:color w:val="000000"/>
                <w:szCs w:val="21"/>
                <w:highlight w:val="none"/>
              </w:rPr>
              <w:t xml:space="preserve">5,760,000.00 </w:t>
            </w:r>
          </w:p>
        </w:tc>
        <w:tc>
          <w:tcPr>
            <w:tcW w:w="1045" w:type="dxa"/>
            <w:tcBorders>
              <w:tl2br w:val="nil"/>
              <w:tr2bl w:val="nil"/>
            </w:tcBorders>
            <w:shd w:val="clear" w:color="auto" w:fill="auto"/>
            <w:vAlign w:val="center"/>
          </w:tcPr>
          <w:p>
            <w:pPr>
              <w:widowControl/>
              <w:jc w:val="right"/>
              <w:rPr>
                <w:rFonts w:ascii="Times New Roman" w:hAnsi="Times New Roman"/>
                <w:color w:val="auto"/>
                <w:kern w:val="0"/>
                <w:szCs w:val="21"/>
                <w:highlight w:val="none"/>
              </w:rPr>
            </w:pPr>
            <w:r>
              <w:rPr>
                <w:rFonts w:hint="eastAsia" w:asciiTheme="minorEastAsia" w:hAnsiTheme="minorEastAsia" w:eastAsiaTheme="minorEastAsia"/>
                <w:color w:val="000000"/>
                <w:szCs w:val="21"/>
                <w:highlight w:val="none"/>
              </w:rPr>
              <w:t>6.29</w:t>
            </w:r>
            <w:r>
              <w:rPr>
                <w:rFonts w:asciiTheme="minorEastAsia" w:hAnsiTheme="minorEastAsia" w:eastAsiaTheme="minorEastAsia"/>
                <w:color w:val="000000"/>
                <w:szCs w:val="21"/>
                <w:highlight w:val="none"/>
              </w:rPr>
              <w:t>%</w:t>
            </w:r>
          </w:p>
        </w:tc>
        <w:tc>
          <w:tcPr>
            <w:tcW w:w="1751" w:type="dxa"/>
            <w:tcBorders>
              <w:tl2br w:val="nil"/>
              <w:tr2bl w:val="nil"/>
            </w:tcBorders>
            <w:vAlign w:val="center"/>
          </w:tcPr>
          <w:p>
            <w:pPr>
              <w:jc w:val="right"/>
              <w:rPr>
                <w:rFonts w:hint="eastAsia" w:ascii="宋体" w:hAnsi="宋体"/>
                <w:color w:val="auto"/>
                <w:kern w:val="2"/>
                <w:szCs w:val="21"/>
                <w:highlight w:val="none"/>
                <w:lang w:eastAsia="en-US"/>
              </w:rPr>
            </w:pPr>
            <w:r>
              <w:rPr>
                <w:rFonts w:hint="eastAsia" w:ascii="仿宋_GB2312" w:eastAsia="仿宋_GB2312"/>
                <w:szCs w:val="21"/>
                <w:highlight w:val="none"/>
              </w:rPr>
              <w:t xml:space="preserve">5,760,000.00 </w:t>
            </w:r>
          </w:p>
        </w:tc>
        <w:tc>
          <w:tcPr>
            <w:tcW w:w="1273" w:type="dxa"/>
            <w:tcBorders>
              <w:tl2br w:val="nil"/>
              <w:tr2bl w:val="nil"/>
            </w:tcBorders>
            <w:vAlign w:val="center"/>
          </w:tcPr>
          <w:p>
            <w:pPr>
              <w:widowControl/>
              <w:jc w:val="right"/>
              <w:textAlignment w:val="center"/>
              <w:rPr>
                <w:rFonts w:hint="eastAsia" w:ascii="宋体" w:hAnsi="宋体" w:eastAsia="宋体"/>
                <w:color w:val="auto"/>
                <w:kern w:val="2"/>
                <w:szCs w:val="21"/>
                <w:highlight w:val="none"/>
                <w:lang w:eastAsia="en-US"/>
              </w:rPr>
            </w:pPr>
            <w:r>
              <w:rPr>
                <w:rFonts w:hint="eastAsia" w:ascii="宋体" w:hAnsi="宋体" w:cs="宋体"/>
                <w:color w:val="000000"/>
                <w:kern w:val="0"/>
                <w:sz w:val="22"/>
                <w:highlight w:val="none"/>
                <w:lang w:bidi="ar"/>
              </w:rPr>
              <w:t>4.591%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430" w:type="dxa"/>
            <w:tcBorders>
              <w:tl2br w:val="nil"/>
              <w:tr2bl w:val="nil"/>
            </w:tcBorders>
            <w:shd w:val="clear" w:color="auto" w:fill="auto"/>
            <w:vAlign w:val="center"/>
          </w:tcPr>
          <w:p>
            <w:pPr>
              <w:widowControl/>
              <w:jc w:val="center"/>
              <w:rPr>
                <w:rFonts w:ascii="Times New Roman" w:hAnsi="Times New Roman"/>
                <w:color w:val="auto"/>
                <w:kern w:val="0"/>
                <w:szCs w:val="21"/>
                <w:highlight w:val="none"/>
              </w:rPr>
            </w:pPr>
            <w:r>
              <w:rPr>
                <w:rFonts w:hint="eastAsia" w:ascii="Times New Roman" w:hAnsi="Times New Roman"/>
                <w:kern w:val="0"/>
                <w:szCs w:val="21"/>
                <w:highlight w:val="none"/>
              </w:rPr>
              <w:t>8</w:t>
            </w:r>
          </w:p>
        </w:tc>
        <w:tc>
          <w:tcPr>
            <w:tcW w:w="3255" w:type="dxa"/>
            <w:tcBorders>
              <w:tl2br w:val="nil"/>
              <w:tr2bl w:val="nil"/>
            </w:tcBorders>
            <w:shd w:val="clear" w:color="auto" w:fill="auto"/>
            <w:vAlign w:val="center"/>
          </w:tcPr>
          <w:p>
            <w:pPr>
              <w:widowControl/>
              <w:jc w:val="center"/>
              <w:textAlignment w:val="center"/>
              <w:rPr>
                <w:rFonts w:ascii="宋体" w:hAnsi="宋体" w:cs="宋体"/>
                <w:color w:val="auto"/>
                <w:szCs w:val="21"/>
                <w:highlight w:val="none"/>
                <w:lang w:eastAsia="en-US"/>
              </w:rPr>
            </w:pPr>
            <w:r>
              <w:rPr>
                <w:rFonts w:ascii="仿宋_GB2312" w:hAnsi="宋体" w:eastAsia="仿宋_GB2312" w:cs="仿宋_GB2312"/>
                <w:color w:val="000000"/>
                <w:kern w:val="0"/>
                <w:szCs w:val="21"/>
                <w:highlight w:val="none"/>
                <w:lang w:bidi="ar"/>
              </w:rPr>
              <w:t>陈学思</w:t>
            </w:r>
          </w:p>
        </w:tc>
        <w:tc>
          <w:tcPr>
            <w:tcW w:w="1521" w:type="dxa"/>
            <w:tcBorders>
              <w:tl2br w:val="nil"/>
              <w:tr2bl w:val="nil"/>
            </w:tcBorders>
            <w:shd w:val="clear" w:color="auto" w:fill="auto"/>
            <w:vAlign w:val="center"/>
          </w:tcPr>
          <w:p>
            <w:pPr>
              <w:widowControl/>
              <w:jc w:val="right"/>
              <w:rPr>
                <w:rFonts w:ascii="宋体" w:hAnsi="宋体"/>
                <w:color w:val="auto"/>
                <w:kern w:val="0"/>
                <w:szCs w:val="21"/>
                <w:highlight w:val="none"/>
              </w:rPr>
            </w:pPr>
            <w:r>
              <w:rPr>
                <w:rFonts w:hint="eastAsia" w:ascii="宋体" w:hAnsi="宋体"/>
                <w:color w:val="000000"/>
                <w:szCs w:val="21"/>
                <w:highlight w:val="none"/>
              </w:rPr>
              <w:t xml:space="preserve">800,000.00 </w:t>
            </w:r>
          </w:p>
        </w:tc>
        <w:tc>
          <w:tcPr>
            <w:tcW w:w="1045" w:type="dxa"/>
            <w:tcBorders>
              <w:tl2br w:val="nil"/>
              <w:tr2bl w:val="nil"/>
            </w:tcBorders>
            <w:shd w:val="clear" w:color="auto" w:fill="auto"/>
            <w:vAlign w:val="center"/>
          </w:tcPr>
          <w:p>
            <w:pPr>
              <w:widowControl/>
              <w:jc w:val="right"/>
              <w:rPr>
                <w:rFonts w:ascii="Times New Roman" w:hAnsi="Times New Roman"/>
                <w:color w:val="auto"/>
                <w:kern w:val="0"/>
                <w:szCs w:val="21"/>
                <w:highlight w:val="none"/>
              </w:rPr>
            </w:pPr>
            <w:r>
              <w:rPr>
                <w:rFonts w:asciiTheme="minorEastAsia" w:hAnsiTheme="minorEastAsia" w:eastAsiaTheme="minorEastAsia"/>
                <w:color w:val="000000"/>
                <w:szCs w:val="21"/>
                <w:highlight w:val="none"/>
              </w:rPr>
              <w:t>0.87%</w:t>
            </w:r>
          </w:p>
        </w:tc>
        <w:tc>
          <w:tcPr>
            <w:tcW w:w="1751" w:type="dxa"/>
            <w:tcBorders>
              <w:tl2br w:val="nil"/>
              <w:tr2bl w:val="nil"/>
            </w:tcBorders>
            <w:vAlign w:val="center"/>
          </w:tcPr>
          <w:p>
            <w:pPr>
              <w:jc w:val="right"/>
              <w:rPr>
                <w:rFonts w:hint="eastAsia" w:ascii="宋体" w:hAnsi="宋体"/>
                <w:color w:val="auto"/>
                <w:kern w:val="2"/>
                <w:szCs w:val="21"/>
                <w:highlight w:val="none"/>
                <w:lang w:eastAsia="en-US"/>
              </w:rPr>
            </w:pPr>
            <w:r>
              <w:rPr>
                <w:rFonts w:hint="eastAsia" w:ascii="仿宋_GB2312" w:eastAsia="仿宋_GB2312"/>
                <w:szCs w:val="21"/>
                <w:highlight w:val="none"/>
              </w:rPr>
              <w:t xml:space="preserve">800,000.00 </w:t>
            </w:r>
          </w:p>
        </w:tc>
        <w:tc>
          <w:tcPr>
            <w:tcW w:w="1273" w:type="dxa"/>
            <w:tcBorders>
              <w:tl2br w:val="nil"/>
              <w:tr2bl w:val="nil"/>
            </w:tcBorders>
            <w:vAlign w:val="center"/>
          </w:tcPr>
          <w:p>
            <w:pPr>
              <w:widowControl/>
              <w:jc w:val="right"/>
              <w:textAlignment w:val="center"/>
              <w:rPr>
                <w:rFonts w:hint="eastAsia" w:ascii="宋体" w:hAnsi="宋体" w:eastAsia="宋体"/>
                <w:color w:val="auto"/>
                <w:kern w:val="2"/>
                <w:szCs w:val="21"/>
                <w:highlight w:val="none"/>
                <w:lang w:eastAsia="en-US"/>
              </w:rPr>
            </w:pPr>
            <w:r>
              <w:rPr>
                <w:rFonts w:hint="eastAsia" w:ascii="宋体" w:hAnsi="宋体" w:cs="宋体"/>
                <w:color w:val="000000"/>
                <w:kern w:val="0"/>
                <w:sz w:val="22"/>
                <w:highlight w:val="none"/>
                <w:lang w:bidi="ar"/>
              </w:rPr>
              <w:t>0.638%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430" w:type="dxa"/>
            <w:tcBorders>
              <w:tl2br w:val="nil"/>
              <w:tr2bl w:val="nil"/>
            </w:tcBorders>
            <w:shd w:val="clear" w:color="auto" w:fill="auto"/>
            <w:vAlign w:val="center"/>
          </w:tcPr>
          <w:p>
            <w:pPr>
              <w:widowControl/>
              <w:jc w:val="center"/>
              <w:rPr>
                <w:rFonts w:ascii="Times New Roman" w:hAnsi="Times New Roman"/>
                <w:color w:val="auto"/>
                <w:kern w:val="0"/>
                <w:szCs w:val="21"/>
                <w:highlight w:val="none"/>
              </w:rPr>
            </w:pPr>
            <w:r>
              <w:rPr>
                <w:rFonts w:hint="eastAsia" w:ascii="Times New Roman" w:hAnsi="Times New Roman"/>
                <w:kern w:val="0"/>
                <w:szCs w:val="21"/>
                <w:highlight w:val="none"/>
              </w:rPr>
              <w:t>9</w:t>
            </w:r>
          </w:p>
        </w:tc>
        <w:tc>
          <w:tcPr>
            <w:tcW w:w="3255" w:type="dxa"/>
            <w:tcBorders>
              <w:tl2br w:val="nil"/>
              <w:tr2bl w:val="nil"/>
            </w:tcBorders>
            <w:shd w:val="clear" w:color="auto" w:fill="auto"/>
            <w:vAlign w:val="center"/>
          </w:tcPr>
          <w:p>
            <w:pPr>
              <w:widowControl/>
              <w:jc w:val="center"/>
              <w:textAlignment w:val="center"/>
              <w:rPr>
                <w:rFonts w:ascii="宋体" w:hAnsi="宋体" w:cs="宋体"/>
                <w:color w:val="auto"/>
                <w:szCs w:val="21"/>
                <w:highlight w:val="none"/>
              </w:rPr>
            </w:pPr>
            <w:r>
              <w:rPr>
                <w:rFonts w:ascii="仿宋_GB2312" w:hAnsi="宋体" w:eastAsia="仿宋_GB2312" w:cs="仿宋_GB2312"/>
                <w:color w:val="000000"/>
                <w:kern w:val="0"/>
                <w:szCs w:val="21"/>
                <w:highlight w:val="none"/>
                <w:lang w:bidi="ar"/>
              </w:rPr>
              <w:t>台州创熠企业管理服务中心（有限合伙）</w:t>
            </w:r>
          </w:p>
        </w:tc>
        <w:tc>
          <w:tcPr>
            <w:tcW w:w="1521" w:type="dxa"/>
            <w:tcBorders>
              <w:tl2br w:val="nil"/>
              <w:tr2bl w:val="nil"/>
            </w:tcBorders>
            <w:shd w:val="clear" w:color="auto" w:fill="auto"/>
            <w:vAlign w:val="center"/>
          </w:tcPr>
          <w:p>
            <w:pPr>
              <w:widowControl/>
              <w:jc w:val="right"/>
              <w:rPr>
                <w:rFonts w:ascii="宋体" w:hAnsi="宋体"/>
                <w:color w:val="auto"/>
                <w:kern w:val="0"/>
                <w:szCs w:val="21"/>
                <w:highlight w:val="none"/>
              </w:rPr>
            </w:pPr>
            <w:r>
              <w:rPr>
                <w:rFonts w:hint="eastAsia" w:ascii="宋体" w:hAnsi="宋体"/>
                <w:color w:val="000000"/>
                <w:szCs w:val="21"/>
                <w:highlight w:val="none"/>
              </w:rPr>
              <w:t>2,010,000.00</w:t>
            </w:r>
          </w:p>
        </w:tc>
        <w:tc>
          <w:tcPr>
            <w:tcW w:w="1045" w:type="dxa"/>
            <w:tcBorders>
              <w:tl2br w:val="nil"/>
              <w:tr2bl w:val="nil"/>
            </w:tcBorders>
            <w:shd w:val="clear" w:color="auto" w:fill="auto"/>
            <w:vAlign w:val="center"/>
          </w:tcPr>
          <w:p>
            <w:pPr>
              <w:widowControl/>
              <w:jc w:val="right"/>
              <w:rPr>
                <w:rFonts w:ascii="Times New Roman" w:hAnsi="Times New Roman"/>
                <w:color w:val="auto"/>
                <w:kern w:val="0"/>
                <w:szCs w:val="21"/>
                <w:highlight w:val="none"/>
              </w:rPr>
            </w:pPr>
            <w:r>
              <w:rPr>
                <w:rFonts w:asciiTheme="minorEastAsia" w:hAnsiTheme="minorEastAsia" w:eastAsiaTheme="minorEastAsia"/>
                <w:color w:val="000000"/>
                <w:szCs w:val="21"/>
                <w:highlight w:val="none"/>
              </w:rPr>
              <w:t>2.20%</w:t>
            </w:r>
          </w:p>
        </w:tc>
        <w:tc>
          <w:tcPr>
            <w:tcW w:w="1751" w:type="dxa"/>
            <w:tcBorders>
              <w:tl2br w:val="nil"/>
              <w:tr2bl w:val="nil"/>
            </w:tcBorders>
            <w:vAlign w:val="center"/>
          </w:tcPr>
          <w:p>
            <w:pPr>
              <w:jc w:val="right"/>
              <w:rPr>
                <w:rFonts w:hint="eastAsia" w:ascii="宋体" w:hAnsi="宋体"/>
                <w:color w:val="auto"/>
                <w:kern w:val="2"/>
                <w:szCs w:val="21"/>
                <w:highlight w:val="none"/>
              </w:rPr>
            </w:pPr>
            <w:r>
              <w:rPr>
                <w:rFonts w:hint="eastAsia" w:ascii="仿宋_GB2312" w:eastAsia="仿宋_GB2312"/>
                <w:szCs w:val="21"/>
                <w:highlight w:val="none"/>
              </w:rPr>
              <w:t>2,010,000.00</w:t>
            </w:r>
          </w:p>
        </w:tc>
        <w:tc>
          <w:tcPr>
            <w:tcW w:w="1273" w:type="dxa"/>
            <w:tcBorders>
              <w:tl2br w:val="nil"/>
              <w:tr2bl w:val="nil"/>
            </w:tcBorders>
            <w:vAlign w:val="center"/>
          </w:tcPr>
          <w:p>
            <w:pPr>
              <w:widowControl/>
              <w:jc w:val="right"/>
              <w:textAlignment w:val="center"/>
              <w:rPr>
                <w:rFonts w:hint="eastAsia" w:ascii="宋体" w:hAnsi="宋体" w:eastAsia="宋体"/>
                <w:color w:val="auto"/>
                <w:kern w:val="2"/>
                <w:szCs w:val="21"/>
                <w:highlight w:val="none"/>
              </w:rPr>
            </w:pPr>
            <w:r>
              <w:rPr>
                <w:rFonts w:hint="eastAsia" w:ascii="宋体" w:hAnsi="宋体" w:cs="宋体"/>
                <w:color w:val="000000"/>
                <w:kern w:val="0"/>
                <w:sz w:val="22"/>
                <w:highlight w:val="none"/>
                <w:lang w:bidi="ar"/>
              </w:rPr>
              <w:t>1.602%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430" w:type="dxa"/>
            <w:tcBorders>
              <w:tl2br w:val="nil"/>
              <w:tr2bl w:val="nil"/>
            </w:tcBorders>
            <w:shd w:val="clear" w:color="auto" w:fill="auto"/>
            <w:vAlign w:val="center"/>
          </w:tcPr>
          <w:p>
            <w:pPr>
              <w:widowControl/>
              <w:jc w:val="center"/>
              <w:rPr>
                <w:rFonts w:ascii="Times New Roman" w:hAnsi="Times New Roman"/>
                <w:color w:val="auto"/>
                <w:kern w:val="0"/>
                <w:szCs w:val="21"/>
                <w:highlight w:val="none"/>
              </w:rPr>
            </w:pPr>
            <w:r>
              <w:rPr>
                <w:rFonts w:hint="eastAsia" w:ascii="Times New Roman" w:hAnsi="Times New Roman"/>
                <w:kern w:val="0"/>
                <w:szCs w:val="21"/>
                <w:highlight w:val="none"/>
              </w:rPr>
              <w:t>10</w:t>
            </w:r>
          </w:p>
        </w:tc>
        <w:tc>
          <w:tcPr>
            <w:tcW w:w="3255" w:type="dxa"/>
            <w:tcBorders>
              <w:tl2br w:val="nil"/>
              <w:tr2bl w:val="nil"/>
            </w:tcBorders>
            <w:shd w:val="clear" w:color="auto" w:fill="auto"/>
            <w:vAlign w:val="center"/>
          </w:tcPr>
          <w:p>
            <w:pPr>
              <w:widowControl/>
              <w:jc w:val="center"/>
              <w:textAlignment w:val="center"/>
              <w:rPr>
                <w:rFonts w:ascii="宋体" w:hAnsi="宋体" w:cs="宋体"/>
                <w:color w:val="auto"/>
                <w:szCs w:val="21"/>
                <w:highlight w:val="none"/>
              </w:rPr>
            </w:pPr>
            <w:r>
              <w:rPr>
                <w:rFonts w:hint="eastAsia" w:ascii="仿宋_GB2312" w:hAnsi="宋体" w:eastAsia="仿宋_GB2312" w:cs="仿宋_GB2312"/>
                <w:color w:val="000000"/>
                <w:kern w:val="0"/>
                <w:szCs w:val="21"/>
                <w:highlight w:val="none"/>
                <w:lang w:bidi="ar"/>
              </w:rPr>
              <w:t>乙方1</w:t>
            </w:r>
            <w:r>
              <w:rPr>
                <w:rFonts w:ascii="仿宋_GB2312" w:hAnsi="宋体" w:eastAsia="仿宋_GB2312" w:cs="仿宋_GB2312"/>
                <w:color w:val="000000"/>
                <w:kern w:val="0"/>
                <w:szCs w:val="21"/>
                <w:highlight w:val="none"/>
                <w:lang w:bidi="ar"/>
              </w:rPr>
              <w:t>（台交所</w:t>
            </w:r>
            <w:r>
              <w:rPr>
                <w:rFonts w:hint="eastAsia" w:ascii="仿宋_GB2312" w:hAnsi="宋体" w:eastAsia="仿宋_GB2312" w:cs="仿宋_GB2312"/>
                <w:color w:val="000000"/>
                <w:kern w:val="0"/>
                <w:szCs w:val="21"/>
                <w:highlight w:val="none"/>
                <w:lang w:bidi="ar"/>
              </w:rPr>
              <w:t>挂</w:t>
            </w:r>
            <w:r>
              <w:rPr>
                <w:rFonts w:ascii="仿宋_GB2312" w:hAnsi="宋体" w:eastAsia="仿宋_GB2312" w:cs="仿宋_GB2312"/>
                <w:color w:val="000000"/>
                <w:kern w:val="0"/>
                <w:szCs w:val="21"/>
                <w:highlight w:val="none"/>
                <w:lang w:bidi="ar"/>
              </w:rPr>
              <w:t>【2020】15</w:t>
            </w:r>
            <w:r>
              <w:rPr>
                <w:rFonts w:hint="eastAsia" w:ascii="仿宋_GB2312" w:hAnsi="宋体" w:eastAsia="仿宋_GB2312" w:cs="仿宋_GB2312"/>
                <w:color w:val="000000"/>
                <w:kern w:val="0"/>
                <w:szCs w:val="21"/>
                <w:highlight w:val="none"/>
                <w:lang w:bidi="ar"/>
              </w:rPr>
              <w:t>号</w:t>
            </w:r>
            <w:r>
              <w:rPr>
                <w:rFonts w:ascii="仿宋_GB2312" w:hAnsi="宋体" w:eastAsia="仿宋_GB2312" w:cs="仿宋_GB2312"/>
                <w:color w:val="000000"/>
                <w:kern w:val="0"/>
                <w:szCs w:val="21"/>
                <w:highlight w:val="none"/>
                <w:lang w:bidi="ar"/>
              </w:rPr>
              <w:t>）</w:t>
            </w:r>
          </w:p>
        </w:tc>
        <w:tc>
          <w:tcPr>
            <w:tcW w:w="1521" w:type="dxa"/>
            <w:tcBorders>
              <w:tl2br w:val="nil"/>
              <w:tr2bl w:val="nil"/>
            </w:tcBorders>
            <w:shd w:val="clear" w:color="auto" w:fill="auto"/>
            <w:vAlign w:val="center"/>
          </w:tcPr>
          <w:p>
            <w:pPr>
              <w:widowControl/>
              <w:jc w:val="right"/>
              <w:rPr>
                <w:rFonts w:ascii="宋体" w:hAnsi="宋体"/>
                <w:color w:val="auto"/>
                <w:kern w:val="0"/>
                <w:szCs w:val="21"/>
                <w:highlight w:val="none"/>
              </w:rPr>
            </w:pPr>
            <w:r>
              <w:rPr>
                <w:rFonts w:hint="eastAsia" w:ascii="宋体" w:hAnsi="宋体"/>
                <w:color w:val="000000"/>
                <w:szCs w:val="21"/>
                <w:highlight w:val="none"/>
              </w:rPr>
              <w:t>-</w:t>
            </w:r>
          </w:p>
        </w:tc>
        <w:tc>
          <w:tcPr>
            <w:tcW w:w="1045" w:type="dxa"/>
            <w:tcBorders>
              <w:tl2br w:val="nil"/>
              <w:tr2bl w:val="nil"/>
            </w:tcBorders>
            <w:shd w:val="clear" w:color="auto" w:fill="auto"/>
            <w:vAlign w:val="center"/>
          </w:tcPr>
          <w:p>
            <w:pPr>
              <w:widowControl/>
              <w:jc w:val="right"/>
              <w:rPr>
                <w:rFonts w:ascii="Times New Roman" w:hAnsi="Times New Roman"/>
                <w:color w:val="auto"/>
                <w:kern w:val="0"/>
                <w:szCs w:val="21"/>
                <w:highlight w:val="none"/>
              </w:rPr>
            </w:pPr>
            <w:r>
              <w:rPr>
                <w:rFonts w:hint="eastAsia" w:ascii="宋体" w:hAnsi="宋体"/>
                <w:color w:val="000000"/>
                <w:szCs w:val="21"/>
                <w:highlight w:val="none"/>
              </w:rPr>
              <w:t>-</w:t>
            </w:r>
          </w:p>
        </w:tc>
        <w:tc>
          <w:tcPr>
            <w:tcW w:w="1751" w:type="dxa"/>
            <w:tcBorders>
              <w:tl2br w:val="nil"/>
              <w:tr2bl w:val="nil"/>
            </w:tcBorders>
            <w:vAlign w:val="center"/>
          </w:tcPr>
          <w:p>
            <w:pPr>
              <w:jc w:val="right"/>
              <w:rPr>
                <w:rFonts w:hint="eastAsia" w:ascii="宋体" w:hAnsi="宋体"/>
                <w:color w:val="auto"/>
                <w:kern w:val="2"/>
                <w:szCs w:val="21"/>
                <w:highlight w:val="none"/>
                <w:lang w:eastAsia="en-US"/>
              </w:rPr>
            </w:pPr>
            <w:r>
              <w:rPr>
                <w:rFonts w:hint="eastAsia" w:ascii="仿宋_GB2312" w:eastAsia="仿宋_GB2312"/>
                <w:szCs w:val="21"/>
                <w:highlight w:val="none"/>
              </w:rPr>
              <w:t>15,686,274.00</w:t>
            </w:r>
          </w:p>
        </w:tc>
        <w:tc>
          <w:tcPr>
            <w:tcW w:w="1273" w:type="dxa"/>
            <w:tcBorders>
              <w:tl2br w:val="nil"/>
              <w:tr2bl w:val="nil"/>
            </w:tcBorders>
            <w:vAlign w:val="center"/>
          </w:tcPr>
          <w:p>
            <w:pPr>
              <w:widowControl/>
              <w:jc w:val="right"/>
              <w:textAlignment w:val="center"/>
              <w:rPr>
                <w:rFonts w:hint="eastAsia" w:ascii="宋体" w:hAnsi="宋体" w:eastAsia="宋体"/>
                <w:color w:val="auto"/>
                <w:kern w:val="2"/>
                <w:szCs w:val="21"/>
                <w:highlight w:val="none"/>
                <w:lang w:eastAsia="en-US"/>
              </w:rPr>
            </w:pPr>
            <w:r>
              <w:rPr>
                <w:rFonts w:hint="eastAsia" w:ascii="宋体" w:hAnsi="宋体" w:cs="宋体"/>
                <w:color w:val="000000"/>
                <w:kern w:val="0"/>
                <w:sz w:val="22"/>
                <w:highlight w:val="none"/>
                <w:lang w:bidi="ar"/>
              </w:rPr>
              <w:t>12.502%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430" w:type="dxa"/>
            <w:tcBorders>
              <w:tl2br w:val="nil"/>
              <w:tr2bl w:val="nil"/>
            </w:tcBorders>
            <w:shd w:val="clear" w:color="auto" w:fill="auto"/>
            <w:vAlign w:val="center"/>
          </w:tcPr>
          <w:p>
            <w:pPr>
              <w:widowControl/>
              <w:jc w:val="center"/>
              <w:rPr>
                <w:rFonts w:hint="default" w:ascii="Times New Roman" w:hAnsi="Times New Roman" w:eastAsia="宋体"/>
                <w:color w:val="auto"/>
                <w:kern w:val="0"/>
                <w:szCs w:val="21"/>
                <w:highlight w:val="none"/>
                <w:lang w:val="en-US" w:eastAsia="zh-CN"/>
              </w:rPr>
            </w:pPr>
            <w:r>
              <w:rPr>
                <w:rFonts w:hint="eastAsia" w:ascii="Times New Roman" w:hAnsi="Times New Roman"/>
                <w:kern w:val="0"/>
                <w:szCs w:val="21"/>
                <w:highlight w:val="none"/>
              </w:rPr>
              <w:t>11</w:t>
            </w:r>
          </w:p>
        </w:tc>
        <w:tc>
          <w:tcPr>
            <w:tcW w:w="3255" w:type="dxa"/>
            <w:tcBorders>
              <w:tl2br w:val="nil"/>
              <w:tr2bl w:val="nil"/>
            </w:tcBorders>
            <w:shd w:val="clear" w:color="auto" w:fill="auto"/>
            <w:vAlign w:val="center"/>
          </w:tcPr>
          <w:p>
            <w:pPr>
              <w:widowControl/>
              <w:jc w:val="center"/>
              <w:textAlignment w:val="center"/>
              <w:rPr>
                <w:rFonts w:hint="eastAsia" w:ascii="宋体" w:hAnsi="宋体" w:cs="宋体"/>
                <w:color w:val="auto"/>
                <w:szCs w:val="21"/>
                <w:highlight w:val="none"/>
              </w:rPr>
            </w:pPr>
            <w:r>
              <w:rPr>
                <w:rFonts w:hint="eastAsia" w:ascii="仿宋_GB2312" w:hAnsi="宋体" w:eastAsia="仿宋_GB2312" w:cs="仿宋_GB2312"/>
                <w:color w:val="000000"/>
                <w:kern w:val="0"/>
                <w:szCs w:val="21"/>
                <w:highlight w:val="none"/>
                <w:lang w:bidi="ar"/>
              </w:rPr>
              <w:t>乙方</w:t>
            </w:r>
            <w:r>
              <w:rPr>
                <w:rFonts w:ascii="仿宋_GB2312" w:hAnsi="宋体" w:eastAsia="仿宋_GB2312" w:cs="仿宋_GB2312"/>
                <w:color w:val="000000"/>
                <w:kern w:val="0"/>
                <w:szCs w:val="21"/>
                <w:highlight w:val="none"/>
                <w:lang w:bidi="ar"/>
              </w:rPr>
              <w:t>2（台交所</w:t>
            </w:r>
            <w:r>
              <w:rPr>
                <w:rFonts w:hint="eastAsia" w:ascii="仿宋_GB2312" w:hAnsi="宋体" w:eastAsia="仿宋_GB2312" w:cs="仿宋_GB2312"/>
                <w:color w:val="000000"/>
                <w:kern w:val="0"/>
                <w:szCs w:val="21"/>
                <w:highlight w:val="none"/>
                <w:lang w:bidi="ar"/>
              </w:rPr>
              <w:t>挂</w:t>
            </w:r>
            <w:r>
              <w:rPr>
                <w:rFonts w:ascii="仿宋_GB2312" w:hAnsi="宋体" w:eastAsia="仿宋_GB2312" w:cs="仿宋_GB2312"/>
                <w:color w:val="000000"/>
                <w:kern w:val="0"/>
                <w:szCs w:val="21"/>
                <w:highlight w:val="none"/>
                <w:lang w:bidi="ar"/>
              </w:rPr>
              <w:t>【2020】16</w:t>
            </w:r>
            <w:r>
              <w:rPr>
                <w:rFonts w:hint="eastAsia" w:ascii="仿宋_GB2312" w:hAnsi="宋体" w:eastAsia="仿宋_GB2312" w:cs="仿宋_GB2312"/>
                <w:color w:val="000000"/>
                <w:kern w:val="0"/>
                <w:szCs w:val="21"/>
                <w:highlight w:val="none"/>
                <w:lang w:bidi="ar"/>
              </w:rPr>
              <w:t>号</w:t>
            </w:r>
            <w:r>
              <w:rPr>
                <w:rFonts w:ascii="仿宋_GB2312" w:hAnsi="宋体" w:eastAsia="仿宋_GB2312" w:cs="仿宋_GB2312"/>
                <w:color w:val="000000"/>
                <w:kern w:val="0"/>
                <w:szCs w:val="21"/>
                <w:highlight w:val="none"/>
                <w:lang w:bidi="ar"/>
              </w:rPr>
              <w:t>）</w:t>
            </w:r>
          </w:p>
        </w:tc>
        <w:tc>
          <w:tcPr>
            <w:tcW w:w="1521" w:type="dxa"/>
            <w:tcBorders>
              <w:tl2br w:val="nil"/>
              <w:tr2bl w:val="nil"/>
            </w:tcBorders>
            <w:shd w:val="clear" w:color="auto" w:fill="auto"/>
            <w:vAlign w:val="center"/>
          </w:tcPr>
          <w:p>
            <w:pPr>
              <w:widowControl/>
              <w:jc w:val="right"/>
              <w:rPr>
                <w:rFonts w:hint="eastAsia" w:ascii="宋体" w:hAnsi="宋体"/>
                <w:color w:val="auto"/>
                <w:szCs w:val="21"/>
                <w:highlight w:val="none"/>
              </w:rPr>
            </w:pPr>
            <w:r>
              <w:rPr>
                <w:rFonts w:hint="eastAsia" w:ascii="宋体" w:hAnsi="宋体"/>
                <w:color w:val="000000"/>
                <w:szCs w:val="21"/>
                <w:highlight w:val="none"/>
              </w:rPr>
              <w:t>-</w:t>
            </w:r>
          </w:p>
        </w:tc>
        <w:tc>
          <w:tcPr>
            <w:tcW w:w="1045" w:type="dxa"/>
            <w:tcBorders>
              <w:tl2br w:val="nil"/>
              <w:tr2bl w:val="nil"/>
            </w:tcBorders>
            <w:shd w:val="clear" w:color="auto" w:fill="auto"/>
            <w:vAlign w:val="center"/>
          </w:tcPr>
          <w:p>
            <w:pPr>
              <w:widowControl/>
              <w:jc w:val="right"/>
              <w:rPr>
                <w:rFonts w:asciiTheme="minorEastAsia" w:hAnsiTheme="minorEastAsia" w:eastAsiaTheme="minorEastAsia"/>
                <w:color w:val="auto"/>
                <w:szCs w:val="21"/>
                <w:highlight w:val="none"/>
              </w:rPr>
            </w:pPr>
            <w:r>
              <w:rPr>
                <w:rFonts w:hint="eastAsia" w:ascii="宋体" w:hAnsi="宋体"/>
                <w:color w:val="000000"/>
                <w:szCs w:val="21"/>
                <w:highlight w:val="none"/>
              </w:rPr>
              <w:t>-</w:t>
            </w:r>
          </w:p>
        </w:tc>
        <w:tc>
          <w:tcPr>
            <w:tcW w:w="1751" w:type="dxa"/>
            <w:tcBorders>
              <w:tl2br w:val="nil"/>
              <w:tr2bl w:val="nil"/>
            </w:tcBorders>
            <w:vAlign w:val="center"/>
          </w:tcPr>
          <w:p>
            <w:pPr>
              <w:jc w:val="right"/>
              <w:rPr>
                <w:rFonts w:hint="eastAsia" w:ascii="宋体" w:hAnsi="宋体" w:eastAsia="宋体" w:cs="Times New Roman"/>
                <w:color w:val="auto"/>
                <w:kern w:val="2"/>
                <w:sz w:val="21"/>
                <w:szCs w:val="21"/>
                <w:highlight w:val="none"/>
                <w:lang w:val="en-US" w:eastAsia="zh-CN" w:bidi="ar-SA"/>
              </w:rPr>
            </w:pPr>
            <w:r>
              <w:rPr>
                <w:rFonts w:hint="eastAsia" w:ascii="仿宋_GB2312" w:eastAsia="仿宋_GB2312"/>
                <w:szCs w:val="21"/>
                <w:highlight w:val="none"/>
              </w:rPr>
              <w:t>10,457,516.00</w:t>
            </w:r>
          </w:p>
        </w:tc>
        <w:tc>
          <w:tcPr>
            <w:tcW w:w="1273" w:type="dxa"/>
            <w:tcBorders>
              <w:tl2br w:val="nil"/>
              <w:tr2bl w:val="nil"/>
            </w:tcBorders>
            <w:vAlign w:val="center"/>
          </w:tcPr>
          <w:p>
            <w:pPr>
              <w:widowControl/>
              <w:jc w:val="right"/>
              <w:textAlignment w:val="center"/>
              <w:rPr>
                <w:rFonts w:hint="eastAsia" w:ascii="宋体" w:hAnsi="宋体" w:eastAsia="宋体"/>
                <w:color w:val="auto"/>
                <w:szCs w:val="21"/>
                <w:highlight w:val="none"/>
              </w:rPr>
            </w:pPr>
            <w:r>
              <w:rPr>
                <w:rFonts w:hint="eastAsia" w:ascii="宋体" w:hAnsi="宋体" w:cs="宋体"/>
                <w:color w:val="000000"/>
                <w:kern w:val="0"/>
                <w:sz w:val="22"/>
                <w:highlight w:val="none"/>
                <w:lang w:bidi="ar"/>
              </w:rPr>
              <w:t>8.335%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430" w:type="dxa"/>
            <w:tcBorders>
              <w:tl2br w:val="nil"/>
              <w:tr2bl w:val="nil"/>
            </w:tcBorders>
            <w:shd w:val="clear" w:color="auto" w:fill="auto"/>
            <w:vAlign w:val="center"/>
          </w:tcPr>
          <w:p>
            <w:pPr>
              <w:widowControl/>
              <w:jc w:val="center"/>
              <w:rPr>
                <w:rFonts w:hint="eastAsia" w:ascii="Times New Roman" w:hAnsi="Times New Roman"/>
                <w:color w:val="auto"/>
                <w:kern w:val="0"/>
                <w:szCs w:val="21"/>
                <w:highlight w:val="none"/>
                <w:lang w:val="en-US" w:eastAsia="zh-CN"/>
              </w:rPr>
            </w:pPr>
            <w:r>
              <w:rPr>
                <w:rFonts w:hint="eastAsia" w:ascii="Times New Roman" w:hAnsi="Times New Roman"/>
                <w:kern w:val="0"/>
                <w:szCs w:val="21"/>
                <w:highlight w:val="none"/>
              </w:rPr>
              <w:t>12</w:t>
            </w:r>
          </w:p>
        </w:tc>
        <w:tc>
          <w:tcPr>
            <w:tcW w:w="3255" w:type="dxa"/>
            <w:tcBorders>
              <w:tl2br w:val="nil"/>
              <w:tr2bl w:val="nil"/>
            </w:tcBorders>
            <w:shd w:val="clear" w:color="auto" w:fill="auto"/>
            <w:vAlign w:val="center"/>
          </w:tcPr>
          <w:p>
            <w:pPr>
              <w:widowControl/>
              <w:jc w:val="center"/>
              <w:textAlignment w:val="center"/>
              <w:rPr>
                <w:rFonts w:hint="eastAsia" w:ascii="仿宋_GB2312" w:hAnsi="宋体" w:eastAsia="仿宋_GB2312" w:cs="仿宋_GB2312"/>
                <w:i w:val="0"/>
                <w:color w:val="auto"/>
                <w:kern w:val="0"/>
                <w:sz w:val="21"/>
                <w:szCs w:val="21"/>
                <w:highlight w:val="none"/>
                <w:u w:val="none"/>
                <w:lang w:val="en-US" w:eastAsia="zh-CN" w:bidi="ar"/>
              </w:rPr>
            </w:pPr>
            <w:r>
              <w:rPr>
                <w:rFonts w:hint="eastAsia" w:ascii="仿宋_GB2312" w:hAnsi="宋体" w:eastAsia="仿宋_GB2312" w:cs="仿宋_GB2312"/>
                <w:color w:val="000000"/>
                <w:kern w:val="0"/>
                <w:szCs w:val="21"/>
                <w:highlight w:val="none"/>
                <w:lang w:bidi="ar"/>
              </w:rPr>
              <w:t>乙方3</w:t>
            </w:r>
            <w:r>
              <w:rPr>
                <w:rFonts w:ascii="仿宋_GB2312" w:hAnsi="宋体" w:eastAsia="仿宋_GB2312" w:cs="仿宋_GB2312"/>
                <w:color w:val="000000"/>
                <w:kern w:val="0"/>
                <w:szCs w:val="21"/>
                <w:highlight w:val="none"/>
                <w:lang w:bidi="ar"/>
              </w:rPr>
              <w:t>（台交所</w:t>
            </w:r>
            <w:r>
              <w:rPr>
                <w:rFonts w:hint="eastAsia" w:ascii="仿宋_GB2312" w:hAnsi="宋体" w:eastAsia="仿宋_GB2312" w:cs="仿宋_GB2312"/>
                <w:color w:val="000000"/>
                <w:kern w:val="0"/>
                <w:szCs w:val="21"/>
                <w:highlight w:val="none"/>
                <w:lang w:bidi="ar"/>
              </w:rPr>
              <w:t>挂</w:t>
            </w:r>
            <w:r>
              <w:rPr>
                <w:rFonts w:ascii="仿宋_GB2312" w:hAnsi="宋体" w:eastAsia="仿宋_GB2312" w:cs="仿宋_GB2312"/>
                <w:color w:val="000000"/>
                <w:kern w:val="0"/>
                <w:szCs w:val="21"/>
                <w:highlight w:val="none"/>
                <w:lang w:bidi="ar"/>
              </w:rPr>
              <w:t>【2020】1</w:t>
            </w:r>
            <w:r>
              <w:rPr>
                <w:rFonts w:hint="eastAsia" w:ascii="仿宋_GB2312" w:hAnsi="宋体" w:eastAsia="仿宋_GB2312" w:cs="仿宋_GB2312"/>
                <w:color w:val="000000"/>
                <w:kern w:val="0"/>
                <w:szCs w:val="21"/>
                <w:highlight w:val="none"/>
                <w:lang w:bidi="ar"/>
              </w:rPr>
              <w:t>9号</w:t>
            </w:r>
            <w:r>
              <w:rPr>
                <w:rFonts w:ascii="仿宋_GB2312" w:hAnsi="宋体" w:eastAsia="仿宋_GB2312" w:cs="仿宋_GB2312"/>
                <w:color w:val="000000"/>
                <w:kern w:val="0"/>
                <w:szCs w:val="21"/>
                <w:highlight w:val="none"/>
                <w:lang w:bidi="ar"/>
              </w:rPr>
              <w:t>）</w:t>
            </w:r>
          </w:p>
        </w:tc>
        <w:tc>
          <w:tcPr>
            <w:tcW w:w="1521" w:type="dxa"/>
            <w:tcBorders>
              <w:tl2br w:val="nil"/>
              <w:tr2bl w:val="nil"/>
            </w:tcBorders>
            <w:shd w:val="clear" w:color="auto" w:fill="auto"/>
            <w:vAlign w:val="center"/>
          </w:tcPr>
          <w:p>
            <w:pPr>
              <w:widowControl/>
              <w:jc w:val="right"/>
              <w:rPr>
                <w:rFonts w:hint="eastAsia" w:ascii="宋体" w:hAnsi="宋体"/>
                <w:color w:val="auto"/>
                <w:szCs w:val="21"/>
                <w:highlight w:val="none"/>
              </w:rPr>
            </w:pPr>
            <w:r>
              <w:rPr>
                <w:rFonts w:hint="eastAsia" w:ascii="宋体" w:hAnsi="宋体"/>
                <w:color w:val="000000"/>
                <w:szCs w:val="21"/>
                <w:highlight w:val="none"/>
              </w:rPr>
              <w:t>-</w:t>
            </w:r>
          </w:p>
        </w:tc>
        <w:tc>
          <w:tcPr>
            <w:tcW w:w="1045" w:type="dxa"/>
            <w:tcBorders>
              <w:tl2br w:val="nil"/>
              <w:tr2bl w:val="nil"/>
            </w:tcBorders>
            <w:shd w:val="clear" w:color="auto" w:fill="auto"/>
            <w:vAlign w:val="center"/>
          </w:tcPr>
          <w:p>
            <w:pPr>
              <w:widowControl/>
              <w:jc w:val="right"/>
              <w:rPr>
                <w:rFonts w:hint="eastAsia" w:ascii="宋体" w:hAnsi="宋体"/>
                <w:color w:val="auto"/>
                <w:szCs w:val="21"/>
                <w:highlight w:val="none"/>
              </w:rPr>
            </w:pPr>
            <w:r>
              <w:rPr>
                <w:rFonts w:hint="eastAsia" w:ascii="宋体" w:hAnsi="宋体"/>
                <w:color w:val="000000"/>
                <w:szCs w:val="21"/>
                <w:highlight w:val="none"/>
              </w:rPr>
              <w:t>-</w:t>
            </w:r>
          </w:p>
        </w:tc>
        <w:tc>
          <w:tcPr>
            <w:tcW w:w="1751" w:type="dxa"/>
            <w:tcBorders>
              <w:tl2br w:val="nil"/>
              <w:tr2bl w:val="nil"/>
            </w:tcBorders>
            <w:vAlign w:val="center"/>
          </w:tcPr>
          <w:p>
            <w:pPr>
              <w:jc w:val="right"/>
              <w:rPr>
                <w:rFonts w:hint="eastAsia" w:ascii="宋体" w:hAnsi="宋体" w:eastAsia="宋体"/>
                <w:color w:val="auto"/>
                <w:szCs w:val="21"/>
                <w:highlight w:val="none"/>
              </w:rPr>
            </w:pPr>
            <w:r>
              <w:rPr>
                <w:rFonts w:hint="eastAsia" w:ascii="仿宋_GB2312" w:eastAsia="仿宋_GB2312"/>
                <w:szCs w:val="21"/>
                <w:highlight w:val="none"/>
              </w:rPr>
              <w:t>7,843,137.00</w:t>
            </w:r>
          </w:p>
        </w:tc>
        <w:tc>
          <w:tcPr>
            <w:tcW w:w="1273" w:type="dxa"/>
            <w:tcBorders>
              <w:tl2br w:val="nil"/>
              <w:tr2bl w:val="nil"/>
            </w:tcBorders>
            <w:vAlign w:val="center"/>
          </w:tcPr>
          <w:p>
            <w:pPr>
              <w:widowControl/>
              <w:jc w:val="right"/>
              <w:textAlignment w:val="center"/>
              <w:rPr>
                <w:rFonts w:hint="eastAsia" w:ascii="宋体" w:hAnsi="宋体" w:eastAsia="宋体" w:cs="Times New Roman"/>
                <w:i w:val="0"/>
                <w:color w:val="auto"/>
                <w:kern w:val="2"/>
                <w:sz w:val="21"/>
                <w:szCs w:val="21"/>
                <w:highlight w:val="none"/>
                <w:u w:val="none"/>
                <w:lang w:val="en-US" w:eastAsia="zh-CN" w:bidi="ar"/>
              </w:rPr>
            </w:pPr>
            <w:r>
              <w:rPr>
                <w:rFonts w:hint="eastAsia" w:ascii="宋体" w:hAnsi="宋体" w:cs="宋体"/>
                <w:color w:val="000000"/>
                <w:kern w:val="0"/>
                <w:sz w:val="22"/>
                <w:highlight w:val="none"/>
                <w:lang w:bidi="ar"/>
              </w:rPr>
              <w:t>6.251%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70" w:hRule="atLeast"/>
        </w:trPr>
        <w:tc>
          <w:tcPr>
            <w:tcW w:w="3685" w:type="dxa"/>
            <w:gridSpan w:val="2"/>
            <w:tcBorders>
              <w:tl2br w:val="nil"/>
              <w:tr2bl w:val="nil"/>
            </w:tcBorders>
            <w:shd w:val="clear" w:color="auto" w:fill="auto"/>
            <w:vAlign w:val="center"/>
          </w:tcPr>
          <w:p>
            <w:pPr>
              <w:widowControl/>
              <w:jc w:val="center"/>
              <w:rPr>
                <w:rFonts w:ascii="Times New Roman" w:hAnsi="Times New Roman"/>
                <w:b/>
                <w:bCs/>
                <w:kern w:val="0"/>
                <w:szCs w:val="21"/>
                <w:highlight w:val="none"/>
              </w:rPr>
            </w:pPr>
            <w:r>
              <w:rPr>
                <w:rFonts w:ascii="Times New Roman" w:hAnsi="Times New Roman"/>
                <w:b/>
                <w:bCs/>
                <w:kern w:val="0"/>
                <w:szCs w:val="21"/>
                <w:highlight w:val="none"/>
              </w:rPr>
              <w:t>　</w:t>
            </w:r>
          </w:p>
          <w:p>
            <w:pPr>
              <w:widowControl/>
              <w:jc w:val="center"/>
              <w:rPr>
                <w:rFonts w:ascii="Times New Roman" w:hAnsi="Times New Roman"/>
                <w:b/>
                <w:bCs/>
                <w:color w:val="auto"/>
                <w:kern w:val="0"/>
                <w:szCs w:val="21"/>
                <w:highlight w:val="none"/>
              </w:rPr>
            </w:pPr>
            <w:r>
              <w:rPr>
                <w:rFonts w:hint="eastAsia" w:ascii="宋体" w:hAnsi="宋体"/>
                <w:b/>
                <w:bCs/>
                <w:kern w:val="0"/>
                <w:szCs w:val="21"/>
                <w:highlight w:val="none"/>
              </w:rPr>
              <w:t>合计</w:t>
            </w:r>
          </w:p>
        </w:tc>
        <w:tc>
          <w:tcPr>
            <w:tcW w:w="1521" w:type="dxa"/>
            <w:tcBorders>
              <w:tl2br w:val="nil"/>
              <w:tr2bl w:val="nil"/>
            </w:tcBorders>
            <w:shd w:val="clear" w:color="auto" w:fill="auto"/>
            <w:vAlign w:val="center"/>
          </w:tcPr>
          <w:p>
            <w:pPr>
              <w:widowControl/>
              <w:jc w:val="right"/>
              <w:rPr>
                <w:rFonts w:ascii="宋体" w:hAnsi="宋体"/>
                <w:b/>
                <w:bCs/>
                <w:color w:val="auto"/>
                <w:kern w:val="0"/>
                <w:szCs w:val="21"/>
                <w:highlight w:val="none"/>
              </w:rPr>
            </w:pPr>
            <w:r>
              <w:rPr>
                <w:rFonts w:hint="eastAsia" w:ascii="宋体" w:hAnsi="宋体"/>
                <w:b/>
                <w:bCs/>
                <w:color w:val="000000"/>
                <w:szCs w:val="21"/>
                <w:highlight w:val="none"/>
              </w:rPr>
              <w:t xml:space="preserve">91,480,000.00 </w:t>
            </w:r>
          </w:p>
        </w:tc>
        <w:tc>
          <w:tcPr>
            <w:tcW w:w="1045" w:type="dxa"/>
            <w:tcBorders>
              <w:tl2br w:val="nil"/>
              <w:tr2bl w:val="nil"/>
            </w:tcBorders>
            <w:shd w:val="clear" w:color="auto" w:fill="auto"/>
            <w:vAlign w:val="center"/>
          </w:tcPr>
          <w:p>
            <w:pPr>
              <w:widowControl/>
              <w:jc w:val="right"/>
              <w:rPr>
                <w:rFonts w:ascii="Times New Roman" w:hAnsi="Times New Roman"/>
                <w:b/>
                <w:bCs/>
                <w:color w:val="auto"/>
                <w:kern w:val="0"/>
                <w:szCs w:val="21"/>
                <w:highlight w:val="none"/>
              </w:rPr>
            </w:pPr>
            <w:r>
              <w:rPr>
                <w:rFonts w:asciiTheme="minorEastAsia" w:hAnsiTheme="minorEastAsia" w:eastAsiaTheme="minorEastAsia"/>
                <w:b/>
                <w:bCs/>
                <w:color w:val="000000"/>
                <w:szCs w:val="21"/>
                <w:highlight w:val="none"/>
              </w:rPr>
              <w:t>100.00%</w:t>
            </w:r>
          </w:p>
        </w:tc>
        <w:tc>
          <w:tcPr>
            <w:tcW w:w="1751" w:type="dxa"/>
            <w:tcBorders>
              <w:tl2br w:val="nil"/>
              <w:tr2bl w:val="nil"/>
            </w:tcBorders>
            <w:vAlign w:val="center"/>
          </w:tcPr>
          <w:p>
            <w:pPr>
              <w:widowControl/>
              <w:jc w:val="right"/>
              <w:rPr>
                <w:rFonts w:hint="eastAsia" w:ascii="宋体" w:hAnsi="宋体" w:eastAsia="宋体" w:cs="Times New Roman"/>
                <w:b/>
                <w:bCs/>
                <w:i w:val="0"/>
                <w:color w:val="auto"/>
                <w:kern w:val="2"/>
                <w:sz w:val="21"/>
                <w:szCs w:val="21"/>
                <w:highlight w:val="none"/>
                <w:u w:val="none"/>
                <w:lang w:val="en-US" w:eastAsia="zh-CN" w:bidi="ar-SA"/>
              </w:rPr>
            </w:pPr>
            <w:r>
              <w:rPr>
                <w:rFonts w:asciiTheme="minorEastAsia" w:hAnsiTheme="minorEastAsia" w:eastAsiaTheme="minorEastAsia"/>
                <w:b/>
                <w:bCs/>
                <w:color w:val="000000"/>
                <w:szCs w:val="21"/>
                <w:highlight w:val="none"/>
              </w:rPr>
              <w:t>125,466,927.00</w:t>
            </w:r>
          </w:p>
        </w:tc>
        <w:tc>
          <w:tcPr>
            <w:tcW w:w="1273" w:type="dxa"/>
            <w:tcBorders>
              <w:tl2br w:val="nil"/>
              <w:tr2bl w:val="nil"/>
            </w:tcBorders>
            <w:shd w:val="clear" w:color="auto" w:fill="auto"/>
            <w:vAlign w:val="center"/>
          </w:tcPr>
          <w:p>
            <w:pPr>
              <w:widowControl/>
              <w:jc w:val="right"/>
              <w:rPr>
                <w:rFonts w:hint="eastAsia" w:ascii="宋体" w:hAnsi="宋体" w:eastAsia="宋体"/>
                <w:b/>
                <w:bCs/>
                <w:color w:val="auto"/>
                <w:kern w:val="2"/>
                <w:szCs w:val="21"/>
                <w:highlight w:val="none"/>
              </w:rPr>
            </w:pPr>
            <w:r>
              <w:rPr>
                <w:rFonts w:asciiTheme="minorEastAsia" w:hAnsiTheme="minorEastAsia" w:eastAsiaTheme="minorEastAsia"/>
                <w:b/>
                <w:bCs/>
                <w:color w:val="000000"/>
                <w:szCs w:val="21"/>
                <w:highlight w:val="none"/>
              </w:rPr>
              <w:t>100.00%%</w:t>
            </w:r>
          </w:p>
        </w:tc>
      </w:tr>
    </w:tbl>
    <w:p>
      <w:pPr>
        <w:spacing w:line="500" w:lineRule="atLeast"/>
        <w:ind w:firstLine="482" w:firstLineChars="200"/>
        <w:rPr>
          <w:rFonts w:hint="default" w:ascii="宋体" w:hAnsi="宋体" w:eastAsia="宋体"/>
          <w:b/>
          <w:bCs/>
          <w:sz w:val="24"/>
          <w:highlight w:val="none"/>
          <w:lang w:val="en-US" w:eastAsia="zh-CN"/>
        </w:rPr>
      </w:pPr>
      <w:r>
        <w:rPr>
          <w:rFonts w:hint="eastAsia" w:ascii="宋体" w:hAnsi="宋体"/>
          <w:b/>
          <w:bCs/>
          <w:sz w:val="24"/>
          <w:highlight w:val="none"/>
          <w:lang w:val="en-US" w:eastAsia="zh-CN"/>
        </w:rPr>
        <w:t>（注：上表中不包含浙江海正生物材料股份有限公司原有股东同比例增资金额、浙江海正生物材料股份有限公司员工持股平台同步增资金额，以及</w:t>
      </w:r>
      <w:r>
        <w:rPr>
          <w:rFonts w:hint="eastAsia" w:ascii="宋体" w:hAnsi="宋体"/>
          <w:b/>
          <w:bCs/>
          <w:sz w:val="24"/>
          <w:highlight w:val="none"/>
        </w:rPr>
        <w:t>台州市椒江城市发展投资集团有限公司</w:t>
      </w:r>
      <w:r>
        <w:rPr>
          <w:rFonts w:hint="eastAsia" w:ascii="宋体" w:hAnsi="宋体"/>
          <w:b/>
          <w:bCs/>
          <w:sz w:val="24"/>
          <w:highlight w:val="none"/>
          <w:lang w:val="en-US" w:eastAsia="zh-CN"/>
        </w:rPr>
        <w:t>增资金额。增资完成后，甲方股权结构可能会发生相应的变化。)</w:t>
      </w:r>
    </w:p>
    <w:p>
      <w:pPr>
        <w:spacing w:line="500" w:lineRule="exact"/>
        <w:ind w:firstLine="482" w:firstLineChars="200"/>
        <w:rPr>
          <w:rFonts w:ascii="宋体" w:cs="宋体"/>
          <w:kern w:val="0"/>
          <w:sz w:val="24"/>
          <w:szCs w:val="24"/>
          <w:highlight w:val="none"/>
        </w:rPr>
      </w:pPr>
      <w:r>
        <w:rPr>
          <w:rFonts w:hint="eastAsia" w:ascii="宋体" w:hAnsi="宋体" w:cs="宋体"/>
          <w:b/>
          <w:kern w:val="0"/>
          <w:sz w:val="24"/>
          <w:szCs w:val="24"/>
          <w:highlight w:val="none"/>
        </w:rPr>
        <w:t>第六条</w:t>
      </w:r>
      <w:r>
        <w:rPr>
          <w:rFonts w:hint="eastAsia" w:ascii="宋体" w:hAnsi="宋体" w:cs="宋体"/>
          <w:kern w:val="0"/>
          <w:sz w:val="24"/>
          <w:szCs w:val="24"/>
          <w:highlight w:val="none"/>
        </w:rPr>
        <w:t>增资款的支付</w:t>
      </w:r>
    </w:p>
    <w:p>
      <w:pPr>
        <w:spacing w:line="500" w:lineRule="exact"/>
        <w:ind w:firstLine="480"/>
        <w:rPr>
          <w:rFonts w:ascii="宋体"/>
          <w:bCs/>
          <w:sz w:val="24"/>
          <w:szCs w:val="24"/>
          <w:highlight w:val="none"/>
        </w:rPr>
      </w:pPr>
      <w:r>
        <w:rPr>
          <w:rFonts w:hint="eastAsia" w:ascii="宋体" w:hAnsi="宋体"/>
          <w:sz w:val="24"/>
          <w:szCs w:val="24"/>
          <w:highlight w:val="none"/>
        </w:rPr>
        <w:t>乙方须在本协议签订之日起</w:t>
      </w:r>
      <w:r>
        <w:rPr>
          <w:rFonts w:hint="eastAsia" w:ascii="宋体" w:hAnsi="宋体"/>
          <w:sz w:val="24"/>
          <w:szCs w:val="24"/>
          <w:highlight w:val="none"/>
          <w:lang w:val="en-US" w:eastAsia="zh-CN"/>
        </w:rPr>
        <w:t>10</w:t>
      </w:r>
      <w:r>
        <w:rPr>
          <w:rFonts w:hint="eastAsia" w:ascii="宋体" w:hAnsi="宋体"/>
          <w:sz w:val="24"/>
          <w:szCs w:val="24"/>
          <w:highlight w:val="none"/>
        </w:rPr>
        <w:t>个工作日内向甲方一次性支付全部</w:t>
      </w:r>
      <w:r>
        <w:rPr>
          <w:rFonts w:hint="eastAsia" w:ascii="宋体" w:hAnsi="宋体"/>
          <w:sz w:val="24"/>
          <w:szCs w:val="24"/>
          <w:highlight w:val="none"/>
          <w:lang w:eastAsia="zh-CN"/>
        </w:rPr>
        <w:t>剩余增</w:t>
      </w:r>
      <w:r>
        <w:rPr>
          <w:rFonts w:hint="eastAsia" w:ascii="宋体" w:hAnsi="宋体"/>
          <w:sz w:val="24"/>
          <w:szCs w:val="24"/>
          <w:highlight w:val="none"/>
        </w:rPr>
        <w:t>资款</w:t>
      </w:r>
      <w:r>
        <w:rPr>
          <w:rFonts w:hint="eastAsia" w:ascii="宋体" w:hAnsi="宋体"/>
          <w:sz w:val="24"/>
          <w:szCs w:val="24"/>
          <w:highlight w:val="none"/>
          <w:lang w:eastAsia="zh-CN"/>
        </w:rPr>
        <w:t>（乙方先期汇入台州市产权交易所有限公司以下指定账户的竞买保证金</w:t>
      </w:r>
      <w:r>
        <w:rPr>
          <w:rFonts w:hint="eastAsia" w:ascii="宋体" w:hAnsi="宋体"/>
          <w:sz w:val="24"/>
          <w:szCs w:val="24"/>
          <w:highlight w:val="none"/>
          <w:lang w:val="en-US" w:eastAsia="zh-CN"/>
        </w:rPr>
        <w:t>24,000,000.00元人民币</w:t>
      </w:r>
      <w:r>
        <w:rPr>
          <w:rFonts w:hint="eastAsia" w:ascii="宋体" w:hAnsi="宋体"/>
          <w:sz w:val="24"/>
          <w:szCs w:val="24"/>
          <w:highlight w:val="none"/>
          <w:lang w:eastAsia="zh-CN"/>
        </w:rPr>
        <w:t>应转为</w:t>
      </w:r>
      <w:r>
        <w:rPr>
          <w:rFonts w:hint="eastAsia" w:ascii="宋体" w:hAnsi="宋体"/>
          <w:sz w:val="24"/>
          <w:szCs w:val="24"/>
          <w:highlight w:val="none"/>
          <w:lang w:val="en-US" w:eastAsia="zh-CN"/>
        </w:rPr>
        <w:t>等</w:t>
      </w:r>
      <w:r>
        <w:rPr>
          <w:rFonts w:hint="eastAsia" w:ascii="宋体" w:hAnsi="宋体"/>
          <w:sz w:val="24"/>
          <w:szCs w:val="24"/>
          <w:highlight w:val="none"/>
          <w:lang w:eastAsia="zh-CN"/>
        </w:rPr>
        <w:t>额的增资款）。</w:t>
      </w:r>
      <w:r>
        <w:rPr>
          <w:rFonts w:hint="eastAsia" w:ascii="宋体" w:hAnsi="宋体"/>
          <w:sz w:val="24"/>
          <w:szCs w:val="24"/>
          <w:highlight w:val="none"/>
        </w:rPr>
        <w:t>乙方逾期支付</w:t>
      </w:r>
      <w:r>
        <w:rPr>
          <w:rFonts w:hint="eastAsia" w:ascii="宋体" w:hAnsi="宋体"/>
          <w:sz w:val="24"/>
          <w:szCs w:val="24"/>
          <w:highlight w:val="none"/>
          <w:lang w:eastAsia="zh-CN"/>
        </w:rPr>
        <w:t>剩余</w:t>
      </w:r>
      <w:r>
        <w:rPr>
          <w:rFonts w:hint="eastAsia" w:ascii="宋体" w:hAnsi="宋体"/>
          <w:sz w:val="24"/>
          <w:szCs w:val="24"/>
          <w:highlight w:val="none"/>
        </w:rPr>
        <w:t>增资款，在甲方催告后仍不支付，视为乙方根本违约，</w:t>
      </w:r>
      <w:r>
        <w:rPr>
          <w:rFonts w:hint="eastAsia" w:ascii="宋体" w:hAnsi="宋体"/>
          <w:bCs/>
          <w:sz w:val="24"/>
          <w:szCs w:val="24"/>
          <w:highlight w:val="none"/>
        </w:rPr>
        <w:t>甲方有权解除增资协议</w:t>
      </w:r>
      <w:r>
        <w:rPr>
          <w:rFonts w:hint="eastAsia" w:ascii="宋体" w:hAnsi="宋体"/>
          <w:bCs/>
          <w:sz w:val="24"/>
          <w:szCs w:val="24"/>
          <w:highlight w:val="none"/>
          <w:lang w:eastAsia="zh-CN"/>
        </w:rPr>
        <w:t>，</w:t>
      </w:r>
      <w:r>
        <w:rPr>
          <w:rFonts w:hint="eastAsia" w:ascii="宋体" w:hAnsi="宋体"/>
          <w:sz w:val="24"/>
          <w:szCs w:val="24"/>
          <w:highlight w:val="none"/>
          <w:lang w:eastAsia="zh-CN"/>
        </w:rPr>
        <w:t>台州市产权交易所有限公司</w:t>
      </w:r>
      <w:r>
        <w:rPr>
          <w:rFonts w:hint="eastAsia" w:ascii="宋体" w:hAnsi="宋体"/>
          <w:bCs/>
          <w:sz w:val="24"/>
          <w:szCs w:val="24"/>
          <w:highlight w:val="none"/>
          <w:lang w:eastAsia="zh-CN"/>
        </w:rPr>
        <w:t>有权解除</w:t>
      </w:r>
      <w:r>
        <w:rPr>
          <w:rFonts w:hint="eastAsia" w:ascii="宋体" w:hAnsi="宋体"/>
          <w:bCs/>
          <w:sz w:val="24"/>
          <w:szCs w:val="24"/>
          <w:highlight w:val="none"/>
        </w:rPr>
        <w:t>《增资确认书》，乙方先期汇入台州市产权交易所</w:t>
      </w:r>
      <w:r>
        <w:rPr>
          <w:rFonts w:hint="eastAsia" w:ascii="宋体" w:hAnsi="宋体"/>
          <w:bCs/>
          <w:sz w:val="24"/>
          <w:szCs w:val="24"/>
          <w:highlight w:val="none"/>
          <w:lang w:eastAsia="zh-CN"/>
        </w:rPr>
        <w:t>有限公司</w:t>
      </w:r>
      <w:r>
        <w:rPr>
          <w:rFonts w:hint="eastAsia" w:ascii="宋体" w:hAnsi="宋体"/>
          <w:bCs/>
          <w:sz w:val="24"/>
          <w:szCs w:val="24"/>
          <w:highlight w:val="none"/>
        </w:rPr>
        <w:t>指定账户的交易保证金不予退还</w:t>
      </w:r>
      <w:r>
        <w:rPr>
          <w:rFonts w:hint="eastAsia" w:ascii="宋体" w:hAnsi="宋体"/>
          <w:bCs/>
          <w:sz w:val="24"/>
          <w:szCs w:val="24"/>
          <w:highlight w:val="none"/>
          <w:lang w:eastAsia="zh-CN"/>
        </w:rPr>
        <w:t>。</w:t>
      </w:r>
    </w:p>
    <w:p>
      <w:pPr>
        <w:numPr>
          <w:ilvl w:val="-1"/>
          <w:numId w:val="0"/>
        </w:numPr>
        <w:spacing w:line="360" w:lineRule="auto"/>
        <w:ind w:firstLine="480" w:firstLineChars="200"/>
        <w:rPr>
          <w:rFonts w:ascii="宋体"/>
          <w:bCs/>
          <w:sz w:val="24"/>
          <w:szCs w:val="24"/>
          <w:highlight w:val="none"/>
        </w:rPr>
      </w:pPr>
      <w:r>
        <w:rPr>
          <w:rFonts w:hint="eastAsia" w:ascii="宋体" w:hAnsi="宋体"/>
          <w:sz w:val="24"/>
          <w:szCs w:val="24"/>
          <w:highlight w:val="none"/>
        </w:rPr>
        <w:t>增资款汇入开户单位：浙江海正生物材料股份有限公司</w:t>
      </w:r>
      <w:r>
        <w:rPr>
          <w:rFonts w:hint="eastAsia" w:ascii="宋体" w:hAnsi="宋体"/>
          <w:sz w:val="24"/>
          <w:szCs w:val="24"/>
          <w:highlight w:val="none"/>
          <w:lang w:eastAsia="zh-CN"/>
        </w:rPr>
        <w:t>，开户行：</w:t>
      </w:r>
      <w:r>
        <w:rPr>
          <w:rFonts w:hint="eastAsia" w:ascii="宋体" w:hAnsi="宋体"/>
          <w:sz w:val="24"/>
          <w:szCs w:val="24"/>
          <w:highlight w:val="none"/>
        </w:rPr>
        <w:t>台州建行营业部</w:t>
      </w:r>
      <w:r>
        <w:rPr>
          <w:rFonts w:hint="eastAsia" w:ascii="宋体" w:hAnsi="宋体"/>
          <w:sz w:val="24"/>
          <w:szCs w:val="24"/>
          <w:highlight w:val="none"/>
          <w:lang w:eastAsia="zh-CN"/>
        </w:rPr>
        <w:t>，账号：</w:t>
      </w:r>
      <w:r>
        <w:rPr>
          <w:rFonts w:hint="eastAsia" w:ascii="宋体" w:hAnsi="宋体"/>
          <w:sz w:val="24"/>
          <w:szCs w:val="24"/>
          <w:highlight w:val="none"/>
        </w:rPr>
        <w:t>33001663700050000049</w:t>
      </w:r>
      <w:r>
        <w:rPr>
          <w:rFonts w:hint="eastAsia" w:ascii="宋体" w:hAnsi="宋体"/>
          <w:sz w:val="24"/>
          <w:szCs w:val="24"/>
          <w:highlight w:val="none"/>
          <w:lang w:eastAsia="zh-CN"/>
        </w:rPr>
        <w:t>。</w:t>
      </w:r>
    </w:p>
    <w:p>
      <w:pPr>
        <w:spacing w:line="500" w:lineRule="exact"/>
        <w:ind w:firstLine="602" w:firstLineChars="250"/>
        <w:rPr>
          <w:rFonts w:ascii="宋体"/>
          <w:kern w:val="0"/>
          <w:sz w:val="24"/>
          <w:szCs w:val="24"/>
          <w:highlight w:val="none"/>
        </w:rPr>
      </w:pPr>
      <w:r>
        <w:rPr>
          <w:rFonts w:hint="eastAsia" w:ascii="宋体" w:hAnsi="宋体"/>
          <w:b/>
          <w:kern w:val="0"/>
          <w:sz w:val="24"/>
          <w:szCs w:val="24"/>
          <w:highlight w:val="none"/>
        </w:rPr>
        <w:t>第七条</w:t>
      </w:r>
      <w:r>
        <w:rPr>
          <w:rFonts w:hint="eastAsia" w:ascii="宋体" w:hAnsi="宋体"/>
          <w:kern w:val="0"/>
          <w:sz w:val="24"/>
          <w:szCs w:val="24"/>
          <w:highlight w:val="none"/>
        </w:rPr>
        <w:t>新股东享有的基本权利</w:t>
      </w:r>
    </w:p>
    <w:p>
      <w:pPr>
        <w:spacing w:line="500" w:lineRule="exact"/>
        <w:ind w:firstLine="480" w:firstLineChars="200"/>
        <w:rPr>
          <w:rFonts w:ascii="宋体"/>
          <w:sz w:val="24"/>
          <w:szCs w:val="24"/>
          <w:highlight w:val="none"/>
        </w:rPr>
      </w:pPr>
      <w:r>
        <w:rPr>
          <w:rFonts w:hint="eastAsia" w:ascii="宋体" w:hAnsi="宋体"/>
          <w:sz w:val="24"/>
          <w:szCs w:val="24"/>
          <w:highlight w:val="none"/>
        </w:rPr>
        <w:t>享有认购股份项下的全部股东权利。</w:t>
      </w:r>
    </w:p>
    <w:p>
      <w:pPr>
        <w:spacing w:line="500" w:lineRule="exact"/>
        <w:ind w:firstLine="482" w:firstLineChars="200"/>
        <w:rPr>
          <w:rFonts w:ascii="宋体" w:cs="宋体"/>
          <w:kern w:val="0"/>
          <w:sz w:val="24"/>
          <w:szCs w:val="24"/>
          <w:highlight w:val="none"/>
        </w:rPr>
      </w:pPr>
      <w:r>
        <w:rPr>
          <w:rFonts w:hint="eastAsia" w:ascii="宋体" w:hAnsi="宋体" w:cs="宋体"/>
          <w:b/>
          <w:kern w:val="0"/>
          <w:sz w:val="24"/>
          <w:szCs w:val="24"/>
          <w:highlight w:val="none"/>
        </w:rPr>
        <w:t>第八条</w:t>
      </w:r>
      <w:r>
        <w:rPr>
          <w:rFonts w:hint="eastAsia" w:ascii="宋体" w:hAnsi="宋体" w:cs="宋体"/>
          <w:kern w:val="0"/>
          <w:sz w:val="24"/>
          <w:szCs w:val="24"/>
          <w:highlight w:val="none"/>
        </w:rPr>
        <w:t>新股东的义务与责任</w:t>
      </w:r>
    </w:p>
    <w:p>
      <w:pPr>
        <w:spacing w:line="500" w:lineRule="exact"/>
        <w:ind w:firstLine="480" w:firstLineChars="200"/>
        <w:rPr>
          <w:rFonts w:ascii="宋体" w:cs="宋体"/>
          <w:kern w:val="0"/>
          <w:sz w:val="24"/>
          <w:szCs w:val="24"/>
          <w:highlight w:val="none"/>
        </w:rPr>
      </w:pPr>
      <w:r>
        <w:rPr>
          <w:rFonts w:ascii="宋体" w:hAnsi="宋体" w:cs="宋体"/>
          <w:kern w:val="0"/>
          <w:sz w:val="24"/>
          <w:szCs w:val="24"/>
          <w:highlight w:val="none"/>
        </w:rPr>
        <w:t xml:space="preserve">1. </w:t>
      </w:r>
      <w:r>
        <w:rPr>
          <w:rFonts w:hint="eastAsia" w:ascii="宋体" w:hAnsi="宋体" w:cs="宋体"/>
          <w:kern w:val="0"/>
          <w:sz w:val="24"/>
          <w:szCs w:val="24"/>
          <w:highlight w:val="none"/>
        </w:rPr>
        <w:t>于本协议签订之日起</w:t>
      </w:r>
      <w:r>
        <w:rPr>
          <w:rFonts w:hint="eastAsia" w:ascii="宋体" w:hAnsi="宋体"/>
          <w:sz w:val="24"/>
          <w:szCs w:val="24"/>
          <w:highlight w:val="none"/>
          <w:lang w:val="en-US" w:eastAsia="zh-CN"/>
        </w:rPr>
        <w:t>10</w:t>
      </w:r>
      <w:r>
        <w:rPr>
          <w:rFonts w:hint="eastAsia" w:ascii="宋体" w:hAnsi="宋体"/>
          <w:sz w:val="24"/>
          <w:szCs w:val="24"/>
          <w:highlight w:val="none"/>
        </w:rPr>
        <w:t>个工作</w:t>
      </w:r>
      <w:r>
        <w:rPr>
          <w:rFonts w:ascii="宋体" w:hAnsi="宋体"/>
          <w:sz w:val="24"/>
          <w:szCs w:val="24"/>
          <w:highlight w:val="none"/>
        </w:rPr>
        <w:t>日</w:t>
      </w:r>
      <w:r>
        <w:rPr>
          <w:rFonts w:hint="eastAsia" w:ascii="宋体" w:hAnsi="宋体" w:cs="宋体"/>
          <w:kern w:val="0"/>
          <w:sz w:val="24"/>
          <w:szCs w:val="24"/>
          <w:highlight w:val="none"/>
        </w:rPr>
        <w:t>内，按本协议足额交纳增资款；</w:t>
      </w:r>
    </w:p>
    <w:p>
      <w:pPr>
        <w:spacing w:line="500" w:lineRule="exact"/>
        <w:ind w:firstLine="480" w:firstLineChars="200"/>
        <w:rPr>
          <w:rFonts w:ascii="宋体" w:cs="宋体"/>
          <w:kern w:val="0"/>
          <w:sz w:val="24"/>
          <w:szCs w:val="24"/>
          <w:highlight w:val="none"/>
        </w:rPr>
      </w:pPr>
      <w:r>
        <w:rPr>
          <w:rFonts w:ascii="宋体" w:hAnsi="宋体" w:cs="宋体"/>
          <w:kern w:val="0"/>
          <w:sz w:val="24"/>
          <w:szCs w:val="24"/>
          <w:highlight w:val="none"/>
        </w:rPr>
        <w:t xml:space="preserve">2. </w:t>
      </w:r>
      <w:r>
        <w:rPr>
          <w:rFonts w:hint="eastAsia" w:ascii="宋体" w:hAnsi="宋体" w:cs="宋体"/>
          <w:kern w:val="0"/>
          <w:sz w:val="24"/>
          <w:szCs w:val="24"/>
          <w:highlight w:val="none"/>
        </w:rPr>
        <w:t>承担</w:t>
      </w:r>
      <w:r>
        <w:rPr>
          <w:rFonts w:hint="eastAsia" w:ascii="宋体" w:hAnsi="宋体"/>
          <w:sz w:val="24"/>
          <w:szCs w:val="24"/>
          <w:highlight w:val="none"/>
        </w:rPr>
        <w:t>认购股份项下的全部股东</w:t>
      </w:r>
      <w:r>
        <w:rPr>
          <w:rFonts w:hint="eastAsia" w:ascii="宋体" w:hAnsi="宋体" w:cs="宋体"/>
          <w:kern w:val="0"/>
          <w:sz w:val="24"/>
          <w:szCs w:val="24"/>
          <w:highlight w:val="none"/>
        </w:rPr>
        <w:t>义务。</w:t>
      </w:r>
    </w:p>
    <w:p>
      <w:pPr>
        <w:spacing w:line="360" w:lineRule="auto"/>
        <w:ind w:firstLine="482" w:firstLineChars="200"/>
        <w:rPr>
          <w:rFonts w:ascii="宋体"/>
          <w:b/>
          <w:sz w:val="24"/>
          <w:highlight w:val="none"/>
        </w:rPr>
      </w:pPr>
      <w:r>
        <w:rPr>
          <w:rFonts w:hint="eastAsia" w:ascii="宋体"/>
          <w:b/>
          <w:sz w:val="24"/>
          <w:highlight w:val="none"/>
        </w:rPr>
        <w:t>第九条</w:t>
      </w:r>
      <w:r>
        <w:rPr>
          <w:rFonts w:hint="eastAsia" w:ascii="宋体"/>
          <w:sz w:val="24"/>
          <w:highlight w:val="none"/>
        </w:rPr>
        <w:t>本次增资的税收和费用</w:t>
      </w:r>
    </w:p>
    <w:p>
      <w:pPr>
        <w:spacing w:line="360" w:lineRule="auto"/>
        <w:ind w:firstLine="480" w:firstLineChars="200"/>
        <w:rPr>
          <w:rFonts w:ascii="宋体"/>
          <w:sz w:val="24"/>
          <w:highlight w:val="none"/>
        </w:rPr>
      </w:pPr>
      <w:r>
        <w:rPr>
          <w:rFonts w:hint="eastAsia" w:ascii="宋体"/>
          <w:sz w:val="24"/>
          <w:highlight w:val="none"/>
        </w:rPr>
        <w:t>增资扩股中涉及的有关税收，按照国家有关法律规定甲乙双方自行缴纳。本次增资中涉及的发布信息、征集投资方的相关手续所产生的费用由甲方承担，登记投资意向、摘牌、交易佣金等费用由乙方承担。</w:t>
      </w:r>
    </w:p>
    <w:p>
      <w:pPr>
        <w:spacing w:line="500" w:lineRule="exact"/>
        <w:ind w:firstLine="482" w:firstLineChars="200"/>
        <w:rPr>
          <w:rFonts w:ascii="宋体" w:cs="宋体"/>
          <w:kern w:val="0"/>
          <w:sz w:val="24"/>
          <w:szCs w:val="24"/>
          <w:highlight w:val="none"/>
        </w:rPr>
      </w:pPr>
      <w:r>
        <w:rPr>
          <w:rFonts w:hint="eastAsia" w:ascii="宋体" w:hAnsi="宋体" w:cs="宋体"/>
          <w:b/>
          <w:kern w:val="0"/>
          <w:sz w:val="24"/>
          <w:szCs w:val="24"/>
          <w:highlight w:val="none"/>
        </w:rPr>
        <w:t>第十条</w:t>
      </w:r>
      <w:r>
        <w:rPr>
          <w:rFonts w:hint="eastAsia" w:ascii="宋体" w:hAnsi="宋体" w:cs="宋体"/>
          <w:kern w:val="0"/>
          <w:sz w:val="24"/>
          <w:szCs w:val="24"/>
          <w:highlight w:val="none"/>
        </w:rPr>
        <w:t>期间损益</w:t>
      </w:r>
    </w:p>
    <w:p>
      <w:pPr>
        <w:spacing w:line="500" w:lineRule="exact"/>
        <w:ind w:firstLine="480" w:firstLineChars="200"/>
        <w:rPr>
          <w:rFonts w:ascii="宋体" w:cs="宋体"/>
          <w:kern w:val="0"/>
          <w:sz w:val="24"/>
          <w:szCs w:val="24"/>
          <w:highlight w:val="none"/>
        </w:rPr>
      </w:pPr>
      <w:r>
        <w:rPr>
          <w:rFonts w:hint="eastAsia" w:ascii="宋体" w:hAnsi="宋体" w:cs="宋体"/>
          <w:kern w:val="0"/>
          <w:sz w:val="24"/>
          <w:szCs w:val="24"/>
          <w:highlight w:val="none"/>
        </w:rPr>
        <w:t>本协议双方一致同意，资产评估基准日（2019年12月31日）到增资工商变更完成日期间的损益，不再进行审计，由新老股东按持股比例共享或承担。</w:t>
      </w:r>
    </w:p>
    <w:p>
      <w:pPr>
        <w:spacing w:line="500" w:lineRule="exact"/>
        <w:ind w:firstLine="482" w:firstLineChars="200"/>
        <w:rPr>
          <w:rFonts w:ascii="宋体" w:cs="宋体"/>
          <w:kern w:val="0"/>
          <w:sz w:val="24"/>
          <w:szCs w:val="24"/>
          <w:highlight w:val="none"/>
        </w:rPr>
      </w:pPr>
      <w:r>
        <w:rPr>
          <w:rFonts w:hint="eastAsia" w:ascii="宋体" w:hAnsi="宋体" w:cs="宋体"/>
          <w:b/>
          <w:kern w:val="0"/>
          <w:sz w:val="24"/>
          <w:szCs w:val="24"/>
          <w:highlight w:val="none"/>
        </w:rPr>
        <w:t>第十一条</w:t>
      </w:r>
      <w:r>
        <w:rPr>
          <w:rFonts w:hint="eastAsia" w:ascii="宋体" w:hAnsi="宋体" w:cs="宋体"/>
          <w:kern w:val="0"/>
          <w:sz w:val="24"/>
          <w:szCs w:val="24"/>
          <w:highlight w:val="none"/>
        </w:rPr>
        <w:t>章程修改及工商变更程序</w:t>
      </w:r>
    </w:p>
    <w:p>
      <w:pPr>
        <w:spacing w:line="500" w:lineRule="exact"/>
        <w:ind w:firstLine="480" w:firstLineChars="200"/>
        <w:rPr>
          <w:rFonts w:hint="eastAsia" w:ascii="宋体" w:hAnsi="宋体" w:cs="宋体"/>
          <w:b/>
          <w:kern w:val="0"/>
          <w:sz w:val="24"/>
          <w:szCs w:val="24"/>
          <w:highlight w:val="none"/>
        </w:rPr>
      </w:pPr>
      <w:r>
        <w:rPr>
          <w:rFonts w:hint="eastAsia" w:ascii="宋体" w:hAnsi="宋体" w:cs="宋体"/>
          <w:kern w:val="0"/>
          <w:sz w:val="24"/>
          <w:szCs w:val="24"/>
          <w:highlight w:val="none"/>
        </w:rPr>
        <w:t>本协议双方一致同意根据本协议内容对《公司章程》进行相应修改，并承诺在协议签订后完成向有关</w:t>
      </w:r>
      <w:r>
        <w:rPr>
          <w:rFonts w:hint="eastAsia" w:ascii="宋体" w:hAnsi="宋体" w:cs="宋体"/>
          <w:kern w:val="0"/>
          <w:sz w:val="24"/>
          <w:szCs w:val="24"/>
          <w:highlight w:val="none"/>
          <w:lang w:val="en-US" w:eastAsia="zh-CN"/>
        </w:rPr>
        <w:t>市场监督管理</w:t>
      </w:r>
      <w:r>
        <w:rPr>
          <w:rFonts w:hint="eastAsia" w:ascii="宋体" w:hAnsi="宋体" w:cs="宋体"/>
          <w:kern w:val="0"/>
          <w:sz w:val="24"/>
          <w:szCs w:val="24"/>
          <w:highlight w:val="none"/>
        </w:rPr>
        <w:t>部门申报的一切必备手续。</w:t>
      </w:r>
    </w:p>
    <w:p>
      <w:pPr>
        <w:spacing w:line="500" w:lineRule="exact"/>
        <w:ind w:firstLine="482" w:firstLineChars="200"/>
        <w:rPr>
          <w:rFonts w:ascii="宋体" w:cs="宋体"/>
          <w:kern w:val="0"/>
          <w:sz w:val="24"/>
          <w:szCs w:val="24"/>
          <w:highlight w:val="none"/>
        </w:rPr>
      </w:pPr>
      <w:r>
        <w:rPr>
          <w:rFonts w:hint="eastAsia" w:ascii="宋体" w:hAnsi="宋体" w:cs="宋体"/>
          <w:b/>
          <w:kern w:val="0"/>
          <w:sz w:val="24"/>
          <w:szCs w:val="24"/>
          <w:highlight w:val="none"/>
        </w:rPr>
        <w:t>第十二条</w:t>
      </w:r>
      <w:r>
        <w:rPr>
          <w:rFonts w:hint="eastAsia" w:ascii="宋体" w:hAnsi="宋体" w:cs="宋体"/>
          <w:kern w:val="0"/>
          <w:sz w:val="24"/>
          <w:szCs w:val="24"/>
          <w:highlight w:val="none"/>
        </w:rPr>
        <w:t>适用法律、争议的解决及违约责任</w:t>
      </w:r>
    </w:p>
    <w:p>
      <w:pPr>
        <w:pStyle w:val="8"/>
        <w:spacing w:line="500" w:lineRule="exact"/>
        <w:ind w:firstLine="480"/>
        <w:rPr>
          <w:rFonts w:ascii="宋体" w:hAnsi="宋体" w:eastAsia="宋体"/>
          <w:sz w:val="24"/>
          <w:highlight w:val="none"/>
        </w:rPr>
      </w:pPr>
      <w:r>
        <w:rPr>
          <w:rFonts w:ascii="宋体" w:hAnsi="宋体" w:eastAsia="宋体" w:cs="宋体"/>
          <w:kern w:val="0"/>
          <w:sz w:val="24"/>
          <w:highlight w:val="none"/>
        </w:rPr>
        <w:t>1.</w:t>
      </w:r>
      <w:r>
        <w:rPr>
          <w:rFonts w:hint="eastAsia" w:ascii="宋体" w:hAnsi="宋体" w:eastAsia="宋体"/>
          <w:sz w:val="24"/>
          <w:highlight w:val="none"/>
        </w:rPr>
        <w:t>适用法律：中华人民共和国法律。</w:t>
      </w:r>
    </w:p>
    <w:p>
      <w:pPr>
        <w:pStyle w:val="8"/>
        <w:spacing w:line="500" w:lineRule="exact"/>
        <w:ind w:firstLine="480"/>
        <w:rPr>
          <w:rFonts w:ascii="宋体" w:hAnsi="宋体" w:eastAsia="宋体"/>
          <w:sz w:val="24"/>
          <w:highlight w:val="none"/>
        </w:rPr>
      </w:pPr>
      <w:r>
        <w:rPr>
          <w:rFonts w:ascii="宋体" w:hAnsi="宋体" w:eastAsia="宋体" w:cs="宋体"/>
          <w:kern w:val="0"/>
          <w:sz w:val="24"/>
          <w:highlight w:val="none"/>
        </w:rPr>
        <w:t>2.</w:t>
      </w:r>
      <w:r>
        <w:rPr>
          <w:rFonts w:hint="eastAsia" w:ascii="宋体" w:hAnsi="宋体" w:eastAsia="宋体"/>
          <w:sz w:val="24"/>
          <w:highlight w:val="none"/>
        </w:rPr>
        <w:t>甲乙双方同意，因本协议而产生的任何争议都将首先通过友好协商自行解决，协商未果的，本协议任何一方应提交上海国际经济贸易仲裁委员会(上海国际仲裁中心)，按照申请仲裁时该会届时有效的仲裁规则，在上海市进行仲裁。</w:t>
      </w:r>
    </w:p>
    <w:p>
      <w:pPr>
        <w:pStyle w:val="8"/>
        <w:spacing w:line="500" w:lineRule="exact"/>
        <w:ind w:firstLine="480"/>
        <w:rPr>
          <w:rFonts w:ascii="宋体" w:hAnsi="宋体" w:eastAsia="宋体"/>
          <w:sz w:val="24"/>
          <w:highlight w:val="none"/>
        </w:rPr>
      </w:pPr>
      <w:r>
        <w:rPr>
          <w:rFonts w:hint="eastAsia" w:ascii="宋体" w:hAnsi="宋体" w:eastAsia="宋体"/>
          <w:sz w:val="24"/>
          <w:highlight w:val="none"/>
        </w:rPr>
        <w:t>3.</w:t>
      </w:r>
      <w:r>
        <w:rPr>
          <w:rFonts w:hint="eastAsia"/>
          <w:highlight w:val="none"/>
        </w:rPr>
        <w:t xml:space="preserve"> </w:t>
      </w:r>
      <w:r>
        <w:rPr>
          <w:rFonts w:hint="eastAsia" w:ascii="宋体" w:hAnsi="宋体" w:eastAsia="宋体"/>
          <w:sz w:val="24"/>
          <w:highlight w:val="none"/>
        </w:rPr>
        <w:t>除另有约定外，本协议签署后，任何一方未能按本协议的规定履行其合同义务，且其未能在收到任何其他一方书面通知之日起30日内予以纠正，则构成对本协议的违约。在不影响守约方在本协议下其他权利的情况下，守约方有权采取如下一种或多种救济措施以维护其权利：</w:t>
      </w:r>
    </w:p>
    <w:p>
      <w:pPr>
        <w:pStyle w:val="8"/>
        <w:spacing w:line="500" w:lineRule="exact"/>
        <w:ind w:firstLine="480"/>
        <w:rPr>
          <w:rFonts w:ascii="宋体" w:hAnsi="宋体" w:eastAsia="宋体"/>
          <w:sz w:val="24"/>
          <w:highlight w:val="none"/>
        </w:rPr>
      </w:pPr>
      <w:r>
        <w:rPr>
          <w:rFonts w:ascii="宋体" w:hAnsi="宋体" w:eastAsia="宋体"/>
          <w:sz w:val="24"/>
          <w:highlight w:val="none"/>
        </w:rPr>
        <w:t>（1）</w:t>
      </w:r>
      <w:r>
        <w:rPr>
          <w:rFonts w:hint="eastAsia" w:ascii="宋体" w:hAnsi="宋体" w:eastAsia="宋体"/>
          <w:sz w:val="24"/>
          <w:highlight w:val="none"/>
        </w:rPr>
        <w:t>要求违约方实际履行；</w:t>
      </w:r>
    </w:p>
    <w:p>
      <w:pPr>
        <w:pStyle w:val="8"/>
        <w:spacing w:line="500" w:lineRule="exact"/>
        <w:ind w:firstLine="480"/>
        <w:rPr>
          <w:rFonts w:ascii="宋体" w:hAnsi="宋体" w:eastAsia="宋体"/>
          <w:sz w:val="24"/>
          <w:highlight w:val="none"/>
        </w:rPr>
      </w:pPr>
      <w:r>
        <w:rPr>
          <w:rFonts w:ascii="宋体" w:hAnsi="宋体" w:eastAsia="宋体"/>
          <w:sz w:val="24"/>
          <w:highlight w:val="none"/>
        </w:rPr>
        <w:t>（2）</w:t>
      </w:r>
      <w:r>
        <w:rPr>
          <w:rFonts w:hint="eastAsia" w:ascii="宋体" w:hAnsi="宋体" w:eastAsia="宋体"/>
          <w:sz w:val="24"/>
          <w:highlight w:val="none"/>
        </w:rPr>
        <w:t>暂时停止履行义务，待违约方违约情势消除后恢复履行；守约方根据此款约定暂停履行义务不构成守约方不履行或迟延履行义务；</w:t>
      </w:r>
    </w:p>
    <w:p>
      <w:pPr>
        <w:pStyle w:val="8"/>
        <w:spacing w:line="500" w:lineRule="exact"/>
        <w:ind w:firstLine="480"/>
        <w:rPr>
          <w:rFonts w:ascii="宋体" w:hAnsi="宋体" w:eastAsia="宋体"/>
          <w:sz w:val="24"/>
          <w:highlight w:val="none"/>
        </w:rPr>
      </w:pPr>
      <w:r>
        <w:rPr>
          <w:rFonts w:ascii="宋体" w:hAnsi="宋体" w:eastAsia="宋体"/>
          <w:sz w:val="24"/>
          <w:highlight w:val="none"/>
        </w:rPr>
        <w:t>（3）</w:t>
      </w:r>
      <w:r>
        <w:rPr>
          <w:rFonts w:hint="eastAsia" w:ascii="宋体" w:hAnsi="宋体" w:eastAsia="宋体"/>
          <w:sz w:val="24"/>
          <w:highlight w:val="none"/>
        </w:rPr>
        <w:t>如果任何一方违反了本协议下的任何义务，因而导致或引起另一方蒙受任何直接的损失、损害赔偿、责任、权利要求（合称为“</w:t>
      </w:r>
      <w:r>
        <w:rPr>
          <w:rFonts w:hint="eastAsia" w:ascii="宋体" w:hAnsi="宋体" w:eastAsia="宋体"/>
          <w:b/>
          <w:sz w:val="24"/>
          <w:highlight w:val="none"/>
        </w:rPr>
        <w:t>损失</w:t>
      </w:r>
      <w:r>
        <w:rPr>
          <w:rFonts w:hint="eastAsia" w:ascii="宋体" w:hAnsi="宋体" w:eastAsia="宋体"/>
          <w:sz w:val="24"/>
          <w:highlight w:val="none"/>
        </w:rPr>
        <w:t>”），则赔偿方应向受偿方做出赔偿，为受偿方辩护，使受偿方免于承担责任，但是因受偿方有蓄意处理不当所引起的损失除外；</w:t>
      </w:r>
    </w:p>
    <w:p>
      <w:pPr>
        <w:pStyle w:val="8"/>
        <w:spacing w:line="500" w:lineRule="exact"/>
        <w:ind w:firstLine="480"/>
        <w:rPr>
          <w:rFonts w:ascii="宋体" w:hAnsi="宋体" w:eastAsia="宋体"/>
          <w:sz w:val="24"/>
          <w:highlight w:val="none"/>
        </w:rPr>
      </w:pPr>
      <w:r>
        <w:rPr>
          <w:rFonts w:ascii="宋体" w:hAnsi="宋体" w:eastAsia="宋体"/>
          <w:sz w:val="24"/>
          <w:highlight w:val="none"/>
        </w:rPr>
        <w:t>（4）</w:t>
      </w:r>
      <w:r>
        <w:rPr>
          <w:rFonts w:hint="eastAsia" w:ascii="宋体" w:hAnsi="宋体" w:eastAsia="宋体"/>
          <w:sz w:val="24"/>
          <w:highlight w:val="none"/>
        </w:rPr>
        <w:t>终止本协议；</w:t>
      </w:r>
    </w:p>
    <w:p>
      <w:pPr>
        <w:pStyle w:val="8"/>
        <w:spacing w:line="500" w:lineRule="exact"/>
        <w:ind w:firstLine="480"/>
        <w:rPr>
          <w:rFonts w:ascii="宋体" w:hAnsi="宋体" w:eastAsia="宋体"/>
          <w:sz w:val="24"/>
          <w:highlight w:val="none"/>
        </w:rPr>
      </w:pPr>
      <w:r>
        <w:rPr>
          <w:rFonts w:ascii="宋体" w:hAnsi="宋体" w:eastAsia="宋体"/>
          <w:sz w:val="24"/>
          <w:highlight w:val="none"/>
        </w:rPr>
        <w:t>（5）双方约定</w:t>
      </w:r>
      <w:r>
        <w:rPr>
          <w:rFonts w:hint="eastAsia" w:ascii="宋体" w:hAnsi="宋体" w:eastAsia="宋体"/>
          <w:sz w:val="24"/>
          <w:highlight w:val="none"/>
        </w:rPr>
        <w:t>的其他救济方式。</w:t>
      </w:r>
    </w:p>
    <w:p>
      <w:pPr>
        <w:spacing w:line="500" w:lineRule="exact"/>
        <w:ind w:firstLine="482" w:firstLineChars="200"/>
        <w:rPr>
          <w:rFonts w:ascii="宋体" w:cs="宋体"/>
          <w:kern w:val="0"/>
          <w:sz w:val="24"/>
          <w:szCs w:val="24"/>
          <w:highlight w:val="none"/>
        </w:rPr>
      </w:pPr>
      <w:r>
        <w:rPr>
          <w:rFonts w:hint="eastAsia" w:ascii="宋体" w:hAnsi="宋体" w:cs="宋体"/>
          <w:b/>
          <w:kern w:val="0"/>
          <w:sz w:val="24"/>
          <w:szCs w:val="24"/>
          <w:highlight w:val="none"/>
        </w:rPr>
        <w:t>第十三条</w:t>
      </w:r>
      <w:r>
        <w:rPr>
          <w:rFonts w:hint="eastAsia" w:ascii="宋体" w:hAnsi="宋体" w:cs="宋体"/>
          <w:kern w:val="0"/>
          <w:sz w:val="24"/>
          <w:szCs w:val="24"/>
          <w:highlight w:val="none"/>
        </w:rPr>
        <w:t>未尽事宜</w:t>
      </w:r>
    </w:p>
    <w:p>
      <w:pPr>
        <w:spacing w:line="500" w:lineRule="exact"/>
        <w:ind w:firstLine="480" w:firstLineChars="200"/>
        <w:rPr>
          <w:rFonts w:ascii="宋体" w:cs="宋体"/>
          <w:kern w:val="0"/>
          <w:sz w:val="24"/>
          <w:szCs w:val="24"/>
          <w:highlight w:val="none"/>
        </w:rPr>
      </w:pPr>
      <w:r>
        <w:rPr>
          <w:rFonts w:hint="eastAsia" w:ascii="宋体" w:hAnsi="宋体" w:cs="宋体"/>
          <w:kern w:val="0"/>
          <w:sz w:val="24"/>
          <w:szCs w:val="24"/>
          <w:highlight w:val="none"/>
        </w:rPr>
        <w:t>本协议为双方就本次增资扩股行为所确定的基本原则与内容，其中涉及的各具体事项及未尽事宜，可由双方在不违反本协议规定的前提下订立补充协议，补充协议与本协议具有同等的法律效力。</w:t>
      </w:r>
    </w:p>
    <w:p>
      <w:pPr>
        <w:spacing w:line="500" w:lineRule="exact"/>
        <w:ind w:firstLine="482" w:firstLineChars="200"/>
        <w:rPr>
          <w:rFonts w:ascii="宋体" w:cs="宋体"/>
          <w:kern w:val="0"/>
          <w:sz w:val="24"/>
          <w:szCs w:val="24"/>
          <w:highlight w:val="none"/>
        </w:rPr>
      </w:pPr>
      <w:r>
        <w:rPr>
          <w:rFonts w:hint="eastAsia" w:ascii="宋体" w:hAnsi="宋体" w:cs="宋体"/>
          <w:b/>
          <w:kern w:val="0"/>
          <w:sz w:val="24"/>
          <w:szCs w:val="24"/>
          <w:highlight w:val="none"/>
        </w:rPr>
        <w:t>第十四条</w:t>
      </w:r>
      <w:r>
        <w:rPr>
          <w:rFonts w:hint="eastAsia" w:ascii="宋体" w:hAnsi="宋体" w:cs="宋体"/>
          <w:kern w:val="0"/>
          <w:sz w:val="24"/>
          <w:szCs w:val="24"/>
          <w:highlight w:val="none"/>
        </w:rPr>
        <w:t>生效</w:t>
      </w:r>
    </w:p>
    <w:p>
      <w:pPr>
        <w:spacing w:line="500" w:lineRule="exact"/>
        <w:ind w:firstLine="480" w:firstLineChars="200"/>
        <w:rPr>
          <w:rFonts w:ascii="宋体" w:cs="宋体"/>
          <w:kern w:val="0"/>
          <w:sz w:val="24"/>
          <w:szCs w:val="24"/>
          <w:highlight w:val="none"/>
        </w:rPr>
      </w:pPr>
      <w:r>
        <w:rPr>
          <w:rFonts w:hint="eastAsia" w:ascii="宋体" w:hAnsi="宋体" w:cs="宋体"/>
          <w:kern w:val="0"/>
          <w:sz w:val="24"/>
          <w:szCs w:val="24"/>
          <w:highlight w:val="none"/>
        </w:rPr>
        <w:t>本协议书于协议双方盖章或双方法定代表人或授权代表签字后生效。非经双方一致通过，不得终止本协议。</w:t>
      </w:r>
    </w:p>
    <w:p>
      <w:pPr>
        <w:spacing w:line="500" w:lineRule="exact"/>
        <w:ind w:firstLine="480" w:firstLineChars="200"/>
        <w:rPr>
          <w:rFonts w:ascii="宋体" w:cs="宋体"/>
          <w:kern w:val="0"/>
          <w:sz w:val="24"/>
          <w:szCs w:val="24"/>
          <w:highlight w:val="none"/>
        </w:rPr>
      </w:pPr>
      <w:r>
        <w:rPr>
          <w:rFonts w:hint="eastAsia" w:ascii="宋体" w:hAnsi="宋体" w:cs="宋体"/>
          <w:kern w:val="0"/>
          <w:sz w:val="24"/>
          <w:szCs w:val="24"/>
          <w:highlight w:val="none"/>
        </w:rPr>
        <w:t>本协议书一式</w:t>
      </w:r>
      <w:r>
        <w:rPr>
          <w:rFonts w:hint="eastAsia" w:ascii="宋体" w:hAnsi="宋体" w:cs="宋体"/>
          <w:kern w:val="0"/>
          <w:sz w:val="24"/>
          <w:szCs w:val="24"/>
          <w:highlight w:val="none"/>
          <w:lang w:val="en-US" w:eastAsia="zh-CN"/>
        </w:rPr>
        <w:t>拾捌（18）</w:t>
      </w:r>
      <w:r>
        <w:rPr>
          <w:rFonts w:hint="eastAsia" w:ascii="宋体" w:hAnsi="宋体" w:cs="宋体"/>
          <w:kern w:val="0"/>
          <w:sz w:val="24"/>
          <w:szCs w:val="24"/>
          <w:highlight w:val="none"/>
        </w:rPr>
        <w:t>份，甲乙及甲方原股东（</w:t>
      </w:r>
      <w:r>
        <w:rPr>
          <w:rFonts w:ascii="宋体" w:hAnsi="宋体" w:cs="宋体"/>
          <w:kern w:val="0"/>
          <w:sz w:val="24"/>
          <w:szCs w:val="24"/>
          <w:highlight w:val="none"/>
        </w:rPr>
        <w:t>9</w:t>
      </w:r>
      <w:r>
        <w:rPr>
          <w:rFonts w:hint="eastAsia" w:ascii="宋体" w:hAnsi="宋体" w:cs="宋体"/>
          <w:kern w:val="0"/>
          <w:sz w:val="24"/>
          <w:szCs w:val="24"/>
          <w:highlight w:val="none"/>
        </w:rPr>
        <w:t>家）各执</w:t>
      </w:r>
      <w:r>
        <w:rPr>
          <w:rFonts w:hint="eastAsia" w:ascii="宋体" w:hAnsi="宋体" w:cs="宋体"/>
          <w:kern w:val="0"/>
          <w:sz w:val="24"/>
          <w:szCs w:val="24"/>
          <w:highlight w:val="none"/>
          <w:lang w:val="en-US" w:eastAsia="zh-CN"/>
        </w:rPr>
        <w:t>壹</w:t>
      </w:r>
      <w:r>
        <w:rPr>
          <w:rFonts w:hint="eastAsia" w:ascii="宋体" w:hAnsi="宋体" w:cs="宋体"/>
          <w:kern w:val="0"/>
          <w:sz w:val="24"/>
          <w:szCs w:val="24"/>
          <w:highlight w:val="none"/>
        </w:rPr>
        <w:t>份，台州市产权交易所</w:t>
      </w:r>
      <w:r>
        <w:rPr>
          <w:rFonts w:hint="eastAsia" w:ascii="宋体" w:hAnsi="宋体" w:cs="宋体"/>
          <w:kern w:val="0"/>
          <w:sz w:val="24"/>
          <w:szCs w:val="24"/>
          <w:highlight w:val="none"/>
          <w:lang w:eastAsia="zh-CN"/>
        </w:rPr>
        <w:t>有限公司</w:t>
      </w:r>
      <w:r>
        <w:rPr>
          <w:rFonts w:hint="eastAsia" w:ascii="宋体" w:hAnsi="宋体" w:cs="宋体"/>
          <w:kern w:val="0"/>
          <w:sz w:val="24"/>
          <w:szCs w:val="24"/>
          <w:highlight w:val="none"/>
          <w:lang w:val="en-US" w:eastAsia="zh-CN"/>
        </w:rPr>
        <w:t>壹</w:t>
      </w:r>
      <w:r>
        <w:rPr>
          <w:rFonts w:hint="eastAsia" w:ascii="宋体" w:hAnsi="宋体" w:cs="宋体"/>
          <w:kern w:val="0"/>
          <w:sz w:val="24"/>
          <w:szCs w:val="24"/>
          <w:highlight w:val="none"/>
        </w:rPr>
        <w:t>份，备案</w:t>
      </w:r>
      <w:r>
        <w:rPr>
          <w:rFonts w:hint="eastAsia" w:ascii="宋体" w:hAnsi="宋体" w:cs="宋体"/>
          <w:kern w:val="0"/>
          <w:sz w:val="24"/>
          <w:szCs w:val="24"/>
          <w:highlight w:val="none"/>
          <w:lang w:val="en-US" w:eastAsia="zh-CN"/>
        </w:rPr>
        <w:t>肆</w:t>
      </w:r>
      <w:r>
        <w:rPr>
          <w:rFonts w:hint="eastAsia" w:ascii="宋体" w:hAnsi="宋体" w:cs="宋体"/>
          <w:kern w:val="0"/>
          <w:sz w:val="24"/>
          <w:szCs w:val="24"/>
          <w:highlight w:val="none"/>
        </w:rPr>
        <w:t>份，具有同等法律效力。</w:t>
      </w:r>
    </w:p>
    <w:p>
      <w:pPr>
        <w:spacing w:line="500" w:lineRule="exact"/>
        <w:ind w:left="720" w:leftChars="343" w:firstLine="6385" w:firstLineChars="2650"/>
        <w:rPr>
          <w:rFonts w:ascii="宋体"/>
          <w:b/>
          <w:sz w:val="24"/>
          <w:szCs w:val="24"/>
          <w:highlight w:val="none"/>
        </w:rPr>
      </w:pPr>
    </w:p>
    <w:p>
      <w:pPr>
        <w:spacing w:line="360" w:lineRule="auto"/>
        <w:rPr>
          <w:rFonts w:ascii="宋体"/>
          <w:sz w:val="24"/>
          <w:szCs w:val="24"/>
          <w:highlight w:val="none"/>
        </w:rPr>
      </w:pPr>
      <w:r>
        <w:rPr>
          <w:rFonts w:ascii="宋体"/>
          <w:sz w:val="24"/>
          <w:szCs w:val="24"/>
          <w:highlight w:val="none"/>
        </w:rPr>
        <w:br w:type="page"/>
      </w:r>
    </w:p>
    <w:p>
      <w:pPr>
        <w:spacing w:after="312" w:afterLines="100"/>
        <w:jc w:val="center"/>
        <w:rPr>
          <w:rFonts w:ascii="Times New Roman" w:hAnsi="Times New Roman" w:eastAsiaTheme="majorEastAsia"/>
          <w:sz w:val="24"/>
          <w:szCs w:val="24"/>
          <w:highlight w:val="none"/>
        </w:rPr>
      </w:pPr>
      <w:r>
        <w:rPr>
          <w:rFonts w:ascii="Times New Roman" w:hAnsi="Times New Roman" w:eastAsiaTheme="majorEastAsia"/>
          <w:sz w:val="24"/>
          <w:szCs w:val="24"/>
          <w:highlight w:val="none"/>
        </w:rPr>
        <w:t>（此页为增资</w:t>
      </w:r>
      <w:r>
        <w:rPr>
          <w:rFonts w:hint="eastAsia" w:ascii="Times New Roman" w:hAnsi="Times New Roman" w:eastAsiaTheme="majorEastAsia"/>
          <w:sz w:val="24"/>
          <w:szCs w:val="24"/>
          <w:highlight w:val="none"/>
        </w:rPr>
        <w:t>扩股</w:t>
      </w:r>
      <w:r>
        <w:rPr>
          <w:rFonts w:ascii="Times New Roman" w:hAnsi="Times New Roman" w:eastAsiaTheme="majorEastAsia"/>
          <w:sz w:val="24"/>
          <w:szCs w:val="24"/>
          <w:highlight w:val="none"/>
        </w:rPr>
        <w:t>协议签署页，无正文）</w:t>
      </w:r>
    </w:p>
    <w:p>
      <w:pPr>
        <w:spacing w:after="312" w:afterLines="100"/>
        <w:rPr>
          <w:rFonts w:ascii="Times New Roman" w:hAnsi="Times New Roman" w:eastAsiaTheme="majorEastAsia"/>
          <w:b/>
          <w:sz w:val="24"/>
          <w:szCs w:val="24"/>
          <w:highlight w:val="none"/>
        </w:rPr>
      </w:pPr>
    </w:p>
    <w:p>
      <w:pPr>
        <w:spacing w:after="312" w:afterLines="100"/>
        <w:rPr>
          <w:rFonts w:ascii="Times New Roman" w:hAnsi="Times New Roman" w:eastAsiaTheme="majorEastAsia"/>
          <w:b/>
          <w:sz w:val="24"/>
          <w:szCs w:val="24"/>
          <w:highlight w:val="none"/>
        </w:rPr>
      </w:pPr>
      <w:r>
        <w:rPr>
          <w:rFonts w:ascii="Times New Roman" w:hAnsi="Times New Roman" w:eastAsiaTheme="majorEastAsia"/>
          <w:b/>
          <w:sz w:val="24"/>
          <w:szCs w:val="24"/>
          <w:highlight w:val="none"/>
        </w:rPr>
        <w:t>甲方：</w:t>
      </w:r>
      <w:r>
        <w:rPr>
          <w:rFonts w:hint="eastAsia" w:ascii="Times New Roman" w:hAnsi="Times New Roman" w:eastAsiaTheme="majorEastAsia"/>
          <w:b/>
          <w:bCs/>
          <w:sz w:val="24"/>
          <w:szCs w:val="24"/>
          <w:highlight w:val="none"/>
        </w:rPr>
        <w:t>浙江海正生物材料股份有限公司</w:t>
      </w:r>
    </w:p>
    <w:p>
      <w:pPr>
        <w:spacing w:after="312" w:afterLines="100"/>
        <w:rPr>
          <w:rFonts w:ascii="Times New Roman" w:hAnsi="Times New Roman" w:eastAsiaTheme="majorEastAsia"/>
          <w:b/>
          <w:sz w:val="24"/>
          <w:szCs w:val="24"/>
          <w:highlight w:val="none"/>
        </w:rPr>
      </w:pPr>
      <w:r>
        <w:rPr>
          <w:rFonts w:ascii="Times New Roman" w:hAnsi="Times New Roman" w:eastAsiaTheme="majorEastAsia"/>
          <w:b/>
          <w:sz w:val="24"/>
          <w:szCs w:val="24"/>
          <w:highlight w:val="none"/>
        </w:rPr>
        <w:t>法定代表/授权代表人（签字）：</w:t>
      </w:r>
    </w:p>
    <w:p>
      <w:pPr>
        <w:spacing w:after="312" w:afterLines="100"/>
        <w:rPr>
          <w:rFonts w:ascii="Times New Roman" w:hAnsi="Times New Roman" w:eastAsiaTheme="majorEastAsia"/>
          <w:b/>
          <w:sz w:val="24"/>
          <w:szCs w:val="24"/>
          <w:highlight w:val="none"/>
        </w:rPr>
      </w:pPr>
      <w:r>
        <w:rPr>
          <w:rFonts w:ascii="Times New Roman" w:hAnsi="Times New Roman" w:eastAsiaTheme="majorEastAsia"/>
          <w:b/>
          <w:sz w:val="24"/>
          <w:szCs w:val="24"/>
          <w:highlight w:val="none"/>
        </w:rPr>
        <w:t>签署日期：</w:t>
      </w:r>
    </w:p>
    <w:p>
      <w:pPr>
        <w:spacing w:after="312" w:afterLines="100"/>
        <w:rPr>
          <w:rFonts w:ascii="Times New Roman" w:hAnsi="Times New Roman" w:eastAsiaTheme="majorEastAsia"/>
          <w:b/>
          <w:sz w:val="24"/>
          <w:szCs w:val="24"/>
          <w:highlight w:val="none"/>
        </w:rPr>
      </w:pPr>
    </w:p>
    <w:p>
      <w:pPr>
        <w:spacing w:after="312" w:afterLines="100"/>
        <w:rPr>
          <w:rFonts w:ascii="Times New Roman" w:hAnsi="Times New Roman" w:eastAsiaTheme="majorEastAsia"/>
          <w:b/>
          <w:sz w:val="24"/>
          <w:szCs w:val="24"/>
          <w:highlight w:val="none"/>
        </w:rPr>
      </w:pPr>
      <w:r>
        <w:rPr>
          <w:rFonts w:ascii="Times New Roman" w:hAnsi="Times New Roman" w:eastAsiaTheme="majorEastAsia"/>
          <w:b/>
          <w:sz w:val="24"/>
          <w:szCs w:val="24"/>
          <w:highlight w:val="none"/>
        </w:rPr>
        <w:t>乙方：</w:t>
      </w:r>
    </w:p>
    <w:p>
      <w:pPr>
        <w:spacing w:after="312" w:afterLines="100"/>
        <w:rPr>
          <w:rFonts w:ascii="Times New Roman" w:hAnsi="Times New Roman" w:eastAsiaTheme="majorEastAsia"/>
          <w:b/>
          <w:sz w:val="24"/>
          <w:szCs w:val="24"/>
          <w:highlight w:val="none"/>
        </w:rPr>
      </w:pPr>
      <w:r>
        <w:rPr>
          <w:rFonts w:ascii="Times New Roman" w:hAnsi="Times New Roman" w:eastAsiaTheme="majorEastAsia"/>
          <w:b/>
          <w:sz w:val="24"/>
          <w:szCs w:val="24"/>
          <w:highlight w:val="none"/>
        </w:rPr>
        <w:t>法定代表/授权代表人（签字）：</w:t>
      </w:r>
    </w:p>
    <w:p>
      <w:pPr>
        <w:spacing w:after="312" w:afterLines="100"/>
        <w:rPr>
          <w:rFonts w:ascii="Times New Roman" w:hAnsi="Times New Roman" w:eastAsiaTheme="majorEastAsia"/>
          <w:b/>
          <w:sz w:val="24"/>
          <w:szCs w:val="24"/>
          <w:highlight w:val="none"/>
        </w:rPr>
      </w:pPr>
      <w:r>
        <w:rPr>
          <w:rFonts w:ascii="Times New Roman" w:hAnsi="Times New Roman" w:eastAsiaTheme="majorEastAsia"/>
          <w:b/>
          <w:sz w:val="24"/>
          <w:szCs w:val="24"/>
          <w:highlight w:val="none"/>
        </w:rPr>
        <w:t>签署日期：</w:t>
      </w:r>
    </w:p>
    <w:p>
      <w:pPr>
        <w:spacing w:after="312" w:afterLines="100"/>
        <w:rPr>
          <w:rFonts w:ascii="Times New Roman" w:hAnsi="Times New Roman" w:eastAsiaTheme="majorEastAsia"/>
          <w:b/>
          <w:sz w:val="24"/>
          <w:szCs w:val="24"/>
          <w:highlight w:val="none"/>
        </w:rPr>
      </w:pPr>
    </w:p>
    <w:p>
      <w:pPr>
        <w:spacing w:after="312" w:afterLines="100"/>
        <w:rPr>
          <w:rFonts w:ascii="Times New Roman" w:hAnsi="Times New Roman" w:eastAsiaTheme="majorEastAsia"/>
          <w:b/>
          <w:sz w:val="24"/>
          <w:szCs w:val="24"/>
          <w:highlight w:val="none"/>
        </w:rPr>
      </w:pPr>
      <w:r>
        <w:rPr>
          <w:rFonts w:ascii="Times New Roman" w:hAnsi="Times New Roman" w:eastAsiaTheme="majorEastAsia"/>
          <w:b/>
          <w:sz w:val="24"/>
          <w:szCs w:val="24"/>
          <w:highlight w:val="none"/>
        </w:rPr>
        <w:t>鉴证方：台州市产权交易所有限公司</w:t>
      </w:r>
    </w:p>
    <w:p>
      <w:pPr>
        <w:spacing w:after="312" w:afterLines="100"/>
        <w:rPr>
          <w:rFonts w:ascii="Times New Roman" w:hAnsi="Times New Roman" w:eastAsiaTheme="majorEastAsia"/>
          <w:b/>
          <w:sz w:val="24"/>
          <w:szCs w:val="24"/>
          <w:highlight w:val="none"/>
        </w:rPr>
      </w:pPr>
      <w:r>
        <w:rPr>
          <w:rFonts w:ascii="Times New Roman" w:hAnsi="Times New Roman" w:eastAsiaTheme="majorEastAsia"/>
          <w:b/>
          <w:sz w:val="24"/>
          <w:szCs w:val="24"/>
          <w:highlight w:val="none"/>
        </w:rPr>
        <w:t>法定代表/授权代表人（签字）：</w:t>
      </w:r>
    </w:p>
    <w:p>
      <w:pPr>
        <w:spacing w:after="312" w:afterLines="100"/>
        <w:rPr>
          <w:rFonts w:ascii="Times New Roman" w:hAnsi="Times New Roman" w:eastAsiaTheme="majorEastAsia"/>
          <w:b/>
          <w:sz w:val="24"/>
          <w:szCs w:val="24"/>
          <w:highlight w:val="none"/>
        </w:rPr>
      </w:pPr>
      <w:r>
        <w:rPr>
          <w:rFonts w:ascii="Times New Roman" w:hAnsi="Times New Roman" w:eastAsiaTheme="majorEastAsia"/>
          <w:b/>
          <w:sz w:val="24"/>
          <w:szCs w:val="24"/>
          <w:highlight w:val="none"/>
        </w:rPr>
        <w:t>鉴证日期：</w:t>
      </w:r>
    </w:p>
    <w:p>
      <w:pPr>
        <w:spacing w:after="312" w:afterLines="100"/>
        <w:rPr>
          <w:rFonts w:ascii="Times New Roman" w:hAnsi="Times New Roman" w:eastAsiaTheme="majorEastAsia"/>
          <w:b/>
          <w:sz w:val="24"/>
          <w:szCs w:val="24"/>
          <w:highlight w:val="none"/>
        </w:rPr>
      </w:pPr>
    </w:p>
    <w:p>
      <w:pPr>
        <w:spacing w:after="312" w:afterLines="100"/>
        <w:jc w:val="right"/>
        <w:rPr>
          <w:rFonts w:ascii="Times New Roman" w:hAnsi="Times New Roman" w:eastAsiaTheme="majorEastAsia"/>
          <w:b/>
          <w:sz w:val="24"/>
          <w:szCs w:val="24"/>
          <w:highlight w:val="none"/>
        </w:rPr>
      </w:pPr>
      <w:r>
        <w:rPr>
          <w:rFonts w:ascii="Times New Roman" w:hAnsi="Times New Roman" w:eastAsiaTheme="majorEastAsia"/>
          <w:b/>
          <w:sz w:val="24"/>
          <w:szCs w:val="24"/>
          <w:highlight w:val="none"/>
        </w:rPr>
        <w:t>签署地：浙江台州</w:t>
      </w:r>
    </w:p>
    <w:p>
      <w:pPr>
        <w:spacing w:line="360" w:lineRule="auto"/>
        <w:rPr>
          <w:b/>
          <w:sz w:val="28"/>
          <w:szCs w:val="28"/>
          <w:highlight w:val="none"/>
        </w:rPr>
      </w:pPr>
    </w:p>
    <w:p>
      <w:pPr>
        <w:rPr>
          <w:highlight w:val="none"/>
        </w:rPr>
      </w:pPr>
    </w:p>
    <w:sectPr>
      <w:headerReference r:id="rId3" w:type="default"/>
      <w:footerReference r:id="rId4" w:type="default"/>
      <w:footerReference r:id="rId5" w:type="even"/>
      <w:pgSz w:w="11906" w:h="16838"/>
      <w:pgMar w:top="1440" w:right="1361" w:bottom="1440" w:left="136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方正姚体">
    <w:panose1 w:val="02010601030101010101"/>
    <w:charset w:val="86"/>
    <w:family w:val="auto"/>
    <w:pitch w:val="default"/>
    <w:sig w:usb0="00000003"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61978843"/>
    </w:sdtPr>
    <w:sdtContent>
      <w:p>
        <w:pPr>
          <w:pStyle w:val="12"/>
          <w:jc w:val="center"/>
        </w:pPr>
        <w:r>
          <w:fldChar w:fldCharType="begin"/>
        </w:r>
        <w:r>
          <w:instrText xml:space="preserve">PAGE   \* MERGEFORMAT</w:instrText>
        </w:r>
        <w:r>
          <w:fldChar w:fldCharType="separate"/>
        </w:r>
        <w:r>
          <w:rPr>
            <w:lang w:val="zh-CN"/>
          </w:rPr>
          <w:t>2</w:t>
        </w:r>
        <w:r>
          <w:rPr>
            <w:lang w:val="zh-CN"/>
          </w:rPr>
          <w:fldChar w:fldCharType="end"/>
        </w:r>
      </w:p>
    </w:sdtContent>
  </w:sdt>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1"/>
      </w:rPr>
    </w:pPr>
    <w:r>
      <w:rPr>
        <w:rStyle w:val="21"/>
      </w:rPr>
      <w:fldChar w:fldCharType="begin"/>
    </w:r>
    <w:r>
      <w:rPr>
        <w:rStyle w:val="21"/>
      </w:rPr>
      <w:instrText xml:space="preserve">PAGE  </w:instrText>
    </w:r>
    <w:r>
      <w:rPr>
        <w:rStyle w:val="21"/>
      </w:rPr>
      <w:fldChar w:fldCharType="end"/>
    </w:r>
  </w:p>
  <w:p>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BA1922"/>
    <w:multiLevelType w:val="multilevel"/>
    <w:tmpl w:val="0EBA1922"/>
    <w:lvl w:ilvl="0" w:tentative="0">
      <w:start w:val="1"/>
      <w:numFmt w:val="decimal"/>
      <w:lvlText w:val="%1."/>
      <w:lvlJc w:val="left"/>
      <w:pPr>
        <w:tabs>
          <w:tab w:val="left" w:pos="780"/>
        </w:tabs>
        <w:ind w:left="780" w:hanging="360"/>
      </w:pPr>
      <w:rPr>
        <w:rFonts w:hint="default" w:cs="Times New Roman"/>
        <w:color w:val="000000"/>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1">
    <w:nsid w:val="15F04B3D"/>
    <w:multiLevelType w:val="multilevel"/>
    <w:tmpl w:val="15F04B3D"/>
    <w:lvl w:ilvl="0" w:tentative="0">
      <w:start w:val="1"/>
      <w:numFmt w:val="decimal"/>
      <w:lvlText w:val="%1."/>
      <w:lvlJc w:val="left"/>
      <w:pPr>
        <w:tabs>
          <w:tab w:val="left" w:pos="680"/>
        </w:tabs>
        <w:ind w:firstLine="397"/>
      </w:pPr>
      <w:rPr>
        <w:rFonts w:hint="default" w:cs="Times New Roman"/>
        <w:color w:val="000000"/>
      </w:rPr>
    </w:lvl>
    <w:lvl w:ilvl="1" w:tentative="0">
      <w:start w:val="1"/>
      <w:numFmt w:val="lowerLetter"/>
      <w:lvlText w:val="%2)"/>
      <w:lvlJc w:val="left"/>
      <w:pPr>
        <w:tabs>
          <w:tab w:val="left" w:pos="1260"/>
        </w:tabs>
        <w:ind w:left="1260" w:hanging="420"/>
      </w:pPr>
      <w:rPr>
        <w:rFonts w:cs="Times New Roman"/>
      </w:rPr>
    </w:lvl>
    <w:lvl w:ilvl="2" w:tentative="0">
      <w:start w:val="1"/>
      <w:numFmt w:val="lowerRoman"/>
      <w:lvlText w:val="%3."/>
      <w:lvlJc w:val="right"/>
      <w:pPr>
        <w:tabs>
          <w:tab w:val="left" w:pos="1680"/>
        </w:tabs>
        <w:ind w:left="1680" w:hanging="420"/>
      </w:pPr>
      <w:rPr>
        <w:rFonts w:cs="Times New Roman"/>
      </w:rPr>
    </w:lvl>
    <w:lvl w:ilvl="3" w:tentative="0">
      <w:start w:val="1"/>
      <w:numFmt w:val="decimal"/>
      <w:lvlText w:val="%4."/>
      <w:lvlJc w:val="left"/>
      <w:pPr>
        <w:tabs>
          <w:tab w:val="left" w:pos="2100"/>
        </w:tabs>
        <w:ind w:left="2100" w:hanging="420"/>
      </w:pPr>
      <w:rPr>
        <w:rFonts w:cs="Times New Roman"/>
      </w:rPr>
    </w:lvl>
    <w:lvl w:ilvl="4" w:tentative="0">
      <w:start w:val="1"/>
      <w:numFmt w:val="lowerLetter"/>
      <w:lvlText w:val="%5)"/>
      <w:lvlJc w:val="left"/>
      <w:pPr>
        <w:tabs>
          <w:tab w:val="left" w:pos="2520"/>
        </w:tabs>
        <w:ind w:left="2520" w:hanging="420"/>
      </w:pPr>
      <w:rPr>
        <w:rFonts w:cs="Times New Roman"/>
      </w:rPr>
    </w:lvl>
    <w:lvl w:ilvl="5" w:tentative="0">
      <w:start w:val="1"/>
      <w:numFmt w:val="lowerRoman"/>
      <w:lvlText w:val="%6."/>
      <w:lvlJc w:val="right"/>
      <w:pPr>
        <w:tabs>
          <w:tab w:val="left" w:pos="2940"/>
        </w:tabs>
        <w:ind w:left="2940" w:hanging="420"/>
      </w:pPr>
      <w:rPr>
        <w:rFonts w:cs="Times New Roman"/>
      </w:rPr>
    </w:lvl>
    <w:lvl w:ilvl="6" w:tentative="0">
      <w:start w:val="1"/>
      <w:numFmt w:val="decimal"/>
      <w:lvlText w:val="%7."/>
      <w:lvlJc w:val="left"/>
      <w:pPr>
        <w:tabs>
          <w:tab w:val="left" w:pos="3360"/>
        </w:tabs>
        <w:ind w:left="3360" w:hanging="420"/>
      </w:pPr>
      <w:rPr>
        <w:rFonts w:cs="Times New Roman"/>
      </w:rPr>
    </w:lvl>
    <w:lvl w:ilvl="7" w:tentative="0">
      <w:start w:val="1"/>
      <w:numFmt w:val="lowerLetter"/>
      <w:lvlText w:val="%8)"/>
      <w:lvlJc w:val="left"/>
      <w:pPr>
        <w:tabs>
          <w:tab w:val="left" w:pos="3780"/>
        </w:tabs>
        <w:ind w:left="3780" w:hanging="420"/>
      </w:pPr>
      <w:rPr>
        <w:rFonts w:cs="Times New Roman"/>
      </w:rPr>
    </w:lvl>
    <w:lvl w:ilvl="8" w:tentative="0">
      <w:start w:val="1"/>
      <w:numFmt w:val="lowerRoman"/>
      <w:lvlText w:val="%9."/>
      <w:lvlJc w:val="right"/>
      <w:pPr>
        <w:tabs>
          <w:tab w:val="left" w:pos="4200"/>
        </w:tabs>
        <w:ind w:left="4200" w:hanging="420"/>
      </w:pPr>
      <w:rPr>
        <w:rFonts w:cs="Times New Roman"/>
      </w:rPr>
    </w:lvl>
  </w:abstractNum>
  <w:abstractNum w:abstractNumId="2">
    <w:nsid w:val="35843FF4"/>
    <w:multiLevelType w:val="multilevel"/>
    <w:tmpl w:val="35843FF4"/>
    <w:lvl w:ilvl="0" w:tentative="0">
      <w:start w:val="1"/>
      <w:numFmt w:val="japaneseCounting"/>
      <w:lvlText w:val="%1、"/>
      <w:lvlJc w:val="left"/>
      <w:pPr>
        <w:tabs>
          <w:tab w:val="left" w:pos="720"/>
        </w:tabs>
        <w:ind w:left="720" w:hanging="720"/>
      </w:pPr>
      <w:rPr>
        <w:rFonts w:hint="default" w:hAnsi="宋体"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3">
    <w:nsid w:val="564BF049"/>
    <w:multiLevelType w:val="singleLevel"/>
    <w:tmpl w:val="564BF049"/>
    <w:lvl w:ilvl="0" w:tentative="0">
      <w:start w:val="7"/>
      <w:numFmt w:val="chineseCounting"/>
      <w:suff w:val="nothing"/>
      <w:lvlText w:val="%1、"/>
      <w:lvlJc w:val="left"/>
    </w:lvl>
  </w:abstractNum>
  <w:abstractNum w:abstractNumId="4">
    <w:nsid w:val="67706FDB"/>
    <w:multiLevelType w:val="multilevel"/>
    <w:tmpl w:val="67706FDB"/>
    <w:lvl w:ilvl="0" w:tentative="0">
      <w:start w:val="1"/>
      <w:numFmt w:val="japaneseCounting"/>
      <w:lvlText w:val="%1、"/>
      <w:lvlJc w:val="left"/>
      <w:pPr>
        <w:ind w:left="1655" w:hanging="1095"/>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062D"/>
    <w:rsid w:val="00011453"/>
    <w:rsid w:val="0001583B"/>
    <w:rsid w:val="000174AA"/>
    <w:rsid w:val="000178EF"/>
    <w:rsid w:val="00027FA4"/>
    <w:rsid w:val="000325C3"/>
    <w:rsid w:val="00034D1B"/>
    <w:rsid w:val="00044182"/>
    <w:rsid w:val="00044DD6"/>
    <w:rsid w:val="00045748"/>
    <w:rsid w:val="000472CF"/>
    <w:rsid w:val="00047F88"/>
    <w:rsid w:val="000543F1"/>
    <w:rsid w:val="00054D77"/>
    <w:rsid w:val="00055327"/>
    <w:rsid w:val="000628A1"/>
    <w:rsid w:val="00064643"/>
    <w:rsid w:val="00074F92"/>
    <w:rsid w:val="00083140"/>
    <w:rsid w:val="0008335C"/>
    <w:rsid w:val="00093B5A"/>
    <w:rsid w:val="000960F1"/>
    <w:rsid w:val="0009716B"/>
    <w:rsid w:val="000977DE"/>
    <w:rsid w:val="000A0227"/>
    <w:rsid w:val="000A0A7A"/>
    <w:rsid w:val="000A119C"/>
    <w:rsid w:val="000A5606"/>
    <w:rsid w:val="000A57B2"/>
    <w:rsid w:val="000B2835"/>
    <w:rsid w:val="000B5975"/>
    <w:rsid w:val="000B6621"/>
    <w:rsid w:val="000C3C26"/>
    <w:rsid w:val="000C3CBF"/>
    <w:rsid w:val="000C62DA"/>
    <w:rsid w:val="000D6530"/>
    <w:rsid w:val="000D68E6"/>
    <w:rsid w:val="000E19F1"/>
    <w:rsid w:val="000E5972"/>
    <w:rsid w:val="000E5BDB"/>
    <w:rsid w:val="000E65CB"/>
    <w:rsid w:val="000E70D4"/>
    <w:rsid w:val="000F3F55"/>
    <w:rsid w:val="000F407E"/>
    <w:rsid w:val="000F500A"/>
    <w:rsid w:val="00103AD3"/>
    <w:rsid w:val="00105E84"/>
    <w:rsid w:val="0010781E"/>
    <w:rsid w:val="00116170"/>
    <w:rsid w:val="001256FA"/>
    <w:rsid w:val="001274DB"/>
    <w:rsid w:val="001277A3"/>
    <w:rsid w:val="001302F7"/>
    <w:rsid w:val="00134152"/>
    <w:rsid w:val="00136C61"/>
    <w:rsid w:val="001418F5"/>
    <w:rsid w:val="0014364C"/>
    <w:rsid w:val="00153CDB"/>
    <w:rsid w:val="00154787"/>
    <w:rsid w:val="00156C1A"/>
    <w:rsid w:val="00162DAE"/>
    <w:rsid w:val="00163778"/>
    <w:rsid w:val="001669C5"/>
    <w:rsid w:val="00170533"/>
    <w:rsid w:val="00171018"/>
    <w:rsid w:val="0017110F"/>
    <w:rsid w:val="001732CD"/>
    <w:rsid w:val="001743B2"/>
    <w:rsid w:val="00180AB4"/>
    <w:rsid w:val="00182320"/>
    <w:rsid w:val="001836F0"/>
    <w:rsid w:val="00185B9B"/>
    <w:rsid w:val="00187A41"/>
    <w:rsid w:val="00187C70"/>
    <w:rsid w:val="00194865"/>
    <w:rsid w:val="00195F78"/>
    <w:rsid w:val="00196069"/>
    <w:rsid w:val="0019704E"/>
    <w:rsid w:val="001A057A"/>
    <w:rsid w:val="001A1FE1"/>
    <w:rsid w:val="001A4B68"/>
    <w:rsid w:val="001A4DEB"/>
    <w:rsid w:val="001B5832"/>
    <w:rsid w:val="001C136E"/>
    <w:rsid w:val="001C24FC"/>
    <w:rsid w:val="001C3A0D"/>
    <w:rsid w:val="001C42A3"/>
    <w:rsid w:val="001C449A"/>
    <w:rsid w:val="001D026A"/>
    <w:rsid w:val="001D0648"/>
    <w:rsid w:val="001E0181"/>
    <w:rsid w:val="001E1042"/>
    <w:rsid w:val="001E4BE4"/>
    <w:rsid w:val="001E5B3D"/>
    <w:rsid w:val="001F5B14"/>
    <w:rsid w:val="001F6319"/>
    <w:rsid w:val="0021131D"/>
    <w:rsid w:val="00213550"/>
    <w:rsid w:val="00215D11"/>
    <w:rsid w:val="00222BB3"/>
    <w:rsid w:val="00224863"/>
    <w:rsid w:val="00227403"/>
    <w:rsid w:val="00231324"/>
    <w:rsid w:val="00231FB8"/>
    <w:rsid w:val="002356DA"/>
    <w:rsid w:val="00235C38"/>
    <w:rsid w:val="00236C2B"/>
    <w:rsid w:val="00243E13"/>
    <w:rsid w:val="00252512"/>
    <w:rsid w:val="002531BC"/>
    <w:rsid w:val="00254BE6"/>
    <w:rsid w:val="00257968"/>
    <w:rsid w:val="00261B39"/>
    <w:rsid w:val="0026245B"/>
    <w:rsid w:val="0026360D"/>
    <w:rsid w:val="002670A8"/>
    <w:rsid w:val="00272B6B"/>
    <w:rsid w:val="002766D0"/>
    <w:rsid w:val="0027676C"/>
    <w:rsid w:val="00280AAA"/>
    <w:rsid w:val="00281077"/>
    <w:rsid w:val="00281FDC"/>
    <w:rsid w:val="002908F2"/>
    <w:rsid w:val="002909AA"/>
    <w:rsid w:val="002911C3"/>
    <w:rsid w:val="00291818"/>
    <w:rsid w:val="00296FF0"/>
    <w:rsid w:val="002A0963"/>
    <w:rsid w:val="002A36DD"/>
    <w:rsid w:val="002A6BCB"/>
    <w:rsid w:val="002B3192"/>
    <w:rsid w:val="002C3307"/>
    <w:rsid w:val="002C5E2B"/>
    <w:rsid w:val="002D0439"/>
    <w:rsid w:val="002D0523"/>
    <w:rsid w:val="002D2F5D"/>
    <w:rsid w:val="002D597E"/>
    <w:rsid w:val="002D64C9"/>
    <w:rsid w:val="002E3BD3"/>
    <w:rsid w:val="002E3D69"/>
    <w:rsid w:val="002E4BC0"/>
    <w:rsid w:val="002F0261"/>
    <w:rsid w:val="002F0A7E"/>
    <w:rsid w:val="002F2B0E"/>
    <w:rsid w:val="002F3C4B"/>
    <w:rsid w:val="0030024F"/>
    <w:rsid w:val="0030065E"/>
    <w:rsid w:val="00300FD4"/>
    <w:rsid w:val="003026B5"/>
    <w:rsid w:val="00305346"/>
    <w:rsid w:val="003077F0"/>
    <w:rsid w:val="00311AA7"/>
    <w:rsid w:val="003120DE"/>
    <w:rsid w:val="00313A42"/>
    <w:rsid w:val="003140B9"/>
    <w:rsid w:val="00314CB9"/>
    <w:rsid w:val="003345D4"/>
    <w:rsid w:val="0034231A"/>
    <w:rsid w:val="003449BB"/>
    <w:rsid w:val="00344A75"/>
    <w:rsid w:val="00347953"/>
    <w:rsid w:val="003538EB"/>
    <w:rsid w:val="00357AC9"/>
    <w:rsid w:val="00361257"/>
    <w:rsid w:val="00362872"/>
    <w:rsid w:val="00363A79"/>
    <w:rsid w:val="003704A7"/>
    <w:rsid w:val="00370946"/>
    <w:rsid w:val="00370A2D"/>
    <w:rsid w:val="003750A3"/>
    <w:rsid w:val="003760D4"/>
    <w:rsid w:val="003803AD"/>
    <w:rsid w:val="00380A62"/>
    <w:rsid w:val="0038532E"/>
    <w:rsid w:val="00390354"/>
    <w:rsid w:val="0039163E"/>
    <w:rsid w:val="00393AD5"/>
    <w:rsid w:val="00397AC3"/>
    <w:rsid w:val="003A5A9C"/>
    <w:rsid w:val="003A7003"/>
    <w:rsid w:val="003A74BC"/>
    <w:rsid w:val="003A7735"/>
    <w:rsid w:val="003B3236"/>
    <w:rsid w:val="003B5FE4"/>
    <w:rsid w:val="003B6DB6"/>
    <w:rsid w:val="003B79C6"/>
    <w:rsid w:val="003C40D8"/>
    <w:rsid w:val="003D426E"/>
    <w:rsid w:val="003E1DEE"/>
    <w:rsid w:val="003E562D"/>
    <w:rsid w:val="003F2695"/>
    <w:rsid w:val="003F29E1"/>
    <w:rsid w:val="003F2DEA"/>
    <w:rsid w:val="003F2EED"/>
    <w:rsid w:val="003F7050"/>
    <w:rsid w:val="00400E67"/>
    <w:rsid w:val="0040498E"/>
    <w:rsid w:val="00405D4B"/>
    <w:rsid w:val="0041024D"/>
    <w:rsid w:val="00413AF3"/>
    <w:rsid w:val="00414257"/>
    <w:rsid w:val="00416A26"/>
    <w:rsid w:val="00417FBB"/>
    <w:rsid w:val="00420596"/>
    <w:rsid w:val="00421256"/>
    <w:rsid w:val="004238EA"/>
    <w:rsid w:val="004253F3"/>
    <w:rsid w:val="004261A8"/>
    <w:rsid w:val="004273CF"/>
    <w:rsid w:val="00437BEE"/>
    <w:rsid w:val="00440662"/>
    <w:rsid w:val="00441BDC"/>
    <w:rsid w:val="00441CDC"/>
    <w:rsid w:val="00444FD1"/>
    <w:rsid w:val="004509DE"/>
    <w:rsid w:val="00457074"/>
    <w:rsid w:val="00457D79"/>
    <w:rsid w:val="00466BE1"/>
    <w:rsid w:val="00467DE3"/>
    <w:rsid w:val="0047121E"/>
    <w:rsid w:val="00471294"/>
    <w:rsid w:val="00472FE6"/>
    <w:rsid w:val="00474C2C"/>
    <w:rsid w:val="00482D69"/>
    <w:rsid w:val="00484001"/>
    <w:rsid w:val="0048437B"/>
    <w:rsid w:val="004848A4"/>
    <w:rsid w:val="00490023"/>
    <w:rsid w:val="0049193B"/>
    <w:rsid w:val="00497733"/>
    <w:rsid w:val="004A4758"/>
    <w:rsid w:val="004B051C"/>
    <w:rsid w:val="004B4CE4"/>
    <w:rsid w:val="004C15C6"/>
    <w:rsid w:val="004C396B"/>
    <w:rsid w:val="004C49EC"/>
    <w:rsid w:val="004C4BBB"/>
    <w:rsid w:val="004C78E6"/>
    <w:rsid w:val="004D0865"/>
    <w:rsid w:val="004E0B87"/>
    <w:rsid w:val="004E4565"/>
    <w:rsid w:val="004E64EF"/>
    <w:rsid w:val="004E67BC"/>
    <w:rsid w:val="004E75E5"/>
    <w:rsid w:val="004F0115"/>
    <w:rsid w:val="004F0ACD"/>
    <w:rsid w:val="004F140A"/>
    <w:rsid w:val="004F2029"/>
    <w:rsid w:val="004F2D37"/>
    <w:rsid w:val="004F40B0"/>
    <w:rsid w:val="00500007"/>
    <w:rsid w:val="005012FA"/>
    <w:rsid w:val="00501BF8"/>
    <w:rsid w:val="00504186"/>
    <w:rsid w:val="00505F66"/>
    <w:rsid w:val="00507204"/>
    <w:rsid w:val="005122A1"/>
    <w:rsid w:val="00512367"/>
    <w:rsid w:val="005148BF"/>
    <w:rsid w:val="005158EE"/>
    <w:rsid w:val="0051632A"/>
    <w:rsid w:val="005179EC"/>
    <w:rsid w:val="00530825"/>
    <w:rsid w:val="0053189A"/>
    <w:rsid w:val="00532343"/>
    <w:rsid w:val="0053258B"/>
    <w:rsid w:val="00537210"/>
    <w:rsid w:val="00541706"/>
    <w:rsid w:val="00542C2E"/>
    <w:rsid w:val="00543B86"/>
    <w:rsid w:val="005538D5"/>
    <w:rsid w:val="00555590"/>
    <w:rsid w:val="00556FDF"/>
    <w:rsid w:val="0055701F"/>
    <w:rsid w:val="00557A9F"/>
    <w:rsid w:val="00563963"/>
    <w:rsid w:val="00564475"/>
    <w:rsid w:val="0057134C"/>
    <w:rsid w:val="00574BFD"/>
    <w:rsid w:val="00577FB1"/>
    <w:rsid w:val="00584839"/>
    <w:rsid w:val="0059254E"/>
    <w:rsid w:val="005A0B3B"/>
    <w:rsid w:val="005A0F2E"/>
    <w:rsid w:val="005A773B"/>
    <w:rsid w:val="005A7C0D"/>
    <w:rsid w:val="005B2F82"/>
    <w:rsid w:val="005B7DFB"/>
    <w:rsid w:val="005C02C4"/>
    <w:rsid w:val="005C0660"/>
    <w:rsid w:val="005C3460"/>
    <w:rsid w:val="005C44E6"/>
    <w:rsid w:val="005C4B8C"/>
    <w:rsid w:val="005C59E6"/>
    <w:rsid w:val="005C6365"/>
    <w:rsid w:val="005D0972"/>
    <w:rsid w:val="005D0D13"/>
    <w:rsid w:val="005E2574"/>
    <w:rsid w:val="005E2811"/>
    <w:rsid w:val="005E2F83"/>
    <w:rsid w:val="005E3D8F"/>
    <w:rsid w:val="005E3E10"/>
    <w:rsid w:val="005E4883"/>
    <w:rsid w:val="005F1302"/>
    <w:rsid w:val="005F46F7"/>
    <w:rsid w:val="005F7373"/>
    <w:rsid w:val="00600E8C"/>
    <w:rsid w:val="00602D9C"/>
    <w:rsid w:val="00603B09"/>
    <w:rsid w:val="00605BBB"/>
    <w:rsid w:val="00614806"/>
    <w:rsid w:val="0061644A"/>
    <w:rsid w:val="006179A5"/>
    <w:rsid w:val="00624276"/>
    <w:rsid w:val="0062584F"/>
    <w:rsid w:val="00625908"/>
    <w:rsid w:val="00626421"/>
    <w:rsid w:val="00626F21"/>
    <w:rsid w:val="00640616"/>
    <w:rsid w:val="00645FA9"/>
    <w:rsid w:val="00646200"/>
    <w:rsid w:val="006626BD"/>
    <w:rsid w:val="00665FA6"/>
    <w:rsid w:val="00680B37"/>
    <w:rsid w:val="00680DB1"/>
    <w:rsid w:val="0069294C"/>
    <w:rsid w:val="00692B45"/>
    <w:rsid w:val="006930BE"/>
    <w:rsid w:val="00693114"/>
    <w:rsid w:val="00694992"/>
    <w:rsid w:val="00694AE9"/>
    <w:rsid w:val="006A355D"/>
    <w:rsid w:val="006A4C45"/>
    <w:rsid w:val="006B2744"/>
    <w:rsid w:val="006B3BCF"/>
    <w:rsid w:val="006B4860"/>
    <w:rsid w:val="006B4E68"/>
    <w:rsid w:val="006C6E0C"/>
    <w:rsid w:val="006D2684"/>
    <w:rsid w:val="006D3210"/>
    <w:rsid w:val="006D3CB2"/>
    <w:rsid w:val="006D5780"/>
    <w:rsid w:val="006D61BE"/>
    <w:rsid w:val="006E0D9D"/>
    <w:rsid w:val="006E461A"/>
    <w:rsid w:val="006F01D4"/>
    <w:rsid w:val="006F0CA3"/>
    <w:rsid w:val="006F2713"/>
    <w:rsid w:val="006F64E5"/>
    <w:rsid w:val="006F7EEC"/>
    <w:rsid w:val="0070706B"/>
    <w:rsid w:val="007072D8"/>
    <w:rsid w:val="00710ECE"/>
    <w:rsid w:val="007120FB"/>
    <w:rsid w:val="0071314A"/>
    <w:rsid w:val="00720578"/>
    <w:rsid w:val="0073544E"/>
    <w:rsid w:val="00743588"/>
    <w:rsid w:val="0074557F"/>
    <w:rsid w:val="00745F4A"/>
    <w:rsid w:val="007475A2"/>
    <w:rsid w:val="00747ED1"/>
    <w:rsid w:val="007517EC"/>
    <w:rsid w:val="00752097"/>
    <w:rsid w:val="00752C5F"/>
    <w:rsid w:val="0075323A"/>
    <w:rsid w:val="00753483"/>
    <w:rsid w:val="007560BD"/>
    <w:rsid w:val="00760DB3"/>
    <w:rsid w:val="00760DD5"/>
    <w:rsid w:val="00761F47"/>
    <w:rsid w:val="007657E2"/>
    <w:rsid w:val="00767C54"/>
    <w:rsid w:val="00767CF1"/>
    <w:rsid w:val="00771B0D"/>
    <w:rsid w:val="0077711C"/>
    <w:rsid w:val="00787253"/>
    <w:rsid w:val="00790E80"/>
    <w:rsid w:val="007913BF"/>
    <w:rsid w:val="007953C8"/>
    <w:rsid w:val="007A175E"/>
    <w:rsid w:val="007A300A"/>
    <w:rsid w:val="007A40DD"/>
    <w:rsid w:val="007B29EA"/>
    <w:rsid w:val="007B41E8"/>
    <w:rsid w:val="007B70FF"/>
    <w:rsid w:val="007C330A"/>
    <w:rsid w:val="007C370D"/>
    <w:rsid w:val="007C3775"/>
    <w:rsid w:val="007C7B52"/>
    <w:rsid w:val="007D279C"/>
    <w:rsid w:val="007E4D02"/>
    <w:rsid w:val="007E6DCA"/>
    <w:rsid w:val="007E74B0"/>
    <w:rsid w:val="007E759B"/>
    <w:rsid w:val="007E75E5"/>
    <w:rsid w:val="007F5D5A"/>
    <w:rsid w:val="008006DE"/>
    <w:rsid w:val="008039C6"/>
    <w:rsid w:val="00803F03"/>
    <w:rsid w:val="0080402E"/>
    <w:rsid w:val="00804C75"/>
    <w:rsid w:val="00805532"/>
    <w:rsid w:val="008055D4"/>
    <w:rsid w:val="00805BDC"/>
    <w:rsid w:val="00812138"/>
    <w:rsid w:val="0081264B"/>
    <w:rsid w:val="00813D56"/>
    <w:rsid w:val="00813FD1"/>
    <w:rsid w:val="00814E8D"/>
    <w:rsid w:val="00815BE6"/>
    <w:rsid w:val="0081626B"/>
    <w:rsid w:val="0081649E"/>
    <w:rsid w:val="008177A4"/>
    <w:rsid w:val="00821FC1"/>
    <w:rsid w:val="0082247B"/>
    <w:rsid w:val="0082638E"/>
    <w:rsid w:val="008269E3"/>
    <w:rsid w:val="00827B91"/>
    <w:rsid w:val="008314A2"/>
    <w:rsid w:val="008315ED"/>
    <w:rsid w:val="00833A2B"/>
    <w:rsid w:val="00842326"/>
    <w:rsid w:val="00843758"/>
    <w:rsid w:val="00847E73"/>
    <w:rsid w:val="008522D1"/>
    <w:rsid w:val="00853372"/>
    <w:rsid w:val="00853C75"/>
    <w:rsid w:val="00854030"/>
    <w:rsid w:val="008545B2"/>
    <w:rsid w:val="00856D93"/>
    <w:rsid w:val="008579E0"/>
    <w:rsid w:val="00863788"/>
    <w:rsid w:val="00867B9A"/>
    <w:rsid w:val="00871B04"/>
    <w:rsid w:val="00875A08"/>
    <w:rsid w:val="00877525"/>
    <w:rsid w:val="00884404"/>
    <w:rsid w:val="008911FF"/>
    <w:rsid w:val="00896270"/>
    <w:rsid w:val="00897357"/>
    <w:rsid w:val="008A1F2E"/>
    <w:rsid w:val="008A7FC9"/>
    <w:rsid w:val="008B2B50"/>
    <w:rsid w:val="008B41D7"/>
    <w:rsid w:val="008B48FF"/>
    <w:rsid w:val="008B50BA"/>
    <w:rsid w:val="008C0958"/>
    <w:rsid w:val="008C1AE7"/>
    <w:rsid w:val="008C6061"/>
    <w:rsid w:val="008D2AF6"/>
    <w:rsid w:val="008D5181"/>
    <w:rsid w:val="008E26C6"/>
    <w:rsid w:val="008E4553"/>
    <w:rsid w:val="008F07AC"/>
    <w:rsid w:val="008F0B6C"/>
    <w:rsid w:val="008F368F"/>
    <w:rsid w:val="0090227F"/>
    <w:rsid w:val="00910F40"/>
    <w:rsid w:val="00913A2E"/>
    <w:rsid w:val="00922D10"/>
    <w:rsid w:val="0092472D"/>
    <w:rsid w:val="00927357"/>
    <w:rsid w:val="00932E2F"/>
    <w:rsid w:val="009378BF"/>
    <w:rsid w:val="00942E63"/>
    <w:rsid w:val="00943B67"/>
    <w:rsid w:val="0094466E"/>
    <w:rsid w:val="009514B6"/>
    <w:rsid w:val="009549AD"/>
    <w:rsid w:val="00956BC8"/>
    <w:rsid w:val="00962B83"/>
    <w:rsid w:val="00972033"/>
    <w:rsid w:val="00976337"/>
    <w:rsid w:val="00976558"/>
    <w:rsid w:val="00980273"/>
    <w:rsid w:val="0098169A"/>
    <w:rsid w:val="009848B9"/>
    <w:rsid w:val="00991923"/>
    <w:rsid w:val="0099309D"/>
    <w:rsid w:val="0099339F"/>
    <w:rsid w:val="009947CF"/>
    <w:rsid w:val="009A128E"/>
    <w:rsid w:val="009A27C6"/>
    <w:rsid w:val="009A4D08"/>
    <w:rsid w:val="009B03A9"/>
    <w:rsid w:val="009D0837"/>
    <w:rsid w:val="009D2CEB"/>
    <w:rsid w:val="009D3E18"/>
    <w:rsid w:val="009D4D56"/>
    <w:rsid w:val="009D6A0E"/>
    <w:rsid w:val="009E4346"/>
    <w:rsid w:val="009E614E"/>
    <w:rsid w:val="009F2F43"/>
    <w:rsid w:val="009F442A"/>
    <w:rsid w:val="009F5D50"/>
    <w:rsid w:val="009F64E0"/>
    <w:rsid w:val="009F6DD4"/>
    <w:rsid w:val="00A05912"/>
    <w:rsid w:val="00A06F7F"/>
    <w:rsid w:val="00A07063"/>
    <w:rsid w:val="00A07F64"/>
    <w:rsid w:val="00A101E5"/>
    <w:rsid w:val="00A10C06"/>
    <w:rsid w:val="00A11BCC"/>
    <w:rsid w:val="00A1555D"/>
    <w:rsid w:val="00A27117"/>
    <w:rsid w:val="00A30025"/>
    <w:rsid w:val="00A313AF"/>
    <w:rsid w:val="00A32632"/>
    <w:rsid w:val="00A32C0F"/>
    <w:rsid w:val="00A33721"/>
    <w:rsid w:val="00A36394"/>
    <w:rsid w:val="00A3778F"/>
    <w:rsid w:val="00A37ACE"/>
    <w:rsid w:val="00A40106"/>
    <w:rsid w:val="00A44D91"/>
    <w:rsid w:val="00A45033"/>
    <w:rsid w:val="00A45ADD"/>
    <w:rsid w:val="00A465EE"/>
    <w:rsid w:val="00A467BA"/>
    <w:rsid w:val="00A473B0"/>
    <w:rsid w:val="00A50A13"/>
    <w:rsid w:val="00A54943"/>
    <w:rsid w:val="00A573B8"/>
    <w:rsid w:val="00A57524"/>
    <w:rsid w:val="00A579A4"/>
    <w:rsid w:val="00A65237"/>
    <w:rsid w:val="00A72D1A"/>
    <w:rsid w:val="00A73808"/>
    <w:rsid w:val="00A7430C"/>
    <w:rsid w:val="00A75B31"/>
    <w:rsid w:val="00A772EC"/>
    <w:rsid w:val="00A80F26"/>
    <w:rsid w:val="00A83C94"/>
    <w:rsid w:val="00A90C74"/>
    <w:rsid w:val="00AA078E"/>
    <w:rsid w:val="00AA0D64"/>
    <w:rsid w:val="00AA224A"/>
    <w:rsid w:val="00AA2D92"/>
    <w:rsid w:val="00AA5228"/>
    <w:rsid w:val="00AA53C4"/>
    <w:rsid w:val="00AA54F9"/>
    <w:rsid w:val="00AA69D0"/>
    <w:rsid w:val="00AB0677"/>
    <w:rsid w:val="00AB1488"/>
    <w:rsid w:val="00AB35C6"/>
    <w:rsid w:val="00AB4838"/>
    <w:rsid w:val="00AB7341"/>
    <w:rsid w:val="00AC01D0"/>
    <w:rsid w:val="00AC02D5"/>
    <w:rsid w:val="00AC5204"/>
    <w:rsid w:val="00AD0EE9"/>
    <w:rsid w:val="00AD12DD"/>
    <w:rsid w:val="00AE0116"/>
    <w:rsid w:val="00AE488C"/>
    <w:rsid w:val="00AE4FA7"/>
    <w:rsid w:val="00B02024"/>
    <w:rsid w:val="00B11DB6"/>
    <w:rsid w:val="00B14BA8"/>
    <w:rsid w:val="00B167C6"/>
    <w:rsid w:val="00B201D9"/>
    <w:rsid w:val="00B2261B"/>
    <w:rsid w:val="00B22D3D"/>
    <w:rsid w:val="00B24FE2"/>
    <w:rsid w:val="00B25630"/>
    <w:rsid w:val="00B2594C"/>
    <w:rsid w:val="00B31E45"/>
    <w:rsid w:val="00B348DA"/>
    <w:rsid w:val="00B37C7E"/>
    <w:rsid w:val="00B40932"/>
    <w:rsid w:val="00B55295"/>
    <w:rsid w:val="00B5708F"/>
    <w:rsid w:val="00B641B7"/>
    <w:rsid w:val="00B6573B"/>
    <w:rsid w:val="00B75587"/>
    <w:rsid w:val="00B8697C"/>
    <w:rsid w:val="00B87E02"/>
    <w:rsid w:val="00BA09FF"/>
    <w:rsid w:val="00BA0D74"/>
    <w:rsid w:val="00BA37CF"/>
    <w:rsid w:val="00BA5A64"/>
    <w:rsid w:val="00BB25A1"/>
    <w:rsid w:val="00BB49CE"/>
    <w:rsid w:val="00BB6186"/>
    <w:rsid w:val="00BB6C4E"/>
    <w:rsid w:val="00BC707A"/>
    <w:rsid w:val="00BC76AC"/>
    <w:rsid w:val="00BC78EE"/>
    <w:rsid w:val="00BD2221"/>
    <w:rsid w:val="00BD2C1A"/>
    <w:rsid w:val="00BD3084"/>
    <w:rsid w:val="00BE132D"/>
    <w:rsid w:val="00BF2251"/>
    <w:rsid w:val="00C002F5"/>
    <w:rsid w:val="00C03FA0"/>
    <w:rsid w:val="00C04217"/>
    <w:rsid w:val="00C04FF6"/>
    <w:rsid w:val="00C1127C"/>
    <w:rsid w:val="00C12A59"/>
    <w:rsid w:val="00C15AF7"/>
    <w:rsid w:val="00C20C3D"/>
    <w:rsid w:val="00C20F22"/>
    <w:rsid w:val="00C249D7"/>
    <w:rsid w:val="00C26889"/>
    <w:rsid w:val="00C31DC2"/>
    <w:rsid w:val="00C41EA1"/>
    <w:rsid w:val="00C428AB"/>
    <w:rsid w:val="00C50C41"/>
    <w:rsid w:val="00C514B2"/>
    <w:rsid w:val="00C515E9"/>
    <w:rsid w:val="00C70960"/>
    <w:rsid w:val="00C71D93"/>
    <w:rsid w:val="00C75BC0"/>
    <w:rsid w:val="00C76D35"/>
    <w:rsid w:val="00C7701F"/>
    <w:rsid w:val="00C800D7"/>
    <w:rsid w:val="00C826E1"/>
    <w:rsid w:val="00C850B8"/>
    <w:rsid w:val="00C858BF"/>
    <w:rsid w:val="00C86473"/>
    <w:rsid w:val="00C9068C"/>
    <w:rsid w:val="00C956AB"/>
    <w:rsid w:val="00C96281"/>
    <w:rsid w:val="00C966AF"/>
    <w:rsid w:val="00CA5059"/>
    <w:rsid w:val="00CA7DAA"/>
    <w:rsid w:val="00CB1860"/>
    <w:rsid w:val="00CB4094"/>
    <w:rsid w:val="00CB412C"/>
    <w:rsid w:val="00CB6400"/>
    <w:rsid w:val="00CC0C0F"/>
    <w:rsid w:val="00CC28DC"/>
    <w:rsid w:val="00CC4235"/>
    <w:rsid w:val="00CC5AFB"/>
    <w:rsid w:val="00CC68BA"/>
    <w:rsid w:val="00CC6DCB"/>
    <w:rsid w:val="00CD0236"/>
    <w:rsid w:val="00CD1C55"/>
    <w:rsid w:val="00CD20CC"/>
    <w:rsid w:val="00CD6EB6"/>
    <w:rsid w:val="00CD7236"/>
    <w:rsid w:val="00CD7CA9"/>
    <w:rsid w:val="00CE0B13"/>
    <w:rsid w:val="00CE2F0C"/>
    <w:rsid w:val="00CF08FA"/>
    <w:rsid w:val="00CF138F"/>
    <w:rsid w:val="00CF3941"/>
    <w:rsid w:val="00CF49D4"/>
    <w:rsid w:val="00CF5BE1"/>
    <w:rsid w:val="00D00A9E"/>
    <w:rsid w:val="00D01402"/>
    <w:rsid w:val="00D049E3"/>
    <w:rsid w:val="00D061CC"/>
    <w:rsid w:val="00D14DA9"/>
    <w:rsid w:val="00D20B3B"/>
    <w:rsid w:val="00D212E4"/>
    <w:rsid w:val="00D241F4"/>
    <w:rsid w:val="00D251F3"/>
    <w:rsid w:val="00D264FD"/>
    <w:rsid w:val="00D32E08"/>
    <w:rsid w:val="00D33095"/>
    <w:rsid w:val="00D34051"/>
    <w:rsid w:val="00D34692"/>
    <w:rsid w:val="00D34AEC"/>
    <w:rsid w:val="00D35DE7"/>
    <w:rsid w:val="00D363EF"/>
    <w:rsid w:val="00D4168B"/>
    <w:rsid w:val="00D43780"/>
    <w:rsid w:val="00D439BF"/>
    <w:rsid w:val="00D462E2"/>
    <w:rsid w:val="00D46C35"/>
    <w:rsid w:val="00D472A4"/>
    <w:rsid w:val="00D51B8B"/>
    <w:rsid w:val="00D52A79"/>
    <w:rsid w:val="00D54B56"/>
    <w:rsid w:val="00D55613"/>
    <w:rsid w:val="00D601B4"/>
    <w:rsid w:val="00D61712"/>
    <w:rsid w:val="00D6458F"/>
    <w:rsid w:val="00D71C0A"/>
    <w:rsid w:val="00D71CF9"/>
    <w:rsid w:val="00D74C26"/>
    <w:rsid w:val="00D76411"/>
    <w:rsid w:val="00D804B2"/>
    <w:rsid w:val="00D80A11"/>
    <w:rsid w:val="00D81286"/>
    <w:rsid w:val="00D823C1"/>
    <w:rsid w:val="00D84C84"/>
    <w:rsid w:val="00D8565E"/>
    <w:rsid w:val="00D868FA"/>
    <w:rsid w:val="00D8781D"/>
    <w:rsid w:val="00DA3B97"/>
    <w:rsid w:val="00DA41D3"/>
    <w:rsid w:val="00DB1630"/>
    <w:rsid w:val="00DB1B67"/>
    <w:rsid w:val="00DC5FEB"/>
    <w:rsid w:val="00DD3490"/>
    <w:rsid w:val="00DD6DFB"/>
    <w:rsid w:val="00DE46D4"/>
    <w:rsid w:val="00DE4753"/>
    <w:rsid w:val="00DE6AFC"/>
    <w:rsid w:val="00DF2152"/>
    <w:rsid w:val="00DF4FA5"/>
    <w:rsid w:val="00E01ABE"/>
    <w:rsid w:val="00E02CDC"/>
    <w:rsid w:val="00E14E38"/>
    <w:rsid w:val="00E326D5"/>
    <w:rsid w:val="00E32904"/>
    <w:rsid w:val="00E3456A"/>
    <w:rsid w:val="00E378EC"/>
    <w:rsid w:val="00E41A2C"/>
    <w:rsid w:val="00E42A77"/>
    <w:rsid w:val="00E43DFC"/>
    <w:rsid w:val="00E45183"/>
    <w:rsid w:val="00E4720D"/>
    <w:rsid w:val="00E51985"/>
    <w:rsid w:val="00E54FF7"/>
    <w:rsid w:val="00E55112"/>
    <w:rsid w:val="00E601EE"/>
    <w:rsid w:val="00E60C47"/>
    <w:rsid w:val="00E6100E"/>
    <w:rsid w:val="00E613C5"/>
    <w:rsid w:val="00E63305"/>
    <w:rsid w:val="00E7066E"/>
    <w:rsid w:val="00E71C88"/>
    <w:rsid w:val="00E759C0"/>
    <w:rsid w:val="00E80EA9"/>
    <w:rsid w:val="00E8115B"/>
    <w:rsid w:val="00E8715B"/>
    <w:rsid w:val="00E90523"/>
    <w:rsid w:val="00E90A0D"/>
    <w:rsid w:val="00E96880"/>
    <w:rsid w:val="00EA58B6"/>
    <w:rsid w:val="00EA7C64"/>
    <w:rsid w:val="00EB7236"/>
    <w:rsid w:val="00EB7237"/>
    <w:rsid w:val="00EC056D"/>
    <w:rsid w:val="00EC062D"/>
    <w:rsid w:val="00EC4F19"/>
    <w:rsid w:val="00ED58F3"/>
    <w:rsid w:val="00EE1601"/>
    <w:rsid w:val="00EE5CAF"/>
    <w:rsid w:val="00EE5F7C"/>
    <w:rsid w:val="00EE677E"/>
    <w:rsid w:val="00EE7377"/>
    <w:rsid w:val="00EF03FF"/>
    <w:rsid w:val="00EF7080"/>
    <w:rsid w:val="00F04792"/>
    <w:rsid w:val="00F04D66"/>
    <w:rsid w:val="00F06F8A"/>
    <w:rsid w:val="00F0743A"/>
    <w:rsid w:val="00F12683"/>
    <w:rsid w:val="00F13B77"/>
    <w:rsid w:val="00F13D17"/>
    <w:rsid w:val="00F1417D"/>
    <w:rsid w:val="00F158C4"/>
    <w:rsid w:val="00F17A87"/>
    <w:rsid w:val="00F225F8"/>
    <w:rsid w:val="00F23FA0"/>
    <w:rsid w:val="00F265B5"/>
    <w:rsid w:val="00F4651C"/>
    <w:rsid w:val="00F520BC"/>
    <w:rsid w:val="00F5786E"/>
    <w:rsid w:val="00F57E2C"/>
    <w:rsid w:val="00F7228A"/>
    <w:rsid w:val="00F726A1"/>
    <w:rsid w:val="00F83587"/>
    <w:rsid w:val="00F83FDC"/>
    <w:rsid w:val="00F9332B"/>
    <w:rsid w:val="00F94FDE"/>
    <w:rsid w:val="00F95141"/>
    <w:rsid w:val="00F969AF"/>
    <w:rsid w:val="00F97D50"/>
    <w:rsid w:val="00FA3BF4"/>
    <w:rsid w:val="00FA645F"/>
    <w:rsid w:val="00FB0AA6"/>
    <w:rsid w:val="00FB2580"/>
    <w:rsid w:val="00FB2C07"/>
    <w:rsid w:val="00FB3F37"/>
    <w:rsid w:val="00FB52EC"/>
    <w:rsid w:val="00FB68BD"/>
    <w:rsid w:val="00FC211B"/>
    <w:rsid w:val="00FC2C10"/>
    <w:rsid w:val="00FC42EC"/>
    <w:rsid w:val="00FC4AEC"/>
    <w:rsid w:val="00FD1B0F"/>
    <w:rsid w:val="00FD5D04"/>
    <w:rsid w:val="00FE3F70"/>
    <w:rsid w:val="00FE4527"/>
    <w:rsid w:val="00FF084B"/>
    <w:rsid w:val="00FF1384"/>
    <w:rsid w:val="00FF15D3"/>
    <w:rsid w:val="00FF1E04"/>
    <w:rsid w:val="00FF2C59"/>
    <w:rsid w:val="00FF3917"/>
    <w:rsid w:val="01A0546F"/>
    <w:rsid w:val="02016C1C"/>
    <w:rsid w:val="02901CAB"/>
    <w:rsid w:val="03780F6C"/>
    <w:rsid w:val="037A4EFE"/>
    <w:rsid w:val="04232E9C"/>
    <w:rsid w:val="042C71CC"/>
    <w:rsid w:val="044C7DE8"/>
    <w:rsid w:val="060C0176"/>
    <w:rsid w:val="07204E1D"/>
    <w:rsid w:val="085C2DFA"/>
    <w:rsid w:val="08B7492F"/>
    <w:rsid w:val="09267901"/>
    <w:rsid w:val="095B0084"/>
    <w:rsid w:val="098A0181"/>
    <w:rsid w:val="09AB5D86"/>
    <w:rsid w:val="09E17B50"/>
    <w:rsid w:val="0A725794"/>
    <w:rsid w:val="0A9F3134"/>
    <w:rsid w:val="0AA40DCD"/>
    <w:rsid w:val="0AC128F0"/>
    <w:rsid w:val="0BBA1D6E"/>
    <w:rsid w:val="0C5F0B9B"/>
    <w:rsid w:val="0CCE32D4"/>
    <w:rsid w:val="0D2D3762"/>
    <w:rsid w:val="0D65246F"/>
    <w:rsid w:val="0D972C4B"/>
    <w:rsid w:val="0E3F47D7"/>
    <w:rsid w:val="0ED467C2"/>
    <w:rsid w:val="0F47765A"/>
    <w:rsid w:val="10092B88"/>
    <w:rsid w:val="10450A76"/>
    <w:rsid w:val="10574A40"/>
    <w:rsid w:val="111D0ED3"/>
    <w:rsid w:val="1276267C"/>
    <w:rsid w:val="127A2265"/>
    <w:rsid w:val="12841EF5"/>
    <w:rsid w:val="12986D39"/>
    <w:rsid w:val="13D90EB1"/>
    <w:rsid w:val="145354E3"/>
    <w:rsid w:val="14A24AD7"/>
    <w:rsid w:val="14C11273"/>
    <w:rsid w:val="14F548A4"/>
    <w:rsid w:val="14FE66F5"/>
    <w:rsid w:val="155D3A47"/>
    <w:rsid w:val="16326D46"/>
    <w:rsid w:val="16487A93"/>
    <w:rsid w:val="16841E2B"/>
    <w:rsid w:val="16A93651"/>
    <w:rsid w:val="16AA5407"/>
    <w:rsid w:val="16CF0A1B"/>
    <w:rsid w:val="16D775E3"/>
    <w:rsid w:val="17014C3E"/>
    <w:rsid w:val="17930EBE"/>
    <w:rsid w:val="17C212B8"/>
    <w:rsid w:val="182B07DB"/>
    <w:rsid w:val="1874160D"/>
    <w:rsid w:val="1877782C"/>
    <w:rsid w:val="19630D3C"/>
    <w:rsid w:val="19CE4EDD"/>
    <w:rsid w:val="19F63980"/>
    <w:rsid w:val="1AC86D55"/>
    <w:rsid w:val="1B0E0727"/>
    <w:rsid w:val="1B452D22"/>
    <w:rsid w:val="1BBF1C93"/>
    <w:rsid w:val="1C356D37"/>
    <w:rsid w:val="1CA13E71"/>
    <w:rsid w:val="1DA80471"/>
    <w:rsid w:val="1DBD1FBC"/>
    <w:rsid w:val="1E02479D"/>
    <w:rsid w:val="1F722F1F"/>
    <w:rsid w:val="1FC52E2B"/>
    <w:rsid w:val="1FEC64AB"/>
    <w:rsid w:val="20252312"/>
    <w:rsid w:val="203715E8"/>
    <w:rsid w:val="20F85AFC"/>
    <w:rsid w:val="213458C4"/>
    <w:rsid w:val="232D6293"/>
    <w:rsid w:val="238315CB"/>
    <w:rsid w:val="23970A91"/>
    <w:rsid w:val="23B37539"/>
    <w:rsid w:val="23FB21FF"/>
    <w:rsid w:val="2480011C"/>
    <w:rsid w:val="250D6DE4"/>
    <w:rsid w:val="25312517"/>
    <w:rsid w:val="255C301F"/>
    <w:rsid w:val="25765A93"/>
    <w:rsid w:val="26287D24"/>
    <w:rsid w:val="27223C7F"/>
    <w:rsid w:val="27864BEB"/>
    <w:rsid w:val="27B117BB"/>
    <w:rsid w:val="27B629EC"/>
    <w:rsid w:val="28553375"/>
    <w:rsid w:val="285749E4"/>
    <w:rsid w:val="29214FB2"/>
    <w:rsid w:val="29E06373"/>
    <w:rsid w:val="2A437E51"/>
    <w:rsid w:val="2A5469F2"/>
    <w:rsid w:val="2B3667A8"/>
    <w:rsid w:val="2BE17D66"/>
    <w:rsid w:val="2C754CE8"/>
    <w:rsid w:val="2CF613E6"/>
    <w:rsid w:val="2CFF3FAF"/>
    <w:rsid w:val="2DF2034E"/>
    <w:rsid w:val="2DF33E0A"/>
    <w:rsid w:val="2F6B5F2C"/>
    <w:rsid w:val="2FEFD382"/>
    <w:rsid w:val="301E0A94"/>
    <w:rsid w:val="303A31BE"/>
    <w:rsid w:val="305C2A04"/>
    <w:rsid w:val="30DF0DFB"/>
    <w:rsid w:val="325C4313"/>
    <w:rsid w:val="32783B44"/>
    <w:rsid w:val="32FD1CD8"/>
    <w:rsid w:val="34586D34"/>
    <w:rsid w:val="35444092"/>
    <w:rsid w:val="35A00F66"/>
    <w:rsid w:val="364F5374"/>
    <w:rsid w:val="374F3031"/>
    <w:rsid w:val="375B2521"/>
    <w:rsid w:val="383566A4"/>
    <w:rsid w:val="386045A4"/>
    <w:rsid w:val="38A119A2"/>
    <w:rsid w:val="38E55F3A"/>
    <w:rsid w:val="39CC6DDC"/>
    <w:rsid w:val="39D65B9B"/>
    <w:rsid w:val="3A06505C"/>
    <w:rsid w:val="3B3E607B"/>
    <w:rsid w:val="3BFF7FD9"/>
    <w:rsid w:val="3D766D10"/>
    <w:rsid w:val="3DC965C7"/>
    <w:rsid w:val="3F6B416C"/>
    <w:rsid w:val="41173BF3"/>
    <w:rsid w:val="412835B6"/>
    <w:rsid w:val="414A4BA3"/>
    <w:rsid w:val="415F4055"/>
    <w:rsid w:val="417501BE"/>
    <w:rsid w:val="41823541"/>
    <w:rsid w:val="427F3DC8"/>
    <w:rsid w:val="42812EC2"/>
    <w:rsid w:val="43825E8A"/>
    <w:rsid w:val="43BA1DDD"/>
    <w:rsid w:val="44DA7F50"/>
    <w:rsid w:val="44F55679"/>
    <w:rsid w:val="45212235"/>
    <w:rsid w:val="45415920"/>
    <w:rsid w:val="45C942BA"/>
    <w:rsid w:val="4706731E"/>
    <w:rsid w:val="47AB465B"/>
    <w:rsid w:val="47CE7324"/>
    <w:rsid w:val="4880585B"/>
    <w:rsid w:val="48A4765C"/>
    <w:rsid w:val="49033183"/>
    <w:rsid w:val="4942211B"/>
    <w:rsid w:val="49E102CF"/>
    <w:rsid w:val="49F26C6C"/>
    <w:rsid w:val="4A1B7AE2"/>
    <w:rsid w:val="4B1A63D0"/>
    <w:rsid w:val="4BE23180"/>
    <w:rsid w:val="4C7A3355"/>
    <w:rsid w:val="4D122708"/>
    <w:rsid w:val="4D847C59"/>
    <w:rsid w:val="4DDF1DA3"/>
    <w:rsid w:val="4E1F427E"/>
    <w:rsid w:val="4F220FEE"/>
    <w:rsid w:val="4F2C045A"/>
    <w:rsid w:val="4F6A1800"/>
    <w:rsid w:val="4F700BC5"/>
    <w:rsid w:val="4F935C25"/>
    <w:rsid w:val="4FEB7D48"/>
    <w:rsid w:val="50161040"/>
    <w:rsid w:val="503D7A18"/>
    <w:rsid w:val="504C52B3"/>
    <w:rsid w:val="509A258E"/>
    <w:rsid w:val="517102E3"/>
    <w:rsid w:val="51EA37A6"/>
    <w:rsid w:val="51EE2E25"/>
    <w:rsid w:val="54196BD7"/>
    <w:rsid w:val="54636F09"/>
    <w:rsid w:val="54BF277F"/>
    <w:rsid w:val="55E8693F"/>
    <w:rsid w:val="56C66196"/>
    <w:rsid w:val="5810512B"/>
    <w:rsid w:val="59717C8E"/>
    <w:rsid w:val="59974CE0"/>
    <w:rsid w:val="599D7523"/>
    <w:rsid w:val="5AF450CC"/>
    <w:rsid w:val="5DEA0B0D"/>
    <w:rsid w:val="5E323B31"/>
    <w:rsid w:val="5E7530A0"/>
    <w:rsid w:val="5EF444AC"/>
    <w:rsid w:val="5F476A25"/>
    <w:rsid w:val="5F867E1D"/>
    <w:rsid w:val="5FBA7160"/>
    <w:rsid w:val="609A6DB1"/>
    <w:rsid w:val="60FA37FA"/>
    <w:rsid w:val="610105DB"/>
    <w:rsid w:val="614D4522"/>
    <w:rsid w:val="61C542AA"/>
    <w:rsid w:val="62E810C9"/>
    <w:rsid w:val="63217225"/>
    <w:rsid w:val="66EE15A0"/>
    <w:rsid w:val="67AC7D81"/>
    <w:rsid w:val="68E52B21"/>
    <w:rsid w:val="69854BF4"/>
    <w:rsid w:val="69C42C34"/>
    <w:rsid w:val="69D67B8A"/>
    <w:rsid w:val="6A682F9E"/>
    <w:rsid w:val="6B311500"/>
    <w:rsid w:val="6B350B88"/>
    <w:rsid w:val="6BB02736"/>
    <w:rsid w:val="6BE366C4"/>
    <w:rsid w:val="6DD45695"/>
    <w:rsid w:val="6DDF6DAC"/>
    <w:rsid w:val="6E411F3E"/>
    <w:rsid w:val="705C23FF"/>
    <w:rsid w:val="707F2EBC"/>
    <w:rsid w:val="70D94D54"/>
    <w:rsid w:val="713E1DC0"/>
    <w:rsid w:val="72D44D2A"/>
    <w:rsid w:val="74157D2E"/>
    <w:rsid w:val="74583597"/>
    <w:rsid w:val="748A65DA"/>
    <w:rsid w:val="74D94576"/>
    <w:rsid w:val="75100CCD"/>
    <w:rsid w:val="758A31CA"/>
    <w:rsid w:val="75F55FF5"/>
    <w:rsid w:val="76544DE8"/>
    <w:rsid w:val="766C5EAF"/>
    <w:rsid w:val="774B0FFA"/>
    <w:rsid w:val="77F72A6A"/>
    <w:rsid w:val="77FA03F8"/>
    <w:rsid w:val="78A40D9F"/>
    <w:rsid w:val="794027B5"/>
    <w:rsid w:val="79A46BED"/>
    <w:rsid w:val="7A225FA6"/>
    <w:rsid w:val="7A2B7BFF"/>
    <w:rsid w:val="7B082B46"/>
    <w:rsid w:val="7B563F55"/>
    <w:rsid w:val="7BA17250"/>
    <w:rsid w:val="7BC10861"/>
    <w:rsid w:val="7BDF0C60"/>
    <w:rsid w:val="7BEE2E81"/>
    <w:rsid w:val="7BF159AD"/>
    <w:rsid w:val="7C0055C0"/>
    <w:rsid w:val="7C425CFF"/>
    <w:rsid w:val="7CA20C34"/>
    <w:rsid w:val="7CA76CFB"/>
    <w:rsid w:val="7CD75EFA"/>
    <w:rsid w:val="7D0462CE"/>
    <w:rsid w:val="7D68718A"/>
    <w:rsid w:val="7D9C71A1"/>
    <w:rsid w:val="7F301C59"/>
    <w:rsid w:val="7F345E0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25"/>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46"/>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5"/>
    <w:semiHidden/>
    <w:unhideWhenUsed/>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5">
    <w:name w:val="Document Map"/>
    <w:basedOn w:val="1"/>
    <w:link w:val="48"/>
    <w:semiHidden/>
    <w:unhideWhenUsed/>
    <w:qFormat/>
    <w:uiPriority w:val="0"/>
    <w:rPr>
      <w:rFonts w:ascii="宋体"/>
      <w:sz w:val="18"/>
      <w:szCs w:val="18"/>
    </w:rPr>
  </w:style>
  <w:style w:type="paragraph" w:styleId="6">
    <w:name w:val="annotation text"/>
    <w:basedOn w:val="1"/>
    <w:link w:val="40"/>
    <w:qFormat/>
    <w:uiPriority w:val="0"/>
    <w:pPr>
      <w:jc w:val="left"/>
    </w:pPr>
    <w:rPr>
      <w:lang w:val="zh-CN"/>
    </w:rPr>
  </w:style>
  <w:style w:type="paragraph" w:styleId="7">
    <w:name w:val="Body Text"/>
    <w:basedOn w:val="1"/>
    <w:link w:val="47"/>
    <w:unhideWhenUsed/>
    <w:qFormat/>
    <w:uiPriority w:val="0"/>
    <w:pPr>
      <w:spacing w:after="120"/>
    </w:pPr>
  </w:style>
  <w:style w:type="paragraph" w:styleId="8">
    <w:name w:val="Body Text Indent"/>
    <w:basedOn w:val="1"/>
    <w:link w:val="26"/>
    <w:qFormat/>
    <w:uiPriority w:val="0"/>
    <w:pPr>
      <w:ind w:firstLine="640" w:firstLineChars="200"/>
    </w:pPr>
    <w:rPr>
      <w:rFonts w:eastAsia="仿宋_GB2312"/>
      <w:sz w:val="32"/>
      <w:szCs w:val="24"/>
    </w:rPr>
  </w:style>
  <w:style w:type="paragraph" w:styleId="9">
    <w:name w:val="Date"/>
    <w:basedOn w:val="1"/>
    <w:next w:val="1"/>
    <w:link w:val="42"/>
    <w:unhideWhenUsed/>
    <w:qFormat/>
    <w:uiPriority w:val="0"/>
    <w:pPr>
      <w:ind w:left="100" w:leftChars="2500"/>
    </w:pPr>
  </w:style>
  <w:style w:type="paragraph" w:styleId="10">
    <w:name w:val="Body Text Indent 2"/>
    <w:basedOn w:val="1"/>
    <w:link w:val="27"/>
    <w:qFormat/>
    <w:uiPriority w:val="0"/>
    <w:pPr>
      <w:spacing w:after="120" w:line="480" w:lineRule="auto"/>
      <w:ind w:left="420" w:leftChars="200"/>
    </w:pPr>
    <w:rPr>
      <w:szCs w:val="24"/>
    </w:rPr>
  </w:style>
  <w:style w:type="paragraph" w:styleId="11">
    <w:name w:val="Balloon Text"/>
    <w:basedOn w:val="1"/>
    <w:link w:val="28"/>
    <w:semiHidden/>
    <w:qFormat/>
    <w:uiPriority w:val="0"/>
    <w:rPr>
      <w:sz w:val="18"/>
      <w:szCs w:val="18"/>
    </w:rPr>
  </w:style>
  <w:style w:type="paragraph" w:styleId="12">
    <w:name w:val="footer"/>
    <w:basedOn w:val="1"/>
    <w:link w:val="29"/>
    <w:qFormat/>
    <w:uiPriority w:val="99"/>
    <w:pPr>
      <w:tabs>
        <w:tab w:val="center" w:pos="4153"/>
        <w:tab w:val="right" w:pos="8306"/>
      </w:tabs>
      <w:snapToGrid w:val="0"/>
      <w:jc w:val="left"/>
    </w:pPr>
    <w:rPr>
      <w:sz w:val="18"/>
      <w:szCs w:val="18"/>
    </w:rPr>
  </w:style>
  <w:style w:type="paragraph" w:styleId="13">
    <w:name w:val="header"/>
    <w:basedOn w:val="1"/>
    <w:link w:val="30"/>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pPr>
      <w:tabs>
        <w:tab w:val="right" w:leader="dot" w:pos="8296"/>
      </w:tabs>
      <w:spacing w:line="480" w:lineRule="auto"/>
    </w:pPr>
    <w:rPr>
      <w:rFonts w:ascii="Times New Roman" w:hAnsi="Times New Roman"/>
      <w:szCs w:val="20"/>
    </w:rPr>
  </w:style>
  <w:style w:type="paragraph" w:styleId="15">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6">
    <w:name w:val="Title"/>
    <w:basedOn w:val="1"/>
    <w:next w:val="1"/>
    <w:link w:val="31"/>
    <w:qFormat/>
    <w:uiPriority w:val="0"/>
    <w:pPr>
      <w:spacing w:before="240" w:after="60"/>
      <w:jc w:val="center"/>
      <w:outlineLvl w:val="0"/>
    </w:pPr>
    <w:rPr>
      <w:rFonts w:ascii="Cambria" w:hAnsi="Cambria"/>
      <w:b/>
      <w:bCs/>
      <w:sz w:val="32"/>
      <w:szCs w:val="32"/>
    </w:rPr>
  </w:style>
  <w:style w:type="paragraph" w:styleId="17">
    <w:name w:val="annotation subject"/>
    <w:basedOn w:val="6"/>
    <w:next w:val="6"/>
    <w:link w:val="41"/>
    <w:qFormat/>
    <w:uiPriority w:val="0"/>
    <w:rPr>
      <w:b/>
      <w:bCs/>
    </w:rPr>
  </w:style>
  <w:style w:type="character" w:styleId="20">
    <w:name w:val="Strong"/>
    <w:qFormat/>
    <w:uiPriority w:val="0"/>
    <w:rPr>
      <w:rFonts w:cs="Times New Roman"/>
      <w:b/>
    </w:rPr>
  </w:style>
  <w:style w:type="character" w:styleId="21">
    <w:name w:val="page number"/>
    <w:qFormat/>
    <w:uiPriority w:val="0"/>
    <w:rPr>
      <w:rFonts w:cs="Times New Roman"/>
    </w:rPr>
  </w:style>
  <w:style w:type="character" w:styleId="22">
    <w:name w:val="FollowedHyperlink"/>
    <w:qFormat/>
    <w:uiPriority w:val="0"/>
    <w:rPr>
      <w:color w:val="800080"/>
      <w:u w:val="single"/>
    </w:rPr>
  </w:style>
  <w:style w:type="character" w:styleId="23">
    <w:name w:val="Hyperlink"/>
    <w:qFormat/>
    <w:uiPriority w:val="99"/>
    <w:rPr>
      <w:rFonts w:ascii="Verdana" w:hAnsi="Verdana" w:eastAsia="仿宋_GB2312" w:cs="Verdana"/>
      <w:color w:val="0000FF"/>
      <w:kern w:val="0"/>
      <w:sz w:val="24"/>
      <w:u w:val="single"/>
      <w:lang w:eastAsia="en-US"/>
    </w:rPr>
  </w:style>
  <w:style w:type="character" w:styleId="24">
    <w:name w:val="annotation reference"/>
    <w:qFormat/>
    <w:uiPriority w:val="0"/>
    <w:rPr>
      <w:sz w:val="21"/>
      <w:szCs w:val="21"/>
    </w:rPr>
  </w:style>
  <w:style w:type="character" w:customStyle="1" w:styleId="25">
    <w:name w:val="标题 1 Char"/>
    <w:link w:val="2"/>
    <w:qFormat/>
    <w:locked/>
    <w:uiPriority w:val="0"/>
    <w:rPr>
      <w:rFonts w:ascii="Calibri" w:hAnsi="Calibri" w:eastAsia="宋体"/>
      <w:b/>
      <w:bCs/>
      <w:kern w:val="44"/>
      <w:sz w:val="44"/>
      <w:szCs w:val="44"/>
      <w:lang w:val="en-US" w:eastAsia="zh-CN" w:bidi="ar-SA"/>
    </w:rPr>
  </w:style>
  <w:style w:type="character" w:customStyle="1" w:styleId="26">
    <w:name w:val="正文文本缩进 Char"/>
    <w:link w:val="8"/>
    <w:qFormat/>
    <w:locked/>
    <w:uiPriority w:val="0"/>
    <w:rPr>
      <w:rFonts w:eastAsia="仿宋_GB2312"/>
      <w:kern w:val="2"/>
      <w:sz w:val="32"/>
      <w:szCs w:val="24"/>
      <w:lang w:val="en-US" w:eastAsia="zh-CN" w:bidi="ar-SA"/>
    </w:rPr>
  </w:style>
  <w:style w:type="character" w:customStyle="1" w:styleId="27">
    <w:name w:val="正文文本缩进 2 Char"/>
    <w:link w:val="10"/>
    <w:semiHidden/>
    <w:qFormat/>
    <w:locked/>
    <w:uiPriority w:val="0"/>
    <w:rPr>
      <w:rFonts w:eastAsia="宋体"/>
      <w:kern w:val="2"/>
      <w:sz w:val="21"/>
      <w:szCs w:val="24"/>
      <w:lang w:val="en-US" w:eastAsia="zh-CN" w:bidi="ar-SA"/>
    </w:rPr>
  </w:style>
  <w:style w:type="character" w:customStyle="1" w:styleId="28">
    <w:name w:val="批注框文本 Char"/>
    <w:link w:val="11"/>
    <w:semiHidden/>
    <w:qFormat/>
    <w:locked/>
    <w:uiPriority w:val="0"/>
    <w:rPr>
      <w:rFonts w:ascii="Calibri" w:hAnsi="Calibri" w:eastAsia="宋体"/>
      <w:kern w:val="2"/>
      <w:sz w:val="18"/>
      <w:szCs w:val="18"/>
      <w:lang w:val="en-US" w:eastAsia="zh-CN" w:bidi="ar-SA"/>
    </w:rPr>
  </w:style>
  <w:style w:type="character" w:customStyle="1" w:styleId="29">
    <w:name w:val="页脚 Char"/>
    <w:link w:val="12"/>
    <w:qFormat/>
    <w:locked/>
    <w:uiPriority w:val="99"/>
    <w:rPr>
      <w:rFonts w:ascii="Calibri" w:hAnsi="Calibri" w:eastAsia="宋体"/>
      <w:kern w:val="2"/>
      <w:sz w:val="18"/>
      <w:szCs w:val="18"/>
      <w:lang w:val="en-US" w:eastAsia="zh-CN" w:bidi="ar-SA"/>
    </w:rPr>
  </w:style>
  <w:style w:type="character" w:customStyle="1" w:styleId="30">
    <w:name w:val="页眉 Char"/>
    <w:link w:val="13"/>
    <w:qFormat/>
    <w:locked/>
    <w:uiPriority w:val="99"/>
    <w:rPr>
      <w:rFonts w:ascii="Calibri" w:hAnsi="Calibri" w:eastAsia="宋体"/>
      <w:kern w:val="2"/>
      <w:sz w:val="18"/>
      <w:szCs w:val="18"/>
      <w:lang w:val="en-US" w:eastAsia="zh-CN" w:bidi="ar-SA"/>
    </w:rPr>
  </w:style>
  <w:style w:type="character" w:customStyle="1" w:styleId="31">
    <w:name w:val="标题 Char"/>
    <w:link w:val="16"/>
    <w:qFormat/>
    <w:locked/>
    <w:uiPriority w:val="0"/>
    <w:rPr>
      <w:rFonts w:ascii="Cambria" w:hAnsi="Cambria" w:eastAsia="宋体"/>
      <w:b/>
      <w:bCs/>
      <w:kern w:val="2"/>
      <w:sz w:val="32"/>
      <w:szCs w:val="32"/>
      <w:lang w:val="en-US" w:eastAsia="zh-CN" w:bidi="ar-SA"/>
    </w:rPr>
  </w:style>
  <w:style w:type="paragraph" w:customStyle="1" w:styleId="32">
    <w:name w:val="样式 首行缩进:  2 字符"/>
    <w:basedOn w:val="1"/>
    <w:qFormat/>
    <w:uiPriority w:val="0"/>
    <w:pPr>
      <w:spacing w:before="60" w:after="60"/>
      <w:ind w:firstLine="480" w:firstLineChars="200"/>
    </w:pPr>
    <w:rPr>
      <w:rFonts w:ascii="Times New Roman" w:hAnsi="Times New Roman"/>
      <w:sz w:val="24"/>
      <w:szCs w:val="20"/>
    </w:rPr>
  </w:style>
  <w:style w:type="paragraph" w:customStyle="1" w:styleId="3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4">
    <w:name w:val="Char"/>
    <w:basedOn w:val="1"/>
    <w:qFormat/>
    <w:uiPriority w:val="0"/>
    <w:pPr>
      <w:widowControl/>
      <w:spacing w:after="160" w:line="240" w:lineRule="exact"/>
      <w:jc w:val="left"/>
    </w:pPr>
    <w:rPr>
      <w:rFonts w:ascii="Verdana" w:hAnsi="Verdana" w:eastAsia="仿宋_GB2312" w:cs="Verdana"/>
      <w:kern w:val="0"/>
      <w:sz w:val="24"/>
      <w:szCs w:val="20"/>
      <w:lang w:eastAsia="en-US"/>
    </w:rPr>
  </w:style>
  <w:style w:type="paragraph" w:customStyle="1" w:styleId="35">
    <w:name w:val="Char1 Char Char Char Char Char1 Char"/>
    <w:basedOn w:val="1"/>
    <w:qFormat/>
    <w:uiPriority w:val="0"/>
    <w:pPr>
      <w:widowControl/>
      <w:spacing w:after="160" w:line="240" w:lineRule="exact"/>
      <w:jc w:val="left"/>
    </w:pPr>
    <w:rPr>
      <w:rFonts w:ascii="Times New Roman" w:hAnsi="Times New Roman"/>
      <w:szCs w:val="24"/>
    </w:rPr>
  </w:style>
  <w:style w:type="paragraph" w:customStyle="1" w:styleId="36">
    <w:name w:val="Char1"/>
    <w:basedOn w:val="1"/>
    <w:qFormat/>
    <w:uiPriority w:val="0"/>
    <w:pPr>
      <w:widowControl/>
      <w:spacing w:after="160" w:line="240" w:lineRule="exact"/>
      <w:jc w:val="left"/>
    </w:pPr>
    <w:rPr>
      <w:rFonts w:ascii="Verdana" w:hAnsi="Verdana" w:eastAsia="仿宋_GB2312" w:cs="Verdana"/>
      <w:kern w:val="0"/>
      <w:sz w:val="24"/>
      <w:szCs w:val="20"/>
      <w:lang w:eastAsia="en-US"/>
    </w:rPr>
  </w:style>
  <w:style w:type="paragraph" w:customStyle="1" w:styleId="37">
    <w:name w:val="TOC 标题1"/>
    <w:basedOn w:val="2"/>
    <w:next w:val="1"/>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38">
    <w:name w:val="列出段落1"/>
    <w:basedOn w:val="1"/>
    <w:qFormat/>
    <w:uiPriority w:val="0"/>
    <w:pPr>
      <w:ind w:firstLine="420" w:firstLineChars="200"/>
    </w:pPr>
  </w:style>
  <w:style w:type="character" w:customStyle="1" w:styleId="39">
    <w:name w:val="apple-converted-space"/>
    <w:qFormat/>
    <w:uiPriority w:val="0"/>
    <w:rPr>
      <w:rFonts w:cs="Times New Roman"/>
    </w:rPr>
  </w:style>
  <w:style w:type="character" w:customStyle="1" w:styleId="40">
    <w:name w:val="批注文字 Char"/>
    <w:link w:val="6"/>
    <w:qFormat/>
    <w:uiPriority w:val="0"/>
    <w:rPr>
      <w:rFonts w:ascii="Calibri" w:hAnsi="Calibri"/>
      <w:kern w:val="2"/>
      <w:sz w:val="21"/>
      <w:szCs w:val="22"/>
    </w:rPr>
  </w:style>
  <w:style w:type="character" w:customStyle="1" w:styleId="41">
    <w:name w:val="批注主题 Char"/>
    <w:link w:val="17"/>
    <w:qFormat/>
    <w:uiPriority w:val="0"/>
    <w:rPr>
      <w:rFonts w:ascii="Calibri" w:hAnsi="Calibri"/>
      <w:b/>
      <w:bCs/>
      <w:kern w:val="2"/>
      <w:sz w:val="21"/>
      <w:szCs w:val="22"/>
    </w:rPr>
  </w:style>
  <w:style w:type="character" w:customStyle="1" w:styleId="42">
    <w:name w:val="日期 Char"/>
    <w:basedOn w:val="19"/>
    <w:link w:val="9"/>
    <w:semiHidden/>
    <w:qFormat/>
    <w:uiPriority w:val="0"/>
    <w:rPr>
      <w:rFonts w:ascii="Calibri" w:hAnsi="Calibri"/>
      <w:kern w:val="2"/>
      <w:sz w:val="21"/>
      <w:szCs w:val="22"/>
    </w:rPr>
  </w:style>
  <w:style w:type="paragraph" w:customStyle="1" w:styleId="43">
    <w:name w:val="列出段落2"/>
    <w:basedOn w:val="1"/>
    <w:qFormat/>
    <w:uiPriority w:val="34"/>
    <w:pPr>
      <w:ind w:firstLine="420" w:firstLineChars="200"/>
    </w:pPr>
  </w:style>
  <w:style w:type="paragraph" w:styleId="44">
    <w:name w:val="List Paragraph"/>
    <w:basedOn w:val="1"/>
    <w:qFormat/>
    <w:uiPriority w:val="99"/>
    <w:pPr>
      <w:ind w:firstLine="420" w:firstLineChars="200"/>
    </w:pPr>
  </w:style>
  <w:style w:type="character" w:customStyle="1" w:styleId="45">
    <w:name w:val="标题 3 Char"/>
    <w:basedOn w:val="19"/>
    <w:link w:val="4"/>
    <w:semiHidden/>
    <w:qFormat/>
    <w:uiPriority w:val="0"/>
    <w:rPr>
      <w:rFonts w:ascii="Calibri" w:hAnsi="Calibri"/>
      <w:b/>
      <w:bCs/>
      <w:kern w:val="2"/>
      <w:sz w:val="32"/>
      <w:szCs w:val="32"/>
    </w:rPr>
  </w:style>
  <w:style w:type="character" w:customStyle="1" w:styleId="46">
    <w:name w:val="标题 2 Char"/>
    <w:basedOn w:val="19"/>
    <w:link w:val="3"/>
    <w:semiHidden/>
    <w:qFormat/>
    <w:uiPriority w:val="0"/>
    <w:rPr>
      <w:rFonts w:asciiTheme="majorHAnsi" w:hAnsiTheme="majorHAnsi" w:eastAsiaTheme="majorEastAsia" w:cstheme="majorBidi"/>
      <w:b/>
      <w:bCs/>
      <w:kern w:val="2"/>
      <w:sz w:val="32"/>
      <w:szCs w:val="32"/>
    </w:rPr>
  </w:style>
  <w:style w:type="character" w:customStyle="1" w:styleId="47">
    <w:name w:val="正文文本 Char"/>
    <w:basedOn w:val="19"/>
    <w:link w:val="7"/>
    <w:qFormat/>
    <w:uiPriority w:val="0"/>
    <w:rPr>
      <w:rFonts w:ascii="Calibri" w:hAnsi="Calibri"/>
      <w:kern w:val="2"/>
      <w:sz w:val="21"/>
      <w:szCs w:val="22"/>
    </w:rPr>
  </w:style>
  <w:style w:type="character" w:customStyle="1" w:styleId="48">
    <w:name w:val="文档结构图 Char"/>
    <w:basedOn w:val="19"/>
    <w:link w:val="5"/>
    <w:semiHidden/>
    <w:qFormat/>
    <w:uiPriority w:val="0"/>
    <w:rPr>
      <w:rFonts w:ascii="宋体" w:hAnsi="Calibri"/>
      <w:kern w:val="2"/>
      <w:sz w:val="18"/>
      <w:szCs w:val="18"/>
    </w:rPr>
  </w:style>
  <w:style w:type="table" w:customStyle="1" w:styleId="49">
    <w:name w:val="Table Normal"/>
    <w:semiHidden/>
    <w:unhideWhenUsed/>
    <w:qFormat/>
    <w:uiPriority w:val="2"/>
    <w:pPr>
      <w:widowControl w:val="0"/>
    </w:pPr>
    <w:rPr>
      <w:rFonts w:ascii="Calibri" w:hAnsi="Calibri"/>
      <w:sz w:val="22"/>
      <w:szCs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5A9B0EE-A711-4AAF-BC31-8858AFB3646A}">
  <ds:schemaRefs/>
</ds:datastoreItem>
</file>

<file path=customXml/itemProps3.xml><?xml version="1.0" encoding="utf-8"?>
<ds:datastoreItem xmlns:ds="http://schemas.openxmlformats.org/officeDocument/2006/customXml" ds:itemID="{9283B96D-3C19-4D4B-909C-973225DAA302}">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31</Pages>
  <Words>13491</Words>
  <Characters>3548</Characters>
  <Lines>29</Lines>
  <Paragraphs>34</Paragraphs>
  <TotalTime>2</TotalTime>
  <ScaleCrop>false</ScaleCrop>
  <LinksUpToDate>false</LinksUpToDate>
  <CharactersWithSpaces>17005</CharactersWithSpaces>
  <Application>WPS Office_11.1.0.10000_F1E327BC-269C-435d-A152-05C5408002CA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2019-07-10T07:37:00Z</dcterms:created>
  <dc:creator>User</dc:creator>
  <cp:lastModifiedBy>jessie</cp:lastModifiedBy>
  <cp:lastPrinted>2020-11-01T08:54:00Z</cp:lastPrinted>
  <dcterms:modified xsi:type="dcterms:W3CDTF">2020-11-03T02:13:20Z</dcterms:modified>
  <dc:title>浙江云开亚美医药科技股份有限公司增资扩股2046</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ies>
</file>